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Executive Summary</w:t>
      </w:r>
    </w:p>
    <w:p>
      <w:pPr>
        <w:spacing w:after="40"/>
        <w:jc w:val="center"/>
      </w:pPr>
      <w:r>
        <w:rPr>
          <w:rFonts w:ascii="Calibri" w:cs="Calibri" w:eastAsia="Calibri" w:hAnsi="Calibri"/>
          <w:color w:val="444444"/>
          <w:sz w:val="24"/>
          <w:szCs w:val="24"/>
        </w:rPr>
        <w:t xml:space="preserve">Predictive Forecasting of Care Load &amp; Placement Demand — UAC Program</w:t>
      </w:r>
    </w:p>
    <w:p>
      <w:pPr>
        <w:spacing w:after="300"/>
        <w:jc w:val="center"/>
      </w:pPr>
      <w:r>
        <w:rPr>
          <w:rFonts w:ascii="Calibri" w:cs="Calibri" w:eastAsia="Calibri" w:hAnsi="Calibri"/>
          <w:i/>
          <w:iCs/>
          <w:color w:val="777777"/>
          <w:sz w:val="20"/>
          <w:szCs w:val="20"/>
        </w:rPr>
        <w:t xml:space="preserve">Prepared for HHS Program Stakeholders</w:t>
      </w:r>
    </w:p>
    <w:p>
      <w:pPr>
        <w:pStyle w:val="Heading1"/>
        <w:spacing w:after="140" w:before="320"/>
      </w:pPr>
      <w:r>
        <w:t xml:space="preserve">The Situation</w:t>
      </w:r>
    </w:p>
    <w:p>
      <w:pPr>
        <w:spacing w:after="160" w:line="300"/>
      </w:pPr>
      <w:r>
        <w:rPr>
          <w:rFonts w:ascii="Calibri" w:cs="Calibri" w:eastAsia="Calibri" w:hAnsi="Calibri"/>
          <w:sz w:val="22"/>
          <w:szCs w:val="22"/>
        </w:rPr>
        <w:t xml:space="preserve">Children who arrive at the U.S. border without a parent or guardian are first held briefly by Customs and Border Protection (CBP), then transferred into longer-term care under the Department of Health and Human Services (HHS) while they await placement with a sponsor — usually a relative already living in the country. The program collects detailed daily records of this process, but until now has had no way to look ahead: staff have only been able to see what already happened, not what is coming.</w:t>
      </w:r>
    </w:p>
    <w:p>
      <w:pPr>
        <w:pStyle w:val="Heading1"/>
        <w:spacing w:after="140" w:before="320"/>
      </w:pPr>
      <w:r>
        <w:t xml:space="preserve">The Problem</w:t>
      </w:r>
    </w:p>
    <w:p>
      <w:pPr>
        <w:spacing w:after="160" w:line="300"/>
      </w:pPr>
      <w:r>
        <w:rPr>
          <w:rFonts w:ascii="Calibri" w:cs="Calibri" w:eastAsia="Calibri" w:hAnsi="Calibri"/>
          <w:sz w:val="22"/>
          <w:szCs w:val="22"/>
        </w:rPr>
        <w:t xml:space="preserve">Without a forward-looking view, shelter staffing and bed capacity decisions are made reactively — after a surge in arrivals has already begun to strain the system, rather than in advance of it. This increases the risk of overcrowding, staff burnout, and longer stays for children awaiting placement.</w:t>
      </w:r>
    </w:p>
    <w:p>
      <w:pPr>
        <w:pStyle w:val="Heading1"/>
        <w:spacing w:after="140" w:before="320"/>
      </w:pPr>
      <w:r>
        <w:t xml:space="preserve">What We Did</w:t>
      </w:r>
    </w:p>
    <w:p>
      <w:pPr>
        <w:spacing w:after="160" w:line="300"/>
      </w:pPr>
      <w:r>
        <w:rPr>
          <w:rFonts w:ascii="Calibri" w:cs="Calibri" w:eastAsia="Calibri" w:hAnsi="Calibri"/>
          <w:sz w:val="22"/>
          <w:szCs w:val="22"/>
        </w:rPr>
        <w:t xml:space="preserve">Using three years of daily program data (January 2023 – December 2025), we built and tested a system that forecasts how many children will be in HHS care in the near future. Five different forecasting methods were tested and compared fairly, using only past data to predict outcomes the model had never seen — the same way it would need to work in real-world, day-to-day use.</w:t>
      </w:r>
    </w:p>
    <w:p>
      <w:pPr>
        <w:pStyle w:val="Heading1"/>
        <w:spacing w:after="140" w:before="320"/>
      </w:pPr>
      <w:r>
        <w:t xml:space="preserve">What We Found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5200"/>
      </w:tblGrid>
      <w:tr>
        <w:trPr>
          <w:tblHeader/>
        </w:trPr>
        <w:tc>
          <w:tcPr>
            <w:tcW w:type="dxa" w:w="34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Finding</w:t>
            </w:r>
          </w:p>
        </w:tc>
        <w:tc>
          <w:tcPr>
            <w:tcW w:type="dxa" w:w="5200"/>
            <w:shd w:fill="2E4057" w:val="clear"/>
            <w:tcMar>
              <w:top w:type="dxa" w:w="80"/>
              <w:left w:type="dxa" w:w="100"/>
              <w:bottom w:type="dxa" w:w="80"/>
              <w:right w:type="dxa" w:w="100"/>
            </w:tcMar>
          </w:tcPr>
          <w:p>
            <w:r>
              <w:rPr>
                <w:rFonts w:ascii="Calibri" w:cs="Calibri" w:eastAsia="Calibri" w:hAnsi="Calibri"/>
                <w:b/>
                <w:bCs/>
                <w:color w:val="FFFFFF"/>
                <w:sz w:val="20"/>
                <w:szCs w:val="20"/>
              </w:rPr>
              <w:t xml:space="preserve">What it means</w:t>
            </w:r>
          </w:p>
        </w:tc>
      </w:tr>
      <w:tr>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A machine-learning model (Random Forest) was the clear winner</w:t>
            </w:r>
          </w:p>
        </w:tc>
        <w:tc>
          <w:tcPr>
            <w:tcW w:type="dxa" w:w="5200"/>
            <w:tcMar>
              <w:top w:type="dxa" w:w="80"/>
              <w:left w:type="dxa" w:w="100"/>
              <w:bottom w:type="dxa" w:w="80"/>
              <w:right w:type="dxa" w:w="100"/>
            </w:tcMar>
          </w:tcPr>
          <w:p>
            <w:r>
              <w:rPr>
                <w:rFonts w:ascii="Calibri" w:cs="Calibri" w:eastAsia="Calibri" w:hAnsi="Calibri"/>
                <w:b w:val="false"/>
                <w:bCs w:val="false"/>
                <w:color w:val="222222"/>
                <w:sz w:val="20"/>
                <w:szCs w:val="20"/>
              </w:rPr>
              <w:t xml:space="preserve">It forecasts about 28–32% more accurately than simpler statistical methods, and is recommended for operational use</w:t>
            </w:r>
          </w:p>
        </w:tc>
      </w:tr>
      <w:tr>
        <w:tc>
          <w:tcPr>
            <w:tcW w:type="dxa" w:w="3400"/>
            <w:shd w:fill="F2F2F2"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Forecast Accuracy: 91.6%</w:t>
            </w:r>
          </w:p>
        </w:tc>
        <w:tc>
          <w:tcPr>
            <w:tcW w:type="dxa" w:w="5200"/>
            <w:shd w:fill="F2F2F2"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On average, the model's predictions are within about 8% of the true number of children in care</w:t>
            </w:r>
          </w:p>
        </w:tc>
      </w:tr>
      <w:tr>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Short-term forecasts are the most reliable</w:t>
            </w:r>
          </w:p>
        </w:tc>
        <w:tc>
          <w:tcPr>
            <w:tcW w:type="dxa" w:w="5200"/>
            <w:tcMar>
              <w:top w:type="dxa" w:w="80"/>
              <w:left w:type="dxa" w:w="100"/>
              <w:bottom w:type="dxa" w:w="80"/>
              <w:right w:type="dxa" w:w="100"/>
            </w:tcMar>
          </w:tcPr>
          <w:p>
            <w:r>
              <w:rPr>
                <w:rFonts w:ascii="Calibri" w:cs="Calibri" w:eastAsia="Calibri" w:hAnsi="Calibri"/>
                <w:b w:val="false"/>
                <w:bCs w:val="false"/>
                <w:color w:val="222222"/>
                <w:sz w:val="20"/>
                <w:szCs w:val="20"/>
              </w:rPr>
              <w:t xml:space="preserve">1-day-ahead predictions are highly accurate; 1–2 week forecasts should be treated as directional guidance rather than exact numbers</w:t>
            </w:r>
          </w:p>
        </w:tc>
      </w:tr>
      <w:tr>
        <w:tc>
          <w:tcPr>
            <w:tcW w:type="dxa" w:w="3400"/>
            <w:shd w:fill="F2F2F2"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The system is generally “draining” faster than it fills</w:t>
            </w:r>
          </w:p>
        </w:tc>
        <w:tc>
          <w:tcPr>
            <w:tcW w:type="dxa" w:w="5200"/>
            <w:shd w:fill="F2F2F2"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On a typical day, more children leave HHS care (placed with sponsors) than enter it — a healthy sign overall, though the system does see periodic surges</w:t>
            </w:r>
          </w:p>
        </w:tc>
      </w:tr>
      <w:tr>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A major shift occurred around mid-2024</w:t>
            </w:r>
          </w:p>
        </w:tc>
        <w:tc>
          <w:tcPr>
            <w:tcW w:type="dxa" w:w="5200"/>
            <w:tcMar>
              <w:top w:type="dxa" w:w="80"/>
              <w:left w:type="dxa" w:w="100"/>
              <w:bottom w:type="dxa" w:w="80"/>
              <w:right w:type="dxa" w:w="100"/>
            </w:tcMar>
          </w:tcPr>
          <w:p>
            <w:r>
              <w:rPr>
                <w:rFonts w:ascii="Calibri" w:cs="Calibri" w:eastAsia="Calibri" w:hAnsi="Calibri"/>
                <w:b w:val="false"/>
                <w:bCs w:val="false"/>
                <w:color w:val="222222"/>
                <w:sz w:val="20"/>
                <w:szCs w:val="20"/>
              </w:rPr>
              <w:t xml:space="preserve">Care load dropped sharply and has stayed lower since — this is a significant real-world change worth further investigation by program leadership</w:t>
            </w:r>
          </w:p>
        </w:tc>
      </w:tr>
      <w:tr>
        <w:tc>
          <w:tcPr>
            <w:tcW w:type="dxa" w:w="3400"/>
            <w:shd w:fill="F2F2F2"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No capacity breach was detected in the recent period</w:t>
            </w:r>
          </w:p>
        </w:tc>
        <w:tc>
          <w:tcPr>
            <w:tcW w:type="dxa" w:w="5200"/>
            <w:shd w:fill="F2F2F2"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Forecasts for the most recent months stayed well below historic peak levels, though this should be re-checked periodically as new data comes in</w:t>
            </w:r>
          </w:p>
        </w:tc>
      </w:tr>
    </w:tbl>
    <w:p>
      <w:pPr>
        <w:pStyle w:val="Heading1"/>
        <w:spacing w:after="140" w:before="320"/>
      </w:pPr>
      <w:r>
        <w:t xml:space="preserve">What We Recommend</w:t>
      </w:r>
    </w:p>
    <w:p>
      <w:pPr>
        <w:pStyle w:val="ListParagraph"/>
        <w:numPr>
          <w:ilvl w:val="0"/>
          <w:numId w:val="2"/>
        </w:numPr>
        <w:spacing w:after="80"/>
      </w:pPr>
      <w:r>
        <w:t xml:space="preserve">Adopt the Random Forest model as the primary forecasting tool for near-term (1–7 day) shelter capacity and staffing decisions.</w:t>
      </w:r>
    </w:p>
    <w:p>
      <w:pPr>
        <w:pStyle w:val="ListParagraph"/>
        <w:numPr>
          <w:ilvl w:val="0"/>
          <w:numId w:val="2"/>
        </w:numPr>
        <w:spacing w:after="80"/>
      </w:pPr>
      <w:r>
        <w:t xml:space="preserve">Treat forecasts beyond 7–14 days as general trend guidance, not precise predictions, when planning further ahead.</w:t>
      </w:r>
    </w:p>
    <w:p>
      <w:pPr>
        <w:pStyle w:val="ListParagraph"/>
        <w:numPr>
          <w:ilvl w:val="0"/>
          <w:numId w:val="2"/>
        </w:numPr>
        <w:spacing w:after="80"/>
      </w:pPr>
      <w:r>
        <w:t xml:space="preserve">Monitor the daily “net pressure” indicator (arrivals into HHS minus placements out) as an early, simple warning signal, independent of the full forecasting model.</w:t>
      </w:r>
    </w:p>
    <w:p>
      <w:pPr>
        <w:pStyle w:val="ListParagraph"/>
        <w:numPr>
          <w:ilvl w:val="0"/>
          <w:numId w:val="2"/>
        </w:numPr>
        <w:spacing w:after="80"/>
      </w:pPr>
      <w:r>
        <w:t xml:space="preserve">Investigate the cause of the mid-2024 shift in care load, since understanding it will improve both historical interpretation and future forecast accuracy.</w:t>
      </w:r>
    </w:p>
    <w:p>
      <w:pPr>
        <w:pStyle w:val="ListParagraph"/>
        <w:numPr>
          <w:ilvl w:val="0"/>
          <w:numId w:val="2"/>
        </w:numPr>
        <w:spacing w:after="80"/>
      </w:pPr>
      <w:r>
        <w:t xml:space="preserve">Revisit the capacity risk threshold periodically as new data comes in, so it continues to reflect current operating conditions.</w:t>
      </w:r>
    </w:p>
    <w:p>
      <w:pPr>
        <w:pStyle w:val="Heading1"/>
        <w:spacing w:after="140" w:before="320"/>
      </w:pPr>
      <w:r>
        <w:t xml:space="preserve">The Tool</w:t>
      </w:r>
    </w:p>
    <w:p>
      <w:pPr>
        <w:spacing w:after="160" w:line="300"/>
      </w:pPr>
      <w:r>
        <w:rPr>
          <w:rFonts w:ascii="Calibri" w:cs="Calibri" w:eastAsia="Calibri" w:hAnsi="Calibri"/>
          <w:sz w:val="22"/>
          <w:szCs w:val="22"/>
        </w:rPr>
        <w:t xml:space="preserve">These findings are delivered through an interactive online dashboard that program staff can use directly — no technical or coding knowledge required. It lets a user choose how far ahead to forecast, compare different forecasting methods side by side, and view current accuracy and risk indicators at a glance, using live, up-to-date data.</w:t>
      </w:r>
    </w:p>
    <w:p>
      <w:pPr>
        <w:pStyle w:val="Heading1"/>
        <w:spacing w:after="140" w:before="320"/>
      </w:pPr>
      <w:r>
        <w:t xml:space="preserve">Bottom Line</w:t>
      </w:r>
    </w:p>
    <w:p>
      <w:pPr>
        <w:spacing w:after="160" w:line="300"/>
      </w:pPr>
      <w:r>
        <w:rPr>
          <w:rFonts w:ascii="Calibri" w:cs="Calibri" w:eastAsia="Calibri" w:hAnsi="Calibri"/>
          <w:b/>
          <w:bCs/>
          <w:sz w:val="22"/>
          <w:szCs w:val="22"/>
        </w:rPr>
        <w:t xml:space="preserve">The UAC Program's existing data already contains the information needed to anticipate care-load surges before they happen. This project turns that data into a practical, day-to-day planning tool — shifting the program from reacting to capacity pressure toward anticipating it.</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2026-07-19T12:02:14.482Z</dcterms:created>
  <dcterms:modified xsi:type="dcterms:W3CDTF">2026-07-19T12:02:14.495Z</dcterms:modified>
</cp:coreProperties>
</file>

<file path=docProps/custom.xml><?xml version="1.0" encoding="utf-8"?>
<Properties xmlns="http://schemas.openxmlformats.org/officeDocument/2006/custom-properties" xmlns:vt="http://schemas.openxmlformats.org/officeDocument/2006/docPropsVTypes"/>
</file>