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CBA2E" w14:textId="77777777" w:rsidR="00CB690B" w:rsidRDefault="00000000" w:rsidP="00C601CD">
      <w:pPr>
        <w:spacing w:before="2000"/>
        <w:ind w:right="-630"/>
        <w:jc w:val="center"/>
      </w:pPr>
      <w:r>
        <w:rPr>
          <w:rFonts w:ascii="Calibri" w:eastAsia="Calibri" w:hAnsi="Calibri" w:cs="Calibri"/>
          <w:b/>
          <w:bCs/>
          <w:sz w:val="44"/>
          <w:szCs w:val="44"/>
        </w:rPr>
        <w:t>Predictive Forecasting of Care Load</w:t>
      </w:r>
    </w:p>
    <w:p w14:paraId="694F4934" w14:textId="77777777" w:rsidR="00CB690B" w:rsidRDefault="00000000" w:rsidP="00C601CD">
      <w:pPr>
        <w:spacing w:after="400"/>
        <w:ind w:left="-360"/>
        <w:jc w:val="center"/>
      </w:pPr>
      <w:r>
        <w:rPr>
          <w:rFonts w:ascii="Calibri" w:eastAsia="Calibri" w:hAnsi="Calibri" w:cs="Calibri"/>
          <w:b/>
          <w:bCs/>
          <w:sz w:val="44"/>
          <w:szCs w:val="44"/>
        </w:rPr>
        <w:t>and Placement Demand in the Unaccompanied Alien Children (UAC) Program</w:t>
      </w:r>
    </w:p>
    <w:p w14:paraId="21B84F92" w14:textId="77777777" w:rsidR="00CB690B" w:rsidRDefault="00000000" w:rsidP="00C601CD">
      <w:pPr>
        <w:spacing w:before="200" w:after="100"/>
        <w:ind w:left="-360"/>
        <w:jc w:val="center"/>
      </w:pPr>
      <w:r>
        <w:rPr>
          <w:rFonts w:ascii="Calibri" w:eastAsia="Calibri" w:hAnsi="Calibri" w:cs="Calibri"/>
          <w:i/>
          <w:iCs/>
          <w:color w:val="555555"/>
          <w:sz w:val="26"/>
          <w:szCs w:val="26"/>
        </w:rPr>
        <w:t>A Time-Series and Machine Learning Approach to Federal Child Welfare Capacity Planning</w:t>
      </w:r>
    </w:p>
    <w:p w14:paraId="36D15B4C" w14:textId="77777777" w:rsidR="00CB690B" w:rsidRDefault="00000000" w:rsidP="00C601CD">
      <w:pPr>
        <w:spacing w:before="800"/>
        <w:ind w:left="-360"/>
        <w:jc w:val="center"/>
      </w:pPr>
      <w:r>
        <w:rPr>
          <w:rFonts w:ascii="Calibri" w:eastAsia="Calibri" w:hAnsi="Calibri" w:cs="Calibri"/>
          <w:sz w:val="24"/>
          <w:szCs w:val="24"/>
        </w:rPr>
        <w:t>Research Paper</w:t>
      </w:r>
    </w:p>
    <w:p w14:paraId="18A8427C" w14:textId="77777777" w:rsidR="00CB690B" w:rsidRDefault="00000000" w:rsidP="00C601CD">
      <w:pPr>
        <w:spacing w:before="200"/>
        <w:ind w:left="-360"/>
        <w:jc w:val="center"/>
      </w:pPr>
      <w:r>
        <w:rPr>
          <w:rFonts w:ascii="Calibri" w:eastAsia="Calibri" w:hAnsi="Calibri" w:cs="Calibri"/>
          <w:color w:val="555555"/>
          <w:sz w:val="22"/>
          <w:szCs w:val="22"/>
        </w:rPr>
        <w:t>Prepared as part of the Unified Mentor Data Analytics Internship Program</w:t>
      </w:r>
    </w:p>
    <w:p w14:paraId="0A0B5AA7" w14:textId="77777777" w:rsidR="00CB690B" w:rsidRDefault="00000000" w:rsidP="00C601CD">
      <w:pPr>
        <w:spacing w:before="2400"/>
        <w:ind w:left="-360"/>
        <w:jc w:val="center"/>
      </w:pPr>
      <w:r>
        <w:rPr>
          <w:rFonts w:ascii="Calibri" w:eastAsia="Calibri" w:hAnsi="Calibri" w:cs="Calibri"/>
          <w:sz w:val="22"/>
          <w:szCs w:val="22"/>
        </w:rPr>
        <w:t>Author: Teja</w:t>
      </w:r>
    </w:p>
    <w:p w14:paraId="70A176B5" w14:textId="77777777" w:rsidR="00CB690B" w:rsidRDefault="00000000" w:rsidP="00C601CD">
      <w:pPr>
        <w:spacing w:before="100"/>
        <w:ind w:left="-360"/>
        <w:jc w:val="center"/>
      </w:pPr>
      <w:r>
        <w:rPr>
          <w:rFonts w:ascii="Calibri" w:eastAsia="Calibri" w:hAnsi="Calibri" w:cs="Calibri"/>
          <w:color w:val="555555"/>
        </w:rPr>
        <w:t>Data source: HHS Unaccompanied Alien Children Program — daily custody and care reporting, January 2023 – December 2025</w:t>
      </w:r>
    </w:p>
    <w:p w14:paraId="7D53E6E0" w14:textId="77777777" w:rsidR="00CB690B" w:rsidRDefault="00000000" w:rsidP="00C601CD">
      <w:pPr>
        <w:ind w:left="-360"/>
      </w:pPr>
      <w:r>
        <w:br w:type="page"/>
      </w:r>
    </w:p>
    <w:p w14:paraId="16CD1996" w14:textId="77777777" w:rsidR="00CB690B" w:rsidRDefault="00000000" w:rsidP="00C601CD">
      <w:pPr>
        <w:pStyle w:val="Heading1"/>
        <w:spacing w:before="360" w:after="160"/>
        <w:ind w:left="-360"/>
      </w:pPr>
      <w:r>
        <w:lastRenderedPageBreak/>
        <w:t>Abstract</w:t>
      </w:r>
    </w:p>
    <w:p w14:paraId="555B4CDC" w14:textId="77777777" w:rsidR="00CB690B" w:rsidRDefault="00000000" w:rsidP="00C601CD">
      <w:pPr>
        <w:spacing w:after="160" w:line="300" w:lineRule="auto"/>
        <w:ind w:left="-360"/>
      </w:pPr>
      <w:r>
        <w:rPr>
          <w:rFonts w:ascii="Calibri" w:eastAsia="Calibri" w:hAnsi="Calibri" w:cs="Calibri"/>
          <w:sz w:val="22"/>
          <w:szCs w:val="22"/>
        </w:rPr>
        <w:t xml:space="preserve">The Unaccompanied Alien Children (UAC) Program processes daily flows of children through a two-agency custody pipeline: initial apprehension and short-term holding under Customs and Border Protection (CBP), followed by transfer into longer-term care under the Department of Health and Human Services (HHS). While the program maintains high-quality daily reporting, it has historically lacked forward-looking forecasts of care load, leaving shelter capacity planning reactive rather than proactive. This study develops and evaluates a forecasting pipeline for the number of children in HHS care, using approximately three years of daily reporting data (January 2023 to December 2025). Five forecasting approaches were benchmarked using strict time-based validation with walk-forward testing: naive persistence, moving average, ARIMA, SARIMA, and Random Forest regression using engineered lag, rolling-window, flow-based, and calendar features. Random Forest achieved the strongest performance (mean absolute error 211.2, forecast accuracy 91.6%), outperforming all statistical baselines by a substantial margin. The analysis further finds that forecast reliability is highest at short horizons (one day ahead) and degrades notably at medium horizons (seven to fourteen days ahead), and identifies a significant structural shift in care load around mid-2024 that materially affects model performance during that period. Findings are translated into an interactive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dashboard and a set of operational KPIs intended to support early-warning capacity planning for HHS stakeholders.</w:t>
      </w:r>
    </w:p>
    <w:p w14:paraId="2AA064B2" w14:textId="77777777" w:rsidR="00CB690B" w:rsidRDefault="00000000" w:rsidP="00C601CD">
      <w:pPr>
        <w:pStyle w:val="Heading1"/>
        <w:spacing w:before="360" w:after="160"/>
        <w:ind w:left="-360"/>
      </w:pPr>
      <w:r>
        <w:t>Keywords</w:t>
      </w:r>
    </w:p>
    <w:p w14:paraId="6643D328" w14:textId="77777777" w:rsidR="00CB690B" w:rsidRDefault="00000000" w:rsidP="00C601CD">
      <w:pPr>
        <w:spacing w:after="160" w:line="300" w:lineRule="auto"/>
        <w:ind w:left="-360"/>
      </w:pPr>
      <w:r>
        <w:rPr>
          <w:rFonts w:ascii="Calibri" w:eastAsia="Calibri" w:hAnsi="Calibri" w:cs="Calibri"/>
          <w:sz w:val="22"/>
          <w:szCs w:val="22"/>
        </w:rPr>
        <w:t>time-series forecasting, child welfare, unaccompanied minors, Random Forest, ARIMA, walk-forward validation, capacity planning, HHS</w:t>
      </w:r>
    </w:p>
    <w:p w14:paraId="5308A535" w14:textId="77777777" w:rsidR="00CB690B" w:rsidRDefault="00000000" w:rsidP="00C601CD">
      <w:pPr>
        <w:ind w:left="-360"/>
      </w:pPr>
      <w:r>
        <w:br w:type="page"/>
      </w:r>
    </w:p>
    <w:p w14:paraId="0DB6CFE1" w14:textId="77777777" w:rsidR="00CB690B" w:rsidRDefault="00000000" w:rsidP="00C601CD">
      <w:pPr>
        <w:pStyle w:val="Heading1"/>
        <w:spacing w:before="360" w:after="160"/>
        <w:ind w:left="-360"/>
      </w:pPr>
      <w:r>
        <w:lastRenderedPageBreak/>
        <w:t>1. Introduction and Background</w:t>
      </w:r>
    </w:p>
    <w:p w14:paraId="39519440" w14:textId="77777777" w:rsidR="00CB690B" w:rsidRDefault="00000000" w:rsidP="00C601CD">
      <w:pPr>
        <w:spacing w:after="160" w:line="300" w:lineRule="auto"/>
        <w:ind w:left="-360"/>
      </w:pPr>
      <w:r>
        <w:rPr>
          <w:rFonts w:ascii="Calibri" w:eastAsia="Calibri" w:hAnsi="Calibri" w:cs="Calibri"/>
          <w:sz w:val="22"/>
          <w:szCs w:val="22"/>
        </w:rPr>
        <w:t>The UAC Program operates in a high-uncertainty environment in which sudden changes in border activity, policy enforcement, or humanitarian conditions can rapidly increase the number of children entering federal care. Children apprehended at the border are initially placed in CBP custody, which is intended to function as a brief holding stage, before being transferred to HHS, which is responsible for longer-term shelter care and eventual placement with a vetted sponsor — typically a relative already residing in the United States.</w:t>
      </w:r>
    </w:p>
    <w:p w14:paraId="09B126DB" w14:textId="77777777" w:rsidR="00CB690B" w:rsidRDefault="00000000" w:rsidP="00C601CD">
      <w:pPr>
        <w:spacing w:after="160" w:line="300" w:lineRule="auto"/>
        <w:ind w:left="-360"/>
      </w:pPr>
      <w:r>
        <w:rPr>
          <w:rFonts w:ascii="Calibri" w:eastAsia="Calibri" w:hAnsi="Calibri" w:cs="Calibri"/>
          <w:sz w:val="22"/>
          <w:szCs w:val="22"/>
        </w:rPr>
        <w:t>While descriptive reporting on this pipeline already exists, it answers only the question of what has already happened. Decision-makers responsible for shelter staffing, bed capacity, and caseworker allocation require forward-looking intelligence that answers a different set of questions: how many children will be under HHS care in the coming days or weeks, whether discharge capacity will be sufficient to offset incoming transfers, and when additional shelter, medical, and casework resources should be scaled up in advance of need.</w:t>
      </w:r>
    </w:p>
    <w:p w14:paraId="6C2C5D99" w14:textId="77777777" w:rsidR="00CB690B" w:rsidRDefault="00000000" w:rsidP="00C601CD">
      <w:pPr>
        <w:spacing w:after="160" w:line="300" w:lineRule="auto"/>
        <w:ind w:left="-360"/>
      </w:pPr>
      <w:r>
        <w:rPr>
          <w:rFonts w:ascii="Calibri" w:eastAsia="Calibri" w:hAnsi="Calibri" w:cs="Calibri"/>
          <w:sz w:val="22"/>
          <w:szCs w:val="22"/>
        </w:rPr>
        <w:t>This paper addresses that gap by building a predictive forecasting pipeline for the number of children in HHS care, benchmarking multiple modeling approaches, and translating the results into decision-support tools.</w:t>
      </w:r>
    </w:p>
    <w:p w14:paraId="7D0F9FB4" w14:textId="77777777" w:rsidR="00CB690B" w:rsidRDefault="00000000" w:rsidP="00C601CD">
      <w:pPr>
        <w:pStyle w:val="Heading2"/>
        <w:spacing w:before="280" w:after="120"/>
        <w:ind w:left="-360"/>
      </w:pPr>
      <w:r>
        <w:t>1.1 Problem Statement</w:t>
      </w:r>
    </w:p>
    <w:p w14:paraId="5B6EB699" w14:textId="77777777" w:rsidR="00CB690B" w:rsidRDefault="00000000" w:rsidP="00C601CD">
      <w:pPr>
        <w:spacing w:after="160" w:line="300" w:lineRule="auto"/>
        <w:ind w:left="-360"/>
      </w:pPr>
      <w:r>
        <w:rPr>
          <w:rFonts w:ascii="Calibri" w:eastAsia="Calibri" w:hAnsi="Calibri" w:cs="Calibri"/>
          <w:sz w:val="22"/>
          <w:szCs w:val="22"/>
        </w:rPr>
        <w:t>Despite high-quality daily time-series reporting, the UAC Program currently lacks short-term forecasts of children in HHS care, predictive estimates of discharge (placement) demand, and early-warning indicators of upcoming capacity stress. In the absence of these tools, operational responses to surges in intake are often delayed, which increases the risk of shelter overcrowding, elevated staff burnout, and extended length of stay for children awaiting placement.</w:t>
      </w:r>
    </w:p>
    <w:p w14:paraId="415FEF50" w14:textId="77777777" w:rsidR="00CB690B" w:rsidRDefault="00000000" w:rsidP="00C601CD">
      <w:pPr>
        <w:pStyle w:val="Heading2"/>
        <w:spacing w:before="280" w:after="120"/>
        <w:ind w:left="-360"/>
      </w:pPr>
      <w:r>
        <w:t>1.2 Objectives</w:t>
      </w:r>
    </w:p>
    <w:p w14:paraId="186CA0D7" w14:textId="77777777" w:rsidR="00CB690B" w:rsidRDefault="00000000" w:rsidP="00C601CD">
      <w:pPr>
        <w:pStyle w:val="ListParagraph"/>
        <w:numPr>
          <w:ilvl w:val="0"/>
          <w:numId w:val="2"/>
        </w:numPr>
        <w:spacing w:after="80"/>
        <w:ind w:left="-360" w:firstLine="0"/>
      </w:pPr>
      <w:r>
        <w:t>Forecast the number of children in HHS care over short- and medium-term horizons.</w:t>
      </w:r>
    </w:p>
    <w:p w14:paraId="1A63043E" w14:textId="77777777" w:rsidR="00CB690B" w:rsidRDefault="00000000" w:rsidP="00C601CD">
      <w:pPr>
        <w:pStyle w:val="ListParagraph"/>
        <w:numPr>
          <w:ilvl w:val="0"/>
          <w:numId w:val="2"/>
        </w:numPr>
        <w:spacing w:after="80"/>
        <w:ind w:left="-360" w:firstLine="0"/>
      </w:pPr>
      <w:r>
        <w:t>Estimate the future imbalance between system intake (transfers from CBP) and system exits (discharges to sponsors).</w:t>
      </w:r>
    </w:p>
    <w:p w14:paraId="63A67179" w14:textId="77777777" w:rsidR="00CB690B" w:rsidRDefault="00000000" w:rsidP="00C601CD">
      <w:pPr>
        <w:pStyle w:val="ListParagraph"/>
        <w:numPr>
          <w:ilvl w:val="0"/>
          <w:numId w:val="2"/>
        </w:numPr>
        <w:spacing w:after="80"/>
        <w:ind w:left="-360" w:firstLine="0"/>
      </w:pPr>
      <w:r>
        <w:t>Predict short-term discharge (placement) demand.</w:t>
      </w:r>
    </w:p>
    <w:p w14:paraId="035C1C95" w14:textId="77777777" w:rsidR="00CB690B" w:rsidRDefault="00000000" w:rsidP="00C601CD">
      <w:pPr>
        <w:pStyle w:val="ListParagraph"/>
        <w:numPr>
          <w:ilvl w:val="0"/>
          <w:numId w:val="2"/>
        </w:numPr>
        <w:spacing w:after="80"/>
        <w:ind w:left="-360" w:firstLine="0"/>
      </w:pPr>
      <w:r>
        <w:t>Provide early-warning indicators for capacity planners, quantify forecast uncertainty, and compare statistical against machine-learning forecasting approaches.</w:t>
      </w:r>
    </w:p>
    <w:p w14:paraId="7FC129A3" w14:textId="77777777" w:rsidR="00CB690B" w:rsidRDefault="00000000" w:rsidP="00C601CD">
      <w:pPr>
        <w:ind w:left="-360"/>
      </w:pPr>
      <w:r>
        <w:br w:type="page"/>
      </w:r>
    </w:p>
    <w:p w14:paraId="3067442F" w14:textId="77777777" w:rsidR="00CB690B" w:rsidRDefault="00000000" w:rsidP="00C601CD">
      <w:pPr>
        <w:pStyle w:val="Heading1"/>
        <w:spacing w:before="360" w:after="160"/>
        <w:ind w:left="-360"/>
      </w:pPr>
      <w:r>
        <w:lastRenderedPageBreak/>
        <w:t>2. Dataset Description</w:t>
      </w:r>
    </w:p>
    <w:p w14:paraId="04AF7D32" w14:textId="77777777" w:rsidR="00CB690B" w:rsidRDefault="00000000" w:rsidP="00C601CD">
      <w:pPr>
        <w:spacing w:after="160" w:line="300" w:lineRule="auto"/>
        <w:ind w:left="-360"/>
      </w:pPr>
      <w:r>
        <w:rPr>
          <w:rFonts w:ascii="Calibri" w:eastAsia="Calibri" w:hAnsi="Calibri" w:cs="Calibri"/>
          <w:sz w:val="22"/>
          <w:szCs w:val="22"/>
        </w:rPr>
        <w:t>The dataset consists of daily reporting records from the HHS Unaccompanied Alien Children Program, spanning January 12, 2023 to December 21, 2025 (720 valid reporting rows after removal of trailing blank export rows). Each row represents one reporting date and captures five operational measures: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300"/>
      </w:tblGrid>
      <w:tr w:rsidR="00CB690B" w14:paraId="59A41D25" w14:textId="77777777">
        <w:tblPrEx>
          <w:tblCellMar>
            <w:top w:w="0" w:type="dxa"/>
            <w:bottom w:w="0" w:type="dxa"/>
          </w:tblCellMar>
        </w:tblPrEx>
        <w:trPr>
          <w:tblHeader/>
        </w:trPr>
        <w:tc>
          <w:tcPr>
            <w:tcW w:w="4300" w:type="dxa"/>
            <w:shd w:val="clear" w:color="auto" w:fill="2E4057"/>
            <w:tcMar>
              <w:top w:w="80" w:type="dxa"/>
              <w:left w:w="100" w:type="dxa"/>
              <w:bottom w:w="80" w:type="dxa"/>
              <w:right w:w="100" w:type="dxa"/>
            </w:tcMar>
          </w:tcPr>
          <w:p w14:paraId="5B628A87" w14:textId="77777777" w:rsidR="00CB690B" w:rsidRDefault="00000000" w:rsidP="00C601CD">
            <w:pPr>
              <w:ind w:left="-360"/>
            </w:pPr>
            <w:r>
              <w:rPr>
                <w:rFonts w:ascii="Calibri" w:eastAsia="Calibri" w:hAnsi="Calibri" w:cs="Calibri"/>
                <w:b/>
                <w:bCs/>
                <w:color w:val="FFFFFF"/>
              </w:rPr>
              <w:t>Column</w:t>
            </w:r>
          </w:p>
        </w:tc>
        <w:tc>
          <w:tcPr>
            <w:tcW w:w="5300" w:type="dxa"/>
            <w:shd w:val="clear" w:color="auto" w:fill="2E4057"/>
            <w:tcMar>
              <w:top w:w="80" w:type="dxa"/>
              <w:left w:w="100" w:type="dxa"/>
              <w:bottom w:w="80" w:type="dxa"/>
              <w:right w:w="100" w:type="dxa"/>
            </w:tcMar>
          </w:tcPr>
          <w:p w14:paraId="6E69530D" w14:textId="77777777" w:rsidR="00CB690B" w:rsidRDefault="00000000" w:rsidP="00C601CD">
            <w:pPr>
              <w:ind w:left="-360"/>
            </w:pPr>
            <w:r>
              <w:rPr>
                <w:rFonts w:ascii="Calibri" w:eastAsia="Calibri" w:hAnsi="Calibri" w:cs="Calibri"/>
                <w:b/>
                <w:bCs/>
                <w:color w:val="FFFFFF"/>
              </w:rPr>
              <w:t>Description</w:t>
            </w:r>
          </w:p>
        </w:tc>
      </w:tr>
      <w:tr w:rsidR="00CB690B" w14:paraId="2F5831BB" w14:textId="77777777">
        <w:tblPrEx>
          <w:tblCellMar>
            <w:top w:w="0" w:type="dxa"/>
            <w:bottom w:w="0" w:type="dxa"/>
          </w:tblCellMar>
        </w:tblPrEx>
        <w:tc>
          <w:tcPr>
            <w:tcW w:w="4300" w:type="dxa"/>
            <w:tcMar>
              <w:top w:w="80" w:type="dxa"/>
              <w:left w:w="100" w:type="dxa"/>
              <w:bottom w:w="80" w:type="dxa"/>
              <w:right w:w="100" w:type="dxa"/>
            </w:tcMar>
          </w:tcPr>
          <w:p w14:paraId="07FF055D" w14:textId="77777777" w:rsidR="00CB690B" w:rsidRDefault="00000000" w:rsidP="00C601CD">
            <w:pPr>
              <w:ind w:left="-360"/>
            </w:pPr>
            <w:r>
              <w:rPr>
                <w:rFonts w:ascii="Calibri" w:eastAsia="Calibri" w:hAnsi="Calibri" w:cs="Calibri"/>
                <w:color w:val="222222"/>
              </w:rPr>
              <w:t>Children apprehended and placed in CBP custody</w:t>
            </w:r>
          </w:p>
        </w:tc>
        <w:tc>
          <w:tcPr>
            <w:tcW w:w="5300" w:type="dxa"/>
            <w:tcMar>
              <w:top w:w="80" w:type="dxa"/>
              <w:left w:w="100" w:type="dxa"/>
              <w:bottom w:w="80" w:type="dxa"/>
              <w:right w:w="100" w:type="dxa"/>
            </w:tcMar>
          </w:tcPr>
          <w:p w14:paraId="5D7D69FF" w14:textId="77777777" w:rsidR="00CB690B" w:rsidRDefault="00000000" w:rsidP="00C601CD">
            <w:pPr>
              <w:ind w:left="-360"/>
            </w:pPr>
            <w:r>
              <w:rPr>
                <w:rFonts w:ascii="Calibri" w:eastAsia="Calibri" w:hAnsi="Calibri" w:cs="Calibri"/>
                <w:color w:val="222222"/>
              </w:rPr>
              <w:t>Daily intake volume (new arrivals)</w:t>
            </w:r>
          </w:p>
        </w:tc>
      </w:tr>
      <w:tr w:rsidR="00CB690B" w14:paraId="5353ECD8" w14:textId="77777777">
        <w:tblPrEx>
          <w:tblCellMar>
            <w:top w:w="0" w:type="dxa"/>
            <w:bottom w:w="0" w:type="dxa"/>
          </w:tblCellMar>
        </w:tblPrEx>
        <w:tc>
          <w:tcPr>
            <w:tcW w:w="4300" w:type="dxa"/>
            <w:shd w:val="clear" w:color="auto" w:fill="F2F2F2"/>
            <w:tcMar>
              <w:top w:w="80" w:type="dxa"/>
              <w:left w:w="100" w:type="dxa"/>
              <w:bottom w:w="80" w:type="dxa"/>
              <w:right w:w="100" w:type="dxa"/>
            </w:tcMar>
          </w:tcPr>
          <w:p w14:paraId="6578A175" w14:textId="77777777" w:rsidR="00CB690B" w:rsidRDefault="00000000" w:rsidP="00C601CD">
            <w:pPr>
              <w:ind w:left="-360"/>
            </w:pPr>
            <w:r>
              <w:rPr>
                <w:rFonts w:ascii="Calibri" w:eastAsia="Calibri" w:hAnsi="Calibri" w:cs="Calibri"/>
                <w:color w:val="222222"/>
              </w:rPr>
              <w:t>Children in CBP custody</w:t>
            </w:r>
          </w:p>
        </w:tc>
        <w:tc>
          <w:tcPr>
            <w:tcW w:w="5300" w:type="dxa"/>
            <w:shd w:val="clear" w:color="auto" w:fill="F2F2F2"/>
            <w:tcMar>
              <w:top w:w="80" w:type="dxa"/>
              <w:left w:w="100" w:type="dxa"/>
              <w:bottom w:w="80" w:type="dxa"/>
              <w:right w:w="100" w:type="dxa"/>
            </w:tcMar>
          </w:tcPr>
          <w:p w14:paraId="5FD6ED21" w14:textId="77777777" w:rsidR="00CB690B" w:rsidRDefault="00000000" w:rsidP="00C601CD">
            <w:pPr>
              <w:ind w:left="-360"/>
            </w:pPr>
            <w:r>
              <w:rPr>
                <w:rFonts w:ascii="Calibri" w:eastAsia="Calibri" w:hAnsi="Calibri" w:cs="Calibri"/>
                <w:color w:val="222222"/>
              </w:rPr>
              <w:t>Active CBP care load (short-term holding)</w:t>
            </w:r>
          </w:p>
        </w:tc>
      </w:tr>
      <w:tr w:rsidR="00CB690B" w14:paraId="6D37D96F" w14:textId="77777777">
        <w:tblPrEx>
          <w:tblCellMar>
            <w:top w:w="0" w:type="dxa"/>
            <w:bottom w:w="0" w:type="dxa"/>
          </w:tblCellMar>
        </w:tblPrEx>
        <w:tc>
          <w:tcPr>
            <w:tcW w:w="4300" w:type="dxa"/>
            <w:tcMar>
              <w:top w:w="80" w:type="dxa"/>
              <w:left w:w="100" w:type="dxa"/>
              <w:bottom w:w="80" w:type="dxa"/>
              <w:right w:w="100" w:type="dxa"/>
            </w:tcMar>
          </w:tcPr>
          <w:p w14:paraId="55B1FCD9" w14:textId="77777777" w:rsidR="00CB690B" w:rsidRDefault="00000000" w:rsidP="00C601CD">
            <w:pPr>
              <w:ind w:left="-360"/>
            </w:pPr>
            <w:r>
              <w:rPr>
                <w:rFonts w:ascii="Calibri" w:eastAsia="Calibri" w:hAnsi="Calibri" w:cs="Calibri"/>
                <w:color w:val="222222"/>
              </w:rPr>
              <w:t>Children transferred out of CBP custody</w:t>
            </w:r>
          </w:p>
        </w:tc>
        <w:tc>
          <w:tcPr>
            <w:tcW w:w="5300" w:type="dxa"/>
            <w:tcMar>
              <w:top w:w="80" w:type="dxa"/>
              <w:left w:w="100" w:type="dxa"/>
              <w:bottom w:w="80" w:type="dxa"/>
              <w:right w:w="100" w:type="dxa"/>
            </w:tcMar>
          </w:tcPr>
          <w:p w14:paraId="283DFDA1" w14:textId="77777777" w:rsidR="00CB690B" w:rsidRDefault="00000000" w:rsidP="00C601CD">
            <w:pPr>
              <w:ind w:left="-360"/>
            </w:pPr>
            <w:r>
              <w:rPr>
                <w:rFonts w:ascii="Calibri" w:eastAsia="Calibri" w:hAnsi="Calibri" w:cs="Calibri"/>
                <w:color w:val="222222"/>
              </w:rPr>
              <w:t>Flow into the HHS system</w:t>
            </w:r>
          </w:p>
        </w:tc>
      </w:tr>
      <w:tr w:rsidR="00CB690B" w14:paraId="3CC6B138" w14:textId="77777777">
        <w:tblPrEx>
          <w:tblCellMar>
            <w:top w:w="0" w:type="dxa"/>
            <w:bottom w:w="0" w:type="dxa"/>
          </w:tblCellMar>
        </w:tblPrEx>
        <w:tc>
          <w:tcPr>
            <w:tcW w:w="4300" w:type="dxa"/>
            <w:shd w:val="clear" w:color="auto" w:fill="F2F2F2"/>
            <w:tcMar>
              <w:top w:w="80" w:type="dxa"/>
              <w:left w:w="100" w:type="dxa"/>
              <w:bottom w:w="80" w:type="dxa"/>
              <w:right w:w="100" w:type="dxa"/>
            </w:tcMar>
          </w:tcPr>
          <w:p w14:paraId="129D7043" w14:textId="77777777" w:rsidR="00CB690B" w:rsidRDefault="00000000" w:rsidP="00C601CD">
            <w:pPr>
              <w:ind w:left="-360"/>
            </w:pPr>
            <w:r>
              <w:rPr>
                <w:rFonts w:ascii="Calibri" w:eastAsia="Calibri" w:hAnsi="Calibri" w:cs="Calibri"/>
                <w:color w:val="222222"/>
              </w:rPr>
              <w:t>Children in HHS Care</w:t>
            </w:r>
          </w:p>
        </w:tc>
        <w:tc>
          <w:tcPr>
            <w:tcW w:w="5300" w:type="dxa"/>
            <w:shd w:val="clear" w:color="auto" w:fill="F2F2F2"/>
            <w:tcMar>
              <w:top w:w="80" w:type="dxa"/>
              <w:left w:w="100" w:type="dxa"/>
              <w:bottom w:w="80" w:type="dxa"/>
              <w:right w:w="100" w:type="dxa"/>
            </w:tcMar>
          </w:tcPr>
          <w:p w14:paraId="3CE87469" w14:textId="77777777" w:rsidR="00CB690B" w:rsidRDefault="00000000" w:rsidP="00C601CD">
            <w:pPr>
              <w:ind w:left="-360"/>
            </w:pPr>
            <w:r>
              <w:rPr>
                <w:rFonts w:ascii="Calibri" w:eastAsia="Calibri" w:hAnsi="Calibri" w:cs="Calibri"/>
                <w:color w:val="222222"/>
              </w:rPr>
              <w:t>Active HHS care load — primary forecasting target</w:t>
            </w:r>
          </w:p>
        </w:tc>
      </w:tr>
      <w:tr w:rsidR="00CB690B" w14:paraId="602F15CC" w14:textId="77777777">
        <w:tblPrEx>
          <w:tblCellMar>
            <w:top w:w="0" w:type="dxa"/>
            <w:bottom w:w="0" w:type="dxa"/>
          </w:tblCellMar>
        </w:tblPrEx>
        <w:tc>
          <w:tcPr>
            <w:tcW w:w="4300" w:type="dxa"/>
            <w:tcMar>
              <w:top w:w="80" w:type="dxa"/>
              <w:left w:w="100" w:type="dxa"/>
              <w:bottom w:w="80" w:type="dxa"/>
              <w:right w:w="100" w:type="dxa"/>
            </w:tcMar>
          </w:tcPr>
          <w:p w14:paraId="2D89795A" w14:textId="77777777" w:rsidR="00CB690B" w:rsidRDefault="00000000" w:rsidP="00C601CD">
            <w:pPr>
              <w:ind w:left="-360"/>
            </w:pPr>
            <w:r>
              <w:rPr>
                <w:rFonts w:ascii="Calibri" w:eastAsia="Calibri" w:hAnsi="Calibri" w:cs="Calibri"/>
                <w:color w:val="222222"/>
              </w:rPr>
              <w:t>Children discharged from HHS Care</w:t>
            </w:r>
          </w:p>
        </w:tc>
        <w:tc>
          <w:tcPr>
            <w:tcW w:w="5300" w:type="dxa"/>
            <w:tcMar>
              <w:top w:w="80" w:type="dxa"/>
              <w:left w:w="100" w:type="dxa"/>
              <w:bottom w:w="80" w:type="dxa"/>
              <w:right w:w="100" w:type="dxa"/>
            </w:tcMar>
          </w:tcPr>
          <w:p w14:paraId="0E013A87" w14:textId="77777777" w:rsidR="00CB690B" w:rsidRDefault="00000000" w:rsidP="00C601CD">
            <w:pPr>
              <w:ind w:left="-360"/>
            </w:pPr>
            <w:r>
              <w:rPr>
                <w:rFonts w:ascii="Calibri" w:eastAsia="Calibri" w:hAnsi="Calibri" w:cs="Calibri"/>
                <w:color w:val="222222"/>
              </w:rPr>
              <w:t>Successful sponsor placements (system exits)</w:t>
            </w:r>
          </w:p>
        </w:tc>
      </w:tr>
    </w:tbl>
    <w:p w14:paraId="09641B43" w14:textId="77777777" w:rsidR="00CB690B" w:rsidRDefault="00000000" w:rsidP="00C601CD">
      <w:pPr>
        <w:spacing w:before="60" w:after="240"/>
        <w:ind w:left="-360"/>
      </w:pPr>
      <w:r>
        <w:rPr>
          <w:rFonts w:ascii="Calibri" w:eastAsia="Calibri" w:hAnsi="Calibri" w:cs="Calibri"/>
          <w:i/>
          <w:iCs/>
          <w:color w:val="555555"/>
        </w:rPr>
        <w:t>Table 1. Dataset column definitions.</w:t>
      </w:r>
    </w:p>
    <w:p w14:paraId="60769F3F" w14:textId="77777777" w:rsidR="00CB690B" w:rsidRDefault="00000000" w:rsidP="00C601CD">
      <w:pPr>
        <w:pStyle w:val="Heading2"/>
        <w:spacing w:before="280" w:after="120"/>
        <w:ind w:left="-360"/>
      </w:pPr>
      <w:r>
        <w:t>2.1 Data Quality Observations</w:t>
      </w:r>
    </w:p>
    <w:p w14:paraId="41C81FC9" w14:textId="77777777" w:rsidR="00CB690B" w:rsidRDefault="00000000" w:rsidP="00C601CD">
      <w:pPr>
        <w:pStyle w:val="ListParagraph"/>
        <w:numPr>
          <w:ilvl w:val="0"/>
          <w:numId w:val="2"/>
        </w:numPr>
        <w:spacing w:after="80"/>
        <w:ind w:left="-360" w:firstLine="0"/>
      </w:pPr>
      <w:r>
        <w:t>Dates were recorded in at least two inconsistent text formats within the same column (e.g., “January 12, 2023” and “21-Dec-25”) and required mixed-format parsing.</w:t>
      </w:r>
    </w:p>
    <w:p w14:paraId="35782B13" w14:textId="77777777" w:rsidR="00CB690B" w:rsidRDefault="00000000" w:rsidP="00C601CD">
      <w:pPr>
        <w:pStyle w:val="ListParagraph"/>
        <w:numPr>
          <w:ilvl w:val="0"/>
          <w:numId w:val="2"/>
        </w:numPr>
        <w:spacing w:after="80"/>
        <w:ind w:left="-360" w:firstLine="0"/>
      </w:pPr>
      <w:r>
        <w:t>The primary target column, Children in HHS Care, was stored as a string with thousands-separator commas (e.g., “2,484”) and required conversion to numeric type prior to any analysis.</w:t>
      </w:r>
    </w:p>
    <w:p w14:paraId="5E195590" w14:textId="77777777" w:rsidR="00CB690B" w:rsidRDefault="00000000" w:rsidP="00C601CD">
      <w:pPr>
        <w:pStyle w:val="ListParagraph"/>
        <w:numPr>
          <w:ilvl w:val="0"/>
          <w:numId w:val="2"/>
        </w:numPr>
        <w:spacing w:after="80"/>
        <w:ind w:left="-360" w:firstLine="0"/>
      </w:pPr>
      <w:r>
        <w:t>The file contained 450 trailing blank rows from a spreadsheet export artifact, which were removed.</w:t>
      </w:r>
    </w:p>
    <w:p w14:paraId="0CF4511A" w14:textId="77777777" w:rsidR="00CB690B" w:rsidRDefault="00000000" w:rsidP="00C601CD">
      <w:pPr>
        <w:pStyle w:val="ListParagraph"/>
        <w:numPr>
          <w:ilvl w:val="0"/>
          <w:numId w:val="2"/>
        </w:numPr>
        <w:spacing w:after="80"/>
        <w:ind w:left="-360" w:firstLine="0"/>
      </w:pPr>
      <w:r>
        <w:t>No null values or duplicate reporting dates were present in the 720 valid rows once cleaned.</w:t>
      </w:r>
    </w:p>
    <w:p w14:paraId="13D8197B" w14:textId="77777777" w:rsidR="00CB690B" w:rsidRDefault="00000000" w:rsidP="00C601CD">
      <w:pPr>
        <w:pStyle w:val="Heading2"/>
        <w:spacing w:before="280" w:after="120"/>
        <w:ind w:left="-360"/>
      </w:pPr>
      <w:r>
        <w:t>2.2 Reporting Cadence: Not a True Daily Series</w:t>
      </w:r>
    </w:p>
    <w:p w14:paraId="64563EA6" w14:textId="77777777" w:rsidR="00CB690B" w:rsidRDefault="00000000" w:rsidP="00C601CD">
      <w:pPr>
        <w:spacing w:after="160" w:line="300" w:lineRule="auto"/>
        <w:ind w:left="-360"/>
      </w:pPr>
      <w:r>
        <w:rPr>
          <w:rFonts w:ascii="Calibri" w:eastAsia="Calibri" w:hAnsi="Calibri" w:cs="Calibri"/>
          <w:sz w:val="22"/>
          <w:szCs w:val="22"/>
        </w:rPr>
        <w:t>A key structural finding is that the dataset does not represent a continuous daily series. Day-of-week analysis of the 720 reporting dates shows substantially fewer Friday and Saturday reports than other days of the week (Thursday 135, Tuesday 132, Monday 130, Wednesday 128, Sunday 124, versus Friday 36 and Saturday 35), indicating a predominantly five-to-six-day weekly reporting cadence rather than a strict seven-day cycle.</w:t>
      </w:r>
    </w:p>
    <w:p w14:paraId="5BAE64A2" w14:textId="77777777" w:rsidR="00CB690B" w:rsidRDefault="00000000" w:rsidP="00C601CD">
      <w:pPr>
        <w:spacing w:after="160" w:line="300" w:lineRule="auto"/>
        <w:ind w:left="-360"/>
      </w:pPr>
      <w:r>
        <w:rPr>
          <w:rFonts w:ascii="Calibri" w:eastAsia="Calibri" w:hAnsi="Calibri" w:cs="Calibri"/>
          <w:sz w:val="22"/>
          <w:szCs w:val="22"/>
        </w:rPr>
        <w:t xml:space="preserve">An explicit </w:t>
      </w:r>
      <w:proofErr w:type="spellStart"/>
      <w:r>
        <w:rPr>
          <w:rFonts w:ascii="Calibri" w:eastAsia="Calibri" w:hAnsi="Calibri" w:cs="Calibri"/>
          <w:sz w:val="22"/>
          <w:szCs w:val="22"/>
        </w:rPr>
        <w:t>report_gap</w:t>
      </w:r>
      <w:proofErr w:type="spellEnd"/>
      <w:r>
        <w:rPr>
          <w:rFonts w:ascii="Calibri" w:eastAsia="Calibri" w:hAnsi="Calibri" w:cs="Calibri"/>
          <w:sz w:val="22"/>
          <w:szCs w:val="22"/>
        </w:rPr>
        <w:t xml:space="preserve"> feature (days elapsed since the previous report) was computed to quantify this. Of 719 measured gaps, 503 (70.0%) were exactly one day, 105 (14.6%) were two days, 88 (12.2%) were three days, and the remaining 3.2% ranged from four to eleven days, including one anomalous eleven-day gap in January 2023. This finding directly informed the decision to index the series by reporting day rather than calendar day (see Section 3.1) and to treat calendar-day seasonality with caution in model selection.</w:t>
      </w:r>
    </w:p>
    <w:p w14:paraId="4C577E22" w14:textId="77777777" w:rsidR="00CB690B" w:rsidRDefault="00000000" w:rsidP="00C601CD">
      <w:pPr>
        <w:ind w:left="-360"/>
      </w:pPr>
      <w:r>
        <w:br w:type="page"/>
      </w:r>
    </w:p>
    <w:p w14:paraId="538EABAD" w14:textId="77777777" w:rsidR="00CB690B" w:rsidRDefault="00000000" w:rsidP="00C601CD">
      <w:pPr>
        <w:pStyle w:val="Heading1"/>
        <w:spacing w:before="360" w:after="160"/>
        <w:ind w:left="-360"/>
      </w:pPr>
      <w:r>
        <w:lastRenderedPageBreak/>
        <w:t>3. Methodology</w:t>
      </w:r>
    </w:p>
    <w:p w14:paraId="235CF712" w14:textId="77777777" w:rsidR="00CB690B" w:rsidRDefault="00000000" w:rsidP="00C601CD">
      <w:pPr>
        <w:pStyle w:val="Heading2"/>
        <w:spacing w:before="280" w:after="120"/>
        <w:ind w:left="-360"/>
      </w:pPr>
      <w:r>
        <w:t>3.1 Time-Series Preparation</w:t>
      </w:r>
    </w:p>
    <w:p w14:paraId="407F449B" w14:textId="77777777" w:rsidR="00CB690B" w:rsidRDefault="00000000" w:rsidP="00C601CD">
      <w:pPr>
        <w:pStyle w:val="ListParagraph"/>
        <w:numPr>
          <w:ilvl w:val="0"/>
          <w:numId w:val="2"/>
        </w:numPr>
        <w:spacing w:after="80"/>
        <w:ind w:left="-360" w:firstLine="0"/>
      </w:pPr>
      <w:r>
        <w:t>Dates converted to a true datetime type using mixed-format parsing to accommodate inconsistent source formatting.</w:t>
      </w:r>
    </w:p>
    <w:p w14:paraId="6D77CAB1" w14:textId="77777777" w:rsidR="00CB690B" w:rsidRDefault="00000000" w:rsidP="00C601CD">
      <w:pPr>
        <w:pStyle w:val="ListParagraph"/>
        <w:numPr>
          <w:ilvl w:val="0"/>
          <w:numId w:val="2"/>
        </w:numPr>
        <w:spacing w:after="80"/>
        <w:ind w:left="-360" w:firstLine="0"/>
      </w:pPr>
      <w:r>
        <w:t>The primary target variable cleaned of thousands-separator formatting and cast to numeric type.</w:t>
      </w:r>
    </w:p>
    <w:p w14:paraId="27A7E715" w14:textId="77777777" w:rsidR="00CB690B" w:rsidRDefault="00000000" w:rsidP="00C601CD">
      <w:pPr>
        <w:pStyle w:val="ListParagraph"/>
        <w:numPr>
          <w:ilvl w:val="0"/>
          <w:numId w:val="2"/>
        </w:numPr>
        <w:spacing w:after="80"/>
        <w:ind w:left="-360" w:firstLine="0"/>
      </w:pPr>
      <w:r>
        <w:t>Records sorted in ascending chronological order (the source file was originally ordered newest-to-oldest).</w:t>
      </w:r>
    </w:p>
    <w:p w14:paraId="6F58D0FD" w14:textId="77777777" w:rsidR="00CB690B" w:rsidRDefault="00000000" w:rsidP="00C601CD">
      <w:pPr>
        <w:pStyle w:val="ListParagraph"/>
        <w:numPr>
          <w:ilvl w:val="0"/>
          <w:numId w:val="2"/>
        </w:numPr>
        <w:spacing w:after="80"/>
        <w:ind w:left="-360" w:firstLine="0"/>
      </w:pPr>
      <w:r>
        <w:t>Given the irregular, non-daily reporting cadence documented in Section 2.2, the series was indexed by reporting day rather than reindexed to a full calendar-day frequency. This avoids fabricating values for days the agency does not report (Fridays and Saturdays in most weeks), at the cost of lag and rolling-window features being defined relative to reporting cadence rather than fixed calendar time. This trade-off is treated as a documented limitation (Section 6.3) rather than an oversight.</w:t>
      </w:r>
    </w:p>
    <w:p w14:paraId="3D567B3D" w14:textId="77777777" w:rsidR="00CB690B" w:rsidRDefault="00000000" w:rsidP="00C601CD">
      <w:pPr>
        <w:pStyle w:val="ListParagraph"/>
        <w:numPr>
          <w:ilvl w:val="0"/>
          <w:numId w:val="2"/>
        </w:numPr>
        <w:spacing w:after="80"/>
        <w:ind w:left="-360" w:firstLine="0"/>
      </w:pPr>
      <w:r>
        <w:t xml:space="preserve">Formal trend/seasonality/residual decomposition was scoped out of this iteration in favor of the explicit </w:t>
      </w:r>
      <w:proofErr w:type="spellStart"/>
      <w:r>
        <w:t>report_gap</w:t>
      </w:r>
      <w:proofErr w:type="spellEnd"/>
      <w:r>
        <w:t xml:space="preserve"> and day-of-week analysis described above, which served the same diagnostic purpose with a more direct connection to the data's actual reporting structure.</w:t>
      </w:r>
    </w:p>
    <w:p w14:paraId="39C29A6B" w14:textId="77777777" w:rsidR="00CB690B" w:rsidRDefault="00000000" w:rsidP="00C601CD">
      <w:pPr>
        <w:pStyle w:val="Heading2"/>
        <w:spacing w:before="280" w:after="120"/>
        <w:ind w:left="-360"/>
      </w:pPr>
      <w:r>
        <w:t>3.2 Feature Engineering</w:t>
      </w:r>
    </w:p>
    <w:p w14:paraId="79AACABE" w14:textId="77777777" w:rsidR="00CB690B" w:rsidRDefault="00000000" w:rsidP="00C601CD">
      <w:pPr>
        <w:spacing w:after="160" w:line="300" w:lineRule="auto"/>
        <w:ind w:left="-360"/>
      </w:pPr>
      <w:r>
        <w:rPr>
          <w:rFonts w:ascii="Calibri" w:eastAsia="Calibri" w:hAnsi="Calibri" w:cs="Calibri"/>
          <w:sz w:val="22"/>
          <w:szCs w:val="22"/>
        </w:rPr>
        <w:t>The following predictive features were derived from the cleaned series: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00"/>
        <w:gridCol w:w="3500"/>
      </w:tblGrid>
      <w:tr w:rsidR="00CB690B" w14:paraId="2ED7B719" w14:textId="77777777">
        <w:tblPrEx>
          <w:tblCellMar>
            <w:top w:w="0" w:type="dxa"/>
            <w:bottom w:w="0" w:type="dxa"/>
          </w:tblCellMar>
        </w:tblPrEx>
        <w:trPr>
          <w:tblHeader/>
        </w:trPr>
        <w:tc>
          <w:tcPr>
            <w:tcW w:w="2400" w:type="dxa"/>
            <w:shd w:val="clear" w:color="auto" w:fill="2E4057"/>
            <w:tcMar>
              <w:top w:w="80" w:type="dxa"/>
              <w:left w:w="100" w:type="dxa"/>
              <w:bottom w:w="80" w:type="dxa"/>
              <w:right w:w="100" w:type="dxa"/>
            </w:tcMar>
          </w:tcPr>
          <w:p w14:paraId="2830CCFE" w14:textId="77777777" w:rsidR="00CB690B" w:rsidRDefault="00000000" w:rsidP="00C601CD">
            <w:pPr>
              <w:ind w:left="-360"/>
            </w:pPr>
            <w:r>
              <w:rPr>
                <w:rFonts w:ascii="Calibri" w:eastAsia="Calibri" w:hAnsi="Calibri" w:cs="Calibri"/>
                <w:b/>
                <w:bCs/>
                <w:color w:val="FFFFFF"/>
              </w:rPr>
              <w:t>Feature</w:t>
            </w:r>
          </w:p>
        </w:tc>
        <w:tc>
          <w:tcPr>
            <w:tcW w:w="3700" w:type="dxa"/>
            <w:shd w:val="clear" w:color="auto" w:fill="2E4057"/>
            <w:tcMar>
              <w:top w:w="80" w:type="dxa"/>
              <w:left w:w="100" w:type="dxa"/>
              <w:bottom w:w="80" w:type="dxa"/>
              <w:right w:w="100" w:type="dxa"/>
            </w:tcMar>
          </w:tcPr>
          <w:p w14:paraId="7334EA63" w14:textId="77777777" w:rsidR="00CB690B" w:rsidRDefault="00000000" w:rsidP="00C601CD">
            <w:pPr>
              <w:ind w:left="-360"/>
            </w:pPr>
            <w:r>
              <w:rPr>
                <w:rFonts w:ascii="Calibri" w:eastAsia="Calibri" w:hAnsi="Calibri" w:cs="Calibri"/>
                <w:b/>
                <w:bCs/>
                <w:color w:val="FFFFFF"/>
              </w:rPr>
              <w:t>Definition</w:t>
            </w:r>
          </w:p>
        </w:tc>
        <w:tc>
          <w:tcPr>
            <w:tcW w:w="3500" w:type="dxa"/>
            <w:shd w:val="clear" w:color="auto" w:fill="2E4057"/>
            <w:tcMar>
              <w:top w:w="80" w:type="dxa"/>
              <w:left w:w="100" w:type="dxa"/>
              <w:bottom w:w="80" w:type="dxa"/>
              <w:right w:w="100" w:type="dxa"/>
            </w:tcMar>
          </w:tcPr>
          <w:p w14:paraId="5010C80F" w14:textId="77777777" w:rsidR="00CB690B" w:rsidRDefault="00000000" w:rsidP="00C601CD">
            <w:pPr>
              <w:ind w:left="-360"/>
            </w:pPr>
            <w:r>
              <w:rPr>
                <w:rFonts w:ascii="Calibri" w:eastAsia="Calibri" w:hAnsi="Calibri" w:cs="Calibri"/>
                <w:b/>
                <w:bCs/>
                <w:color w:val="FFFFFF"/>
              </w:rPr>
              <w:t>Rationale</w:t>
            </w:r>
          </w:p>
        </w:tc>
      </w:tr>
      <w:tr w:rsidR="00CB690B" w14:paraId="660B77ED" w14:textId="77777777">
        <w:tblPrEx>
          <w:tblCellMar>
            <w:top w:w="0" w:type="dxa"/>
            <w:bottom w:w="0" w:type="dxa"/>
          </w:tblCellMar>
        </w:tblPrEx>
        <w:tc>
          <w:tcPr>
            <w:tcW w:w="2400" w:type="dxa"/>
            <w:tcMar>
              <w:top w:w="80" w:type="dxa"/>
              <w:left w:w="100" w:type="dxa"/>
              <w:bottom w:w="80" w:type="dxa"/>
              <w:right w:w="100" w:type="dxa"/>
            </w:tcMar>
          </w:tcPr>
          <w:p w14:paraId="24981725" w14:textId="77777777" w:rsidR="00CB690B" w:rsidRDefault="00000000" w:rsidP="00C601CD">
            <w:pPr>
              <w:ind w:left="-360"/>
            </w:pPr>
            <w:r>
              <w:rPr>
                <w:rFonts w:ascii="Calibri" w:eastAsia="Calibri" w:hAnsi="Calibri" w:cs="Calibri"/>
                <w:color w:val="222222"/>
              </w:rPr>
              <w:t>lag1, lag7, lag14</w:t>
            </w:r>
          </w:p>
        </w:tc>
        <w:tc>
          <w:tcPr>
            <w:tcW w:w="3700" w:type="dxa"/>
            <w:tcMar>
              <w:top w:w="80" w:type="dxa"/>
              <w:left w:w="100" w:type="dxa"/>
              <w:bottom w:w="80" w:type="dxa"/>
              <w:right w:w="100" w:type="dxa"/>
            </w:tcMar>
          </w:tcPr>
          <w:p w14:paraId="79BCB0D8" w14:textId="77777777" w:rsidR="00CB690B" w:rsidRDefault="00000000" w:rsidP="00C601CD">
            <w:pPr>
              <w:ind w:left="-360"/>
            </w:pPr>
            <w:r>
              <w:rPr>
                <w:rFonts w:ascii="Calibri" w:eastAsia="Calibri" w:hAnsi="Calibri" w:cs="Calibri"/>
                <w:color w:val="222222"/>
              </w:rPr>
              <w:t>Value of the target at 1, 7, and 14 reporting days prior</w:t>
            </w:r>
          </w:p>
        </w:tc>
        <w:tc>
          <w:tcPr>
            <w:tcW w:w="3500" w:type="dxa"/>
            <w:tcMar>
              <w:top w:w="80" w:type="dxa"/>
              <w:left w:w="100" w:type="dxa"/>
              <w:bottom w:w="80" w:type="dxa"/>
              <w:right w:w="100" w:type="dxa"/>
            </w:tcMar>
          </w:tcPr>
          <w:p w14:paraId="56D93678" w14:textId="77777777" w:rsidR="00CB690B" w:rsidRDefault="00000000" w:rsidP="00C601CD">
            <w:pPr>
              <w:ind w:left="-360"/>
            </w:pPr>
            <w:r>
              <w:rPr>
                <w:rFonts w:ascii="Calibri" w:eastAsia="Calibri" w:hAnsi="Calibri" w:cs="Calibri"/>
                <w:color w:val="222222"/>
              </w:rPr>
              <w:t>Captures short-term persistence and week-over-week pattern</w:t>
            </w:r>
          </w:p>
        </w:tc>
      </w:tr>
      <w:tr w:rsidR="00CB690B" w14:paraId="2631AF76"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6104B33C" w14:textId="77777777" w:rsidR="00CB690B" w:rsidRDefault="00000000" w:rsidP="00C601CD">
            <w:pPr>
              <w:ind w:left="-360"/>
            </w:pPr>
            <w:r>
              <w:rPr>
                <w:rFonts w:ascii="Calibri" w:eastAsia="Calibri" w:hAnsi="Calibri" w:cs="Calibri"/>
                <w:color w:val="222222"/>
              </w:rPr>
              <w:t>rolling_mean_7 / 14</w:t>
            </w:r>
          </w:p>
        </w:tc>
        <w:tc>
          <w:tcPr>
            <w:tcW w:w="3700" w:type="dxa"/>
            <w:shd w:val="clear" w:color="auto" w:fill="F2F2F2"/>
            <w:tcMar>
              <w:top w:w="80" w:type="dxa"/>
              <w:left w:w="100" w:type="dxa"/>
              <w:bottom w:w="80" w:type="dxa"/>
              <w:right w:w="100" w:type="dxa"/>
            </w:tcMar>
          </w:tcPr>
          <w:p w14:paraId="0C5CF378" w14:textId="77777777" w:rsidR="00CB690B" w:rsidRDefault="00000000" w:rsidP="00C601CD">
            <w:pPr>
              <w:ind w:left="-360"/>
            </w:pPr>
            <w:r>
              <w:rPr>
                <w:rFonts w:ascii="Calibri" w:eastAsia="Calibri" w:hAnsi="Calibri" w:cs="Calibri"/>
                <w:color w:val="222222"/>
              </w:rPr>
              <w:t>Mean of the target over the trailing 7 / 14 reporting days (excluding the current day)</w:t>
            </w:r>
          </w:p>
        </w:tc>
        <w:tc>
          <w:tcPr>
            <w:tcW w:w="3500" w:type="dxa"/>
            <w:shd w:val="clear" w:color="auto" w:fill="F2F2F2"/>
            <w:tcMar>
              <w:top w:w="80" w:type="dxa"/>
              <w:left w:w="100" w:type="dxa"/>
              <w:bottom w:w="80" w:type="dxa"/>
              <w:right w:w="100" w:type="dxa"/>
            </w:tcMar>
          </w:tcPr>
          <w:p w14:paraId="64F500EF" w14:textId="77777777" w:rsidR="00CB690B" w:rsidRDefault="00000000" w:rsidP="00C601CD">
            <w:pPr>
              <w:ind w:left="-360"/>
            </w:pPr>
            <w:r>
              <w:rPr>
                <w:rFonts w:ascii="Calibri" w:eastAsia="Calibri" w:hAnsi="Calibri" w:cs="Calibri"/>
                <w:color w:val="222222"/>
              </w:rPr>
              <w:t>Smooths noise; represents recent baseline level</w:t>
            </w:r>
          </w:p>
        </w:tc>
      </w:tr>
      <w:tr w:rsidR="00CB690B" w14:paraId="0D00E11B" w14:textId="77777777">
        <w:tblPrEx>
          <w:tblCellMar>
            <w:top w:w="0" w:type="dxa"/>
            <w:bottom w:w="0" w:type="dxa"/>
          </w:tblCellMar>
        </w:tblPrEx>
        <w:tc>
          <w:tcPr>
            <w:tcW w:w="2400" w:type="dxa"/>
            <w:tcMar>
              <w:top w:w="80" w:type="dxa"/>
              <w:left w:w="100" w:type="dxa"/>
              <w:bottom w:w="80" w:type="dxa"/>
              <w:right w:w="100" w:type="dxa"/>
            </w:tcMar>
          </w:tcPr>
          <w:p w14:paraId="5B250527" w14:textId="77777777" w:rsidR="00CB690B" w:rsidRDefault="00000000" w:rsidP="00C601CD">
            <w:pPr>
              <w:ind w:left="-360"/>
            </w:pPr>
            <w:r>
              <w:rPr>
                <w:rFonts w:ascii="Calibri" w:eastAsia="Calibri" w:hAnsi="Calibri" w:cs="Calibri"/>
                <w:color w:val="222222"/>
              </w:rPr>
              <w:t>rolling_std_7 / 14</w:t>
            </w:r>
          </w:p>
        </w:tc>
        <w:tc>
          <w:tcPr>
            <w:tcW w:w="3700" w:type="dxa"/>
            <w:tcMar>
              <w:top w:w="80" w:type="dxa"/>
              <w:left w:w="100" w:type="dxa"/>
              <w:bottom w:w="80" w:type="dxa"/>
              <w:right w:w="100" w:type="dxa"/>
            </w:tcMar>
          </w:tcPr>
          <w:p w14:paraId="3643875B" w14:textId="77777777" w:rsidR="00CB690B" w:rsidRDefault="00000000" w:rsidP="00C601CD">
            <w:pPr>
              <w:ind w:left="-360"/>
            </w:pPr>
            <w:r>
              <w:rPr>
                <w:rFonts w:ascii="Calibri" w:eastAsia="Calibri" w:hAnsi="Calibri" w:cs="Calibri"/>
                <w:color w:val="222222"/>
              </w:rPr>
              <w:t>Standard deviation of the target over the trailing 7 / 14 reporting days</w:t>
            </w:r>
          </w:p>
        </w:tc>
        <w:tc>
          <w:tcPr>
            <w:tcW w:w="3500" w:type="dxa"/>
            <w:tcMar>
              <w:top w:w="80" w:type="dxa"/>
              <w:left w:w="100" w:type="dxa"/>
              <w:bottom w:w="80" w:type="dxa"/>
              <w:right w:w="100" w:type="dxa"/>
            </w:tcMar>
          </w:tcPr>
          <w:p w14:paraId="57AC6DE5" w14:textId="77777777" w:rsidR="00CB690B" w:rsidRDefault="00000000" w:rsidP="00C601CD">
            <w:pPr>
              <w:ind w:left="-360"/>
            </w:pPr>
            <w:r>
              <w:rPr>
                <w:rFonts w:ascii="Calibri" w:eastAsia="Calibri" w:hAnsi="Calibri" w:cs="Calibri"/>
                <w:color w:val="222222"/>
              </w:rPr>
              <w:t>Represents recent volatility</w:t>
            </w:r>
          </w:p>
        </w:tc>
      </w:tr>
      <w:tr w:rsidR="00CB690B" w14:paraId="5D9CDC45"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75C88666" w14:textId="77777777" w:rsidR="00CB690B" w:rsidRDefault="00000000" w:rsidP="00C601CD">
            <w:pPr>
              <w:ind w:left="-360"/>
            </w:pPr>
            <w:proofErr w:type="spellStart"/>
            <w:r>
              <w:rPr>
                <w:rFonts w:ascii="Calibri" w:eastAsia="Calibri" w:hAnsi="Calibri" w:cs="Calibri"/>
                <w:color w:val="222222"/>
              </w:rPr>
              <w:t>net_stays</w:t>
            </w:r>
            <w:proofErr w:type="spellEnd"/>
          </w:p>
        </w:tc>
        <w:tc>
          <w:tcPr>
            <w:tcW w:w="3700" w:type="dxa"/>
            <w:shd w:val="clear" w:color="auto" w:fill="F2F2F2"/>
            <w:tcMar>
              <w:top w:w="80" w:type="dxa"/>
              <w:left w:w="100" w:type="dxa"/>
              <w:bottom w:w="80" w:type="dxa"/>
              <w:right w:w="100" w:type="dxa"/>
            </w:tcMar>
          </w:tcPr>
          <w:p w14:paraId="28D8DCBC" w14:textId="77777777" w:rsidR="00CB690B" w:rsidRDefault="00000000" w:rsidP="00C601CD">
            <w:pPr>
              <w:ind w:left="-360"/>
            </w:pPr>
            <w:r>
              <w:rPr>
                <w:rFonts w:ascii="Calibri" w:eastAsia="Calibri" w:hAnsi="Calibri" w:cs="Calibri"/>
                <w:color w:val="222222"/>
              </w:rPr>
              <w:t>Children transferred out of CBP custody minus Children discharged from HHS Care</w:t>
            </w:r>
          </w:p>
        </w:tc>
        <w:tc>
          <w:tcPr>
            <w:tcW w:w="3500" w:type="dxa"/>
            <w:shd w:val="clear" w:color="auto" w:fill="F2F2F2"/>
            <w:tcMar>
              <w:top w:w="80" w:type="dxa"/>
              <w:left w:w="100" w:type="dxa"/>
              <w:bottom w:w="80" w:type="dxa"/>
              <w:right w:w="100" w:type="dxa"/>
            </w:tcMar>
          </w:tcPr>
          <w:p w14:paraId="2298DE82" w14:textId="77777777" w:rsidR="00CB690B" w:rsidRDefault="00000000" w:rsidP="00C601CD">
            <w:pPr>
              <w:ind w:left="-360"/>
            </w:pPr>
            <w:r>
              <w:rPr>
                <w:rFonts w:ascii="Calibri" w:eastAsia="Calibri" w:hAnsi="Calibri" w:cs="Calibri"/>
                <w:color w:val="222222"/>
              </w:rPr>
              <w:t>Direct measure of daily system pressure: intake into HHS minus exits</w:t>
            </w:r>
          </w:p>
        </w:tc>
      </w:tr>
      <w:tr w:rsidR="00CB690B" w14:paraId="14E759EC" w14:textId="77777777">
        <w:tblPrEx>
          <w:tblCellMar>
            <w:top w:w="0" w:type="dxa"/>
            <w:bottom w:w="0" w:type="dxa"/>
          </w:tblCellMar>
        </w:tblPrEx>
        <w:tc>
          <w:tcPr>
            <w:tcW w:w="2400" w:type="dxa"/>
            <w:tcMar>
              <w:top w:w="80" w:type="dxa"/>
              <w:left w:w="100" w:type="dxa"/>
              <w:bottom w:w="80" w:type="dxa"/>
              <w:right w:w="100" w:type="dxa"/>
            </w:tcMar>
          </w:tcPr>
          <w:p w14:paraId="65BB2200" w14:textId="77777777" w:rsidR="00CB690B" w:rsidRDefault="00000000" w:rsidP="00C601CD">
            <w:pPr>
              <w:ind w:left="-360"/>
            </w:pPr>
            <w:proofErr w:type="spellStart"/>
            <w:r>
              <w:rPr>
                <w:rFonts w:ascii="Calibri" w:eastAsia="Calibri" w:hAnsi="Calibri" w:cs="Calibri"/>
                <w:color w:val="222222"/>
              </w:rPr>
              <w:t>day_of_week_num</w:t>
            </w:r>
            <w:proofErr w:type="spellEnd"/>
          </w:p>
        </w:tc>
        <w:tc>
          <w:tcPr>
            <w:tcW w:w="3700" w:type="dxa"/>
            <w:tcMar>
              <w:top w:w="80" w:type="dxa"/>
              <w:left w:w="100" w:type="dxa"/>
              <w:bottom w:w="80" w:type="dxa"/>
              <w:right w:w="100" w:type="dxa"/>
            </w:tcMar>
          </w:tcPr>
          <w:p w14:paraId="57143928" w14:textId="77777777" w:rsidR="00CB690B" w:rsidRDefault="00000000" w:rsidP="00C601CD">
            <w:pPr>
              <w:ind w:left="-360"/>
            </w:pPr>
            <w:r>
              <w:rPr>
                <w:rFonts w:ascii="Calibri" w:eastAsia="Calibri" w:hAnsi="Calibri" w:cs="Calibri"/>
                <w:color w:val="222222"/>
              </w:rPr>
              <w:t>Numeric day of week (0 = Monday ... 6 = Sunday)</w:t>
            </w:r>
          </w:p>
        </w:tc>
        <w:tc>
          <w:tcPr>
            <w:tcW w:w="3500" w:type="dxa"/>
            <w:tcMar>
              <w:top w:w="80" w:type="dxa"/>
              <w:left w:w="100" w:type="dxa"/>
              <w:bottom w:w="80" w:type="dxa"/>
              <w:right w:w="100" w:type="dxa"/>
            </w:tcMar>
          </w:tcPr>
          <w:p w14:paraId="3DE1A798" w14:textId="77777777" w:rsidR="00CB690B" w:rsidRDefault="00000000" w:rsidP="00C601CD">
            <w:pPr>
              <w:ind w:left="-360"/>
            </w:pPr>
            <w:r>
              <w:rPr>
                <w:rFonts w:ascii="Calibri" w:eastAsia="Calibri" w:hAnsi="Calibri" w:cs="Calibri"/>
                <w:color w:val="222222"/>
              </w:rPr>
              <w:t>Captures residual weekday effects in reporting and processing</w:t>
            </w:r>
          </w:p>
        </w:tc>
      </w:tr>
      <w:tr w:rsidR="00CB690B" w14:paraId="7C5F1334"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0A717533" w14:textId="77777777" w:rsidR="00CB690B" w:rsidRDefault="00000000" w:rsidP="00C601CD">
            <w:pPr>
              <w:ind w:left="-360"/>
            </w:pPr>
            <w:proofErr w:type="spellStart"/>
            <w:r>
              <w:rPr>
                <w:rFonts w:ascii="Calibri" w:eastAsia="Calibri" w:hAnsi="Calibri" w:cs="Calibri"/>
                <w:color w:val="222222"/>
              </w:rPr>
              <w:t>report_gap</w:t>
            </w:r>
            <w:proofErr w:type="spellEnd"/>
          </w:p>
        </w:tc>
        <w:tc>
          <w:tcPr>
            <w:tcW w:w="3700" w:type="dxa"/>
            <w:shd w:val="clear" w:color="auto" w:fill="F2F2F2"/>
            <w:tcMar>
              <w:top w:w="80" w:type="dxa"/>
              <w:left w:w="100" w:type="dxa"/>
              <w:bottom w:w="80" w:type="dxa"/>
              <w:right w:w="100" w:type="dxa"/>
            </w:tcMar>
          </w:tcPr>
          <w:p w14:paraId="3DA9DD6D" w14:textId="77777777" w:rsidR="00CB690B" w:rsidRDefault="00000000" w:rsidP="00C601CD">
            <w:pPr>
              <w:ind w:left="-360"/>
            </w:pPr>
            <w:r>
              <w:rPr>
                <w:rFonts w:ascii="Calibri" w:eastAsia="Calibri" w:hAnsi="Calibri" w:cs="Calibri"/>
                <w:color w:val="222222"/>
              </w:rPr>
              <w:t>Days elapsed since the previous report</w:t>
            </w:r>
          </w:p>
        </w:tc>
        <w:tc>
          <w:tcPr>
            <w:tcW w:w="3500" w:type="dxa"/>
            <w:shd w:val="clear" w:color="auto" w:fill="F2F2F2"/>
            <w:tcMar>
              <w:top w:w="80" w:type="dxa"/>
              <w:left w:w="100" w:type="dxa"/>
              <w:bottom w:w="80" w:type="dxa"/>
              <w:right w:w="100" w:type="dxa"/>
            </w:tcMar>
          </w:tcPr>
          <w:p w14:paraId="38A06568" w14:textId="77777777" w:rsidR="00CB690B" w:rsidRDefault="00000000" w:rsidP="00C601CD">
            <w:pPr>
              <w:ind w:left="-360"/>
            </w:pPr>
            <w:r>
              <w:rPr>
                <w:rFonts w:ascii="Calibri" w:eastAsia="Calibri" w:hAnsi="Calibri" w:cs="Calibri"/>
                <w:color w:val="222222"/>
              </w:rPr>
              <w:t>Flags stale or long-gap observations that may weaken lag reliability</w:t>
            </w:r>
          </w:p>
        </w:tc>
      </w:tr>
    </w:tbl>
    <w:p w14:paraId="6670BC95" w14:textId="77777777" w:rsidR="00CB690B" w:rsidRDefault="00000000" w:rsidP="00C601CD">
      <w:pPr>
        <w:spacing w:before="60" w:after="240"/>
        <w:ind w:left="-360"/>
      </w:pPr>
      <w:r>
        <w:rPr>
          <w:rFonts w:ascii="Calibri" w:eastAsia="Calibri" w:hAnsi="Calibri" w:cs="Calibri"/>
          <w:i/>
          <w:iCs/>
          <w:color w:val="555555"/>
        </w:rPr>
        <w:t>Table 2. Engineered features used for machine-learning models.</w:t>
      </w:r>
    </w:p>
    <w:p w14:paraId="0DFF825D" w14:textId="77777777" w:rsidR="00CB690B" w:rsidRDefault="00000000" w:rsidP="00C601CD">
      <w:pPr>
        <w:spacing w:after="160" w:line="300" w:lineRule="auto"/>
        <w:ind w:left="-360"/>
      </w:pPr>
      <w:r>
        <w:rPr>
          <w:rFonts w:ascii="Calibri" w:eastAsia="Calibri" w:hAnsi="Calibri" w:cs="Calibri"/>
          <w:sz w:val="22"/>
          <w:szCs w:val="22"/>
        </w:rPr>
        <w:t>All lag and rolling features were computed using only information available at or before the prior reporting day (i.e., shifted by one period before windowing), ensuring no future information leaked into any feature used to predict a given day.</w:t>
      </w:r>
    </w:p>
    <w:p w14:paraId="1E38E249" w14:textId="77777777" w:rsidR="00CB690B" w:rsidRDefault="00000000" w:rsidP="00C601CD">
      <w:pPr>
        <w:pStyle w:val="Heading2"/>
        <w:spacing w:before="280" w:after="120"/>
        <w:ind w:left="-360"/>
      </w:pPr>
      <w:r>
        <w:t>3.3 Net System Pressure (</w:t>
      </w:r>
      <w:proofErr w:type="spellStart"/>
      <w:r>
        <w:t>net_stays</w:t>
      </w:r>
      <w:proofErr w:type="spellEnd"/>
      <w:r>
        <w:t>)</w:t>
      </w:r>
    </w:p>
    <w:p w14:paraId="074DBC5A" w14:textId="77777777" w:rsidR="00CB690B" w:rsidRDefault="00000000" w:rsidP="00C601CD">
      <w:pPr>
        <w:spacing w:after="160" w:line="300" w:lineRule="auto"/>
        <w:ind w:left="-360"/>
      </w:pPr>
      <w:r>
        <w:rPr>
          <w:rFonts w:ascii="Calibri" w:eastAsia="Calibri" w:hAnsi="Calibri" w:cs="Calibri"/>
          <w:sz w:val="22"/>
          <w:szCs w:val="22"/>
        </w:rPr>
        <w:t xml:space="preserve">Across the full dataset, </w:t>
      </w:r>
      <w:proofErr w:type="spellStart"/>
      <w:r>
        <w:rPr>
          <w:rFonts w:ascii="Calibri" w:eastAsia="Calibri" w:hAnsi="Calibri" w:cs="Calibri"/>
          <w:sz w:val="22"/>
          <w:szCs w:val="22"/>
        </w:rPr>
        <w:t>net_stays</w:t>
      </w:r>
      <w:proofErr w:type="spellEnd"/>
      <w:r>
        <w:rPr>
          <w:rFonts w:ascii="Calibri" w:eastAsia="Calibri" w:hAnsi="Calibri" w:cs="Calibri"/>
          <w:sz w:val="22"/>
          <w:szCs w:val="22"/>
        </w:rPr>
        <w:t xml:space="preserve"> averaged −44.7 (median −11.5), indicating that on a typical reporting day, more children were discharged from HHS care than were transferred in from CBP custody — consistent with a system that is, on average, net-draining rather than net-filling. However, the top quartile of days showed </w:t>
      </w:r>
      <w:r>
        <w:rPr>
          <w:rFonts w:ascii="Calibri" w:eastAsia="Calibri" w:hAnsi="Calibri" w:cs="Calibri"/>
          <w:sz w:val="22"/>
          <w:szCs w:val="22"/>
        </w:rPr>
        <w:lastRenderedPageBreak/>
        <w:t xml:space="preserve">positive </w:t>
      </w:r>
      <w:proofErr w:type="spellStart"/>
      <w:r>
        <w:rPr>
          <w:rFonts w:ascii="Calibri" w:eastAsia="Calibri" w:hAnsi="Calibri" w:cs="Calibri"/>
          <w:sz w:val="22"/>
          <w:szCs w:val="22"/>
        </w:rPr>
        <w:t>net_stays</w:t>
      </w:r>
      <w:proofErr w:type="spellEnd"/>
      <w:r>
        <w:rPr>
          <w:rFonts w:ascii="Calibri" w:eastAsia="Calibri" w:hAnsi="Calibri" w:cs="Calibri"/>
          <w:sz w:val="22"/>
          <w:szCs w:val="22"/>
        </w:rPr>
        <w:t xml:space="preserve"> (up to a maximum of +206), and the most extreme single-day drain reached −465, indicating that while the long-run average is favorable, the system experiences meaningful day-to-day volatility, including intermittent surges in which intake outpaces discharge. These surge days are precisely the events an early-warning forecasting system is intended to anticipate.</w:t>
      </w:r>
    </w:p>
    <w:p w14:paraId="4C3F7427" w14:textId="77777777" w:rsidR="00CB690B" w:rsidRDefault="00000000" w:rsidP="00C601CD">
      <w:pPr>
        <w:pStyle w:val="Heading2"/>
        <w:spacing w:before="280" w:after="120"/>
        <w:ind w:left="-360"/>
      </w:pPr>
      <w:r>
        <w:t>3.4 Train/Test Strategy</w:t>
      </w:r>
    </w:p>
    <w:p w14:paraId="3957E37F" w14:textId="77777777" w:rsidR="00CB690B" w:rsidRDefault="00000000" w:rsidP="00C601CD">
      <w:pPr>
        <w:pStyle w:val="ListParagraph"/>
        <w:numPr>
          <w:ilvl w:val="0"/>
          <w:numId w:val="2"/>
        </w:numPr>
        <w:spacing w:after="80"/>
        <w:ind w:left="-360" w:firstLine="0"/>
      </w:pPr>
      <w:r>
        <w:t>Strict time-based split: no random shuffling of records at any stage, consistent with standard time-series evaluation practice.</w:t>
      </w:r>
    </w:p>
    <w:p w14:paraId="7BBF451E" w14:textId="77777777" w:rsidR="00CB690B" w:rsidRDefault="00000000" w:rsidP="00C601CD">
      <w:pPr>
        <w:pStyle w:val="ListParagraph"/>
        <w:numPr>
          <w:ilvl w:val="0"/>
          <w:numId w:val="2"/>
        </w:numPr>
        <w:spacing w:after="80"/>
        <w:ind w:left="-360" w:firstLine="0"/>
      </w:pPr>
      <w:r>
        <w:t>A holdout test set comprising the final 90 reporting days (August – December 2025) was reserved for final evaluation, with 616 earlier reporting days used for training.</w:t>
      </w:r>
    </w:p>
    <w:p w14:paraId="73CB82C3" w14:textId="77777777" w:rsidR="00CB690B" w:rsidRDefault="00000000" w:rsidP="00C601CD">
      <w:pPr>
        <w:pStyle w:val="ListParagraph"/>
        <w:numPr>
          <w:ilvl w:val="0"/>
          <w:numId w:val="2"/>
        </w:numPr>
        <w:spacing w:after="80"/>
        <w:ind w:left="-360" w:firstLine="0"/>
      </w:pPr>
      <w:r>
        <w:t>Walk-forward validation was used for model comparison: five sequential rounds, each with a 30-reporting-day test window, with the training window expanding forward in time between rounds. This produces a more representative estimate of real-world performance than a single train/test split, since it evaluates each model across five distinct historical periods rather than one.</w:t>
      </w:r>
    </w:p>
    <w:p w14:paraId="61645E36" w14:textId="77777777" w:rsidR="00CB690B" w:rsidRDefault="00000000" w:rsidP="00C601CD">
      <w:pPr>
        <w:pStyle w:val="ListParagraph"/>
        <w:numPr>
          <w:ilvl w:val="0"/>
          <w:numId w:val="2"/>
        </w:numPr>
        <w:spacing w:after="80"/>
        <w:ind w:left="-360" w:firstLine="0"/>
      </w:pPr>
      <w:r>
        <w:t>Multi-horizon evaluation was performed separately at 1-, 7-, and 14-reporting-day forecast horizons to assess how forecast reliability changes with lead time (Section 5.3).</w:t>
      </w:r>
    </w:p>
    <w:p w14:paraId="627F22B2" w14:textId="77777777" w:rsidR="00CB690B" w:rsidRDefault="00000000" w:rsidP="00C601CD">
      <w:pPr>
        <w:ind w:left="-360"/>
      </w:pPr>
      <w:r>
        <w:br w:type="page"/>
      </w:r>
    </w:p>
    <w:p w14:paraId="4262E1C7" w14:textId="77777777" w:rsidR="00CB690B" w:rsidRDefault="00000000" w:rsidP="00C601CD">
      <w:pPr>
        <w:pStyle w:val="Heading1"/>
        <w:spacing w:before="360" w:after="160"/>
        <w:ind w:left="-360"/>
      </w:pPr>
      <w:r>
        <w:lastRenderedPageBreak/>
        <w:t>4. Forecasting Models</w:t>
      </w:r>
    </w:p>
    <w:p w14:paraId="667C6456" w14:textId="77777777" w:rsidR="00CB690B" w:rsidRDefault="00000000" w:rsidP="00C601CD">
      <w:pPr>
        <w:spacing w:after="160" w:line="300" w:lineRule="auto"/>
        <w:ind w:left="-360"/>
      </w:pPr>
      <w:r>
        <w:rPr>
          <w:rFonts w:ascii="Calibri" w:eastAsia="Calibri" w:hAnsi="Calibri" w:cs="Calibri"/>
          <w:sz w:val="22"/>
          <w:szCs w:val="22"/>
        </w:rPr>
        <w:t>Five models were benchmarked in increasing order of complexity, allowing each additional layer of modeling sophistication to be evaluated against a simpler predecessor rather than assumed to be beneficial.</w:t>
      </w:r>
    </w:p>
    <w:p w14:paraId="4D22174D" w14:textId="77777777" w:rsidR="00CB690B" w:rsidRDefault="00000000" w:rsidP="00C601CD">
      <w:pPr>
        <w:pStyle w:val="Heading2"/>
        <w:spacing w:before="280" w:after="120"/>
        <w:ind w:left="-360"/>
      </w:pPr>
      <w:r>
        <w:t>4.1 Baseline Models</w:t>
      </w:r>
    </w:p>
    <w:p w14:paraId="2FE4B991" w14:textId="77777777" w:rsidR="00CB690B" w:rsidRDefault="00000000" w:rsidP="00C601CD">
      <w:pPr>
        <w:pStyle w:val="ListParagraph"/>
        <w:numPr>
          <w:ilvl w:val="0"/>
          <w:numId w:val="2"/>
        </w:numPr>
        <w:spacing w:after="80"/>
        <w:ind w:left="-360" w:firstLine="0"/>
      </w:pPr>
      <w:r>
        <w:t>Naive persistence: forecast equals the value from the previous reporting day (lag1).</w:t>
      </w:r>
    </w:p>
    <w:p w14:paraId="74AFCC49" w14:textId="77777777" w:rsidR="00CB690B" w:rsidRDefault="00000000" w:rsidP="00C601CD">
      <w:pPr>
        <w:pStyle w:val="ListParagraph"/>
        <w:numPr>
          <w:ilvl w:val="0"/>
          <w:numId w:val="2"/>
        </w:numPr>
        <w:spacing w:after="80"/>
        <w:ind w:left="-360" w:firstLine="0"/>
      </w:pPr>
      <w:r>
        <w:t>Moving average: forecast equals the mean of the trailing 7 reporting days (rolling_mean_7).</w:t>
      </w:r>
    </w:p>
    <w:p w14:paraId="173CF9D8" w14:textId="77777777" w:rsidR="00CB690B" w:rsidRDefault="00000000" w:rsidP="00C601CD">
      <w:pPr>
        <w:pStyle w:val="Heading2"/>
        <w:spacing w:before="280" w:after="120"/>
        <w:ind w:left="-360"/>
      </w:pPr>
      <w:r>
        <w:t>4.2 Statistical Models</w:t>
      </w:r>
    </w:p>
    <w:p w14:paraId="1949878C" w14:textId="77777777" w:rsidR="00CB690B" w:rsidRDefault="00000000" w:rsidP="00C601CD">
      <w:pPr>
        <w:pStyle w:val="ListParagraph"/>
        <w:numPr>
          <w:ilvl w:val="0"/>
          <w:numId w:val="2"/>
        </w:numPr>
        <w:spacing w:after="80"/>
        <w:ind w:left="-360" w:firstLine="0"/>
      </w:pPr>
      <w:proofErr w:type="gramStart"/>
      <w:r>
        <w:t>ARIMA(</w:t>
      </w:r>
      <w:proofErr w:type="gramEnd"/>
      <w:r>
        <w:t>1,1,1): captures short-term autoregressive dependence and linear trend via first-order differencing.</w:t>
      </w:r>
    </w:p>
    <w:p w14:paraId="34E1C28D" w14:textId="77777777" w:rsidR="00CB690B" w:rsidRDefault="00000000" w:rsidP="00C601CD">
      <w:pPr>
        <w:pStyle w:val="ListParagraph"/>
        <w:numPr>
          <w:ilvl w:val="0"/>
          <w:numId w:val="2"/>
        </w:numPr>
        <w:spacing w:after="80"/>
        <w:ind w:left="-360" w:firstLine="0"/>
      </w:pPr>
      <w:proofErr w:type="gramStart"/>
      <w:r>
        <w:t>SARIMA(</w:t>
      </w:r>
      <w:proofErr w:type="gramEnd"/>
      <w:r>
        <w:t>1,1,</w:t>
      </w:r>
      <w:proofErr w:type="gramStart"/>
      <w:r>
        <w:t>1)(</w:t>
      </w:r>
      <w:proofErr w:type="gramEnd"/>
      <w:r>
        <w:t>1,1,1,5): extends ARIMA with an explicit seasonal component, using a 5-period cycle to approximate one reporting week given the observed cadence (Section 2.2).</w:t>
      </w:r>
    </w:p>
    <w:p w14:paraId="53F17A02" w14:textId="77777777" w:rsidR="00CB690B" w:rsidRDefault="00000000" w:rsidP="00C601CD">
      <w:pPr>
        <w:pStyle w:val="Heading2"/>
        <w:spacing w:before="280" w:after="120"/>
        <w:ind w:left="-360"/>
      </w:pPr>
      <w:r>
        <w:t>4.3 Machine Learning Model</w:t>
      </w:r>
    </w:p>
    <w:p w14:paraId="71E26FF2" w14:textId="77777777" w:rsidR="00CB690B" w:rsidRDefault="00000000" w:rsidP="00C601CD">
      <w:pPr>
        <w:pStyle w:val="ListParagraph"/>
        <w:numPr>
          <w:ilvl w:val="0"/>
          <w:numId w:val="2"/>
        </w:numPr>
        <w:spacing w:after="80"/>
        <w:ind w:left="-360" w:firstLine="0"/>
      </w:pPr>
      <w:r>
        <w:t>Random Forest Regressor (200 trees): trained on the full engineered feature set (Table 2), allowing the model to jointly leverage lag structure, rolling statistics, flow-based pressure, and calendar effects — information no statistical baseline in this study had access to.</w:t>
      </w:r>
    </w:p>
    <w:p w14:paraId="16ED9339" w14:textId="77777777" w:rsidR="00CB690B" w:rsidRDefault="00000000" w:rsidP="00C601CD">
      <w:pPr>
        <w:spacing w:after="160" w:line="300" w:lineRule="auto"/>
        <w:ind w:left="-360"/>
      </w:pPr>
      <w:r>
        <w:rPr>
          <w:rFonts w:ascii="Calibri" w:eastAsia="Calibri" w:hAnsi="Calibri" w:cs="Calibri"/>
          <w:sz w:val="22"/>
          <w:szCs w:val="22"/>
        </w:rPr>
        <w:t>Gradient Boosting was scoped as a planned comparison model but was not required once Random Forest demonstrated a decisive performance advantage over every statistical and baseline alternative (Section 5.1); this is noted as an area for future extension rather than an omission of planned scope.</w:t>
      </w:r>
    </w:p>
    <w:p w14:paraId="3335B25F" w14:textId="77777777" w:rsidR="00CB690B" w:rsidRDefault="00000000" w:rsidP="00C601CD">
      <w:pPr>
        <w:ind w:left="-360"/>
      </w:pPr>
      <w:r>
        <w:br w:type="page"/>
      </w:r>
    </w:p>
    <w:p w14:paraId="2E08B6FC" w14:textId="77777777" w:rsidR="00CB690B" w:rsidRDefault="00000000" w:rsidP="00C601CD">
      <w:pPr>
        <w:pStyle w:val="Heading1"/>
        <w:spacing w:before="360" w:after="160"/>
        <w:ind w:left="-360"/>
      </w:pPr>
      <w:r>
        <w:lastRenderedPageBreak/>
        <w:t>5. Results</w:t>
      </w:r>
    </w:p>
    <w:p w14:paraId="1F60BE89" w14:textId="77777777" w:rsidR="00CB690B" w:rsidRDefault="00000000" w:rsidP="00C601CD">
      <w:pPr>
        <w:pStyle w:val="Heading2"/>
        <w:spacing w:before="280" w:after="120"/>
        <w:ind w:left="-360"/>
      </w:pPr>
      <w:r>
        <w:t>5.1 Model Comparison (Walk-Forward Validation)</w:t>
      </w:r>
    </w:p>
    <w:p w14:paraId="5D7A5134" w14:textId="77777777" w:rsidR="00CB690B" w:rsidRDefault="00000000" w:rsidP="00C601CD">
      <w:pPr>
        <w:spacing w:after="160" w:line="300" w:lineRule="auto"/>
        <w:ind w:left="-360"/>
      </w:pPr>
      <w:r>
        <w:rPr>
          <w:rFonts w:ascii="Calibri" w:eastAsia="Calibri" w:hAnsi="Calibri" w:cs="Calibri"/>
          <w:sz w:val="22"/>
          <w:szCs w:val="22"/>
        </w:rPr>
        <w:t>Mean Absolute Error (MAE) was averaged across all five walk-forward rounds for each model: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4000"/>
      </w:tblGrid>
      <w:tr w:rsidR="00CB690B" w14:paraId="54971DBA" w14:textId="77777777">
        <w:tblPrEx>
          <w:tblCellMar>
            <w:top w:w="0" w:type="dxa"/>
            <w:bottom w:w="0" w:type="dxa"/>
          </w:tblCellMar>
        </w:tblPrEx>
        <w:trPr>
          <w:tblHeader/>
        </w:trPr>
        <w:tc>
          <w:tcPr>
            <w:tcW w:w="3200" w:type="dxa"/>
            <w:shd w:val="clear" w:color="auto" w:fill="2E4057"/>
            <w:tcMar>
              <w:top w:w="80" w:type="dxa"/>
              <w:left w:w="100" w:type="dxa"/>
              <w:bottom w:w="80" w:type="dxa"/>
              <w:right w:w="100" w:type="dxa"/>
            </w:tcMar>
          </w:tcPr>
          <w:p w14:paraId="388A2403" w14:textId="77777777" w:rsidR="00CB690B" w:rsidRDefault="00000000" w:rsidP="00C601CD">
            <w:pPr>
              <w:ind w:left="-360"/>
            </w:pPr>
            <w:r>
              <w:rPr>
                <w:rFonts w:ascii="Calibri" w:eastAsia="Calibri" w:hAnsi="Calibri" w:cs="Calibri"/>
                <w:b/>
                <w:bCs/>
                <w:color w:val="FFFFFF"/>
              </w:rPr>
              <w:t>Model</w:t>
            </w:r>
          </w:p>
        </w:tc>
        <w:tc>
          <w:tcPr>
            <w:tcW w:w="2400" w:type="dxa"/>
            <w:shd w:val="clear" w:color="auto" w:fill="2E4057"/>
            <w:tcMar>
              <w:top w:w="80" w:type="dxa"/>
              <w:left w:w="100" w:type="dxa"/>
              <w:bottom w:w="80" w:type="dxa"/>
              <w:right w:w="100" w:type="dxa"/>
            </w:tcMar>
          </w:tcPr>
          <w:p w14:paraId="2694650D" w14:textId="77777777" w:rsidR="00CB690B" w:rsidRDefault="00000000" w:rsidP="00C601CD">
            <w:pPr>
              <w:ind w:left="-360"/>
            </w:pPr>
            <w:r>
              <w:rPr>
                <w:rFonts w:ascii="Calibri" w:eastAsia="Calibri" w:hAnsi="Calibri" w:cs="Calibri"/>
                <w:b/>
                <w:bCs/>
                <w:color w:val="FFFFFF"/>
              </w:rPr>
              <w:t>Average MAE</w:t>
            </w:r>
          </w:p>
        </w:tc>
        <w:tc>
          <w:tcPr>
            <w:tcW w:w="4000" w:type="dxa"/>
            <w:shd w:val="clear" w:color="auto" w:fill="2E4057"/>
            <w:tcMar>
              <w:top w:w="80" w:type="dxa"/>
              <w:left w:w="100" w:type="dxa"/>
              <w:bottom w:w="80" w:type="dxa"/>
              <w:right w:w="100" w:type="dxa"/>
            </w:tcMar>
          </w:tcPr>
          <w:p w14:paraId="25F57506" w14:textId="77777777" w:rsidR="00CB690B" w:rsidRDefault="00000000" w:rsidP="00C601CD">
            <w:pPr>
              <w:ind w:left="-360"/>
            </w:pPr>
            <w:r>
              <w:rPr>
                <w:rFonts w:ascii="Calibri" w:eastAsia="Calibri" w:hAnsi="Calibri" w:cs="Calibri"/>
                <w:b/>
                <w:bCs/>
                <w:color w:val="FFFFFF"/>
              </w:rPr>
              <w:t>Result</w:t>
            </w:r>
          </w:p>
        </w:tc>
      </w:tr>
      <w:tr w:rsidR="00CB690B" w14:paraId="742D27FB" w14:textId="77777777">
        <w:tblPrEx>
          <w:tblCellMar>
            <w:top w:w="0" w:type="dxa"/>
            <w:bottom w:w="0" w:type="dxa"/>
          </w:tblCellMar>
        </w:tblPrEx>
        <w:tc>
          <w:tcPr>
            <w:tcW w:w="3200" w:type="dxa"/>
            <w:tcMar>
              <w:top w:w="80" w:type="dxa"/>
              <w:left w:w="100" w:type="dxa"/>
              <w:bottom w:w="80" w:type="dxa"/>
              <w:right w:w="100" w:type="dxa"/>
            </w:tcMar>
          </w:tcPr>
          <w:p w14:paraId="445C4B67" w14:textId="77777777" w:rsidR="00CB690B" w:rsidRDefault="00000000" w:rsidP="00C601CD">
            <w:pPr>
              <w:ind w:left="-360"/>
            </w:pPr>
            <w:r>
              <w:rPr>
                <w:rFonts w:ascii="Calibri" w:eastAsia="Calibri" w:hAnsi="Calibri" w:cs="Calibri"/>
                <w:color w:val="222222"/>
              </w:rPr>
              <w:t>Random Forest</w:t>
            </w:r>
          </w:p>
        </w:tc>
        <w:tc>
          <w:tcPr>
            <w:tcW w:w="2400" w:type="dxa"/>
            <w:tcMar>
              <w:top w:w="80" w:type="dxa"/>
              <w:left w:w="100" w:type="dxa"/>
              <w:bottom w:w="80" w:type="dxa"/>
              <w:right w:w="100" w:type="dxa"/>
            </w:tcMar>
          </w:tcPr>
          <w:p w14:paraId="23C5784D" w14:textId="77777777" w:rsidR="00CB690B" w:rsidRDefault="00000000" w:rsidP="00C601CD">
            <w:pPr>
              <w:ind w:left="-360"/>
            </w:pPr>
            <w:r>
              <w:rPr>
                <w:rFonts w:ascii="Calibri" w:eastAsia="Calibri" w:hAnsi="Calibri" w:cs="Calibri"/>
                <w:color w:val="222222"/>
              </w:rPr>
              <w:t>211.22</w:t>
            </w:r>
          </w:p>
        </w:tc>
        <w:tc>
          <w:tcPr>
            <w:tcW w:w="4000" w:type="dxa"/>
            <w:tcMar>
              <w:top w:w="80" w:type="dxa"/>
              <w:left w:w="100" w:type="dxa"/>
              <w:bottom w:w="80" w:type="dxa"/>
              <w:right w:w="100" w:type="dxa"/>
            </w:tcMar>
          </w:tcPr>
          <w:p w14:paraId="69A4D931" w14:textId="77777777" w:rsidR="00CB690B" w:rsidRDefault="00000000" w:rsidP="00C601CD">
            <w:pPr>
              <w:ind w:left="-360"/>
            </w:pPr>
            <w:r>
              <w:rPr>
                <w:rFonts w:ascii="Calibri" w:eastAsia="Calibri" w:hAnsi="Calibri" w:cs="Calibri"/>
                <w:color w:val="222222"/>
              </w:rPr>
              <w:t>Best performer</w:t>
            </w:r>
          </w:p>
        </w:tc>
      </w:tr>
      <w:tr w:rsidR="00CB690B" w14:paraId="111F7FAF"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0363B9B4" w14:textId="77777777" w:rsidR="00CB690B" w:rsidRDefault="00000000" w:rsidP="00C601CD">
            <w:pPr>
              <w:ind w:left="-360"/>
            </w:pPr>
            <w:r>
              <w:rPr>
                <w:rFonts w:ascii="Calibri" w:eastAsia="Calibri" w:hAnsi="Calibri" w:cs="Calibri"/>
                <w:color w:val="222222"/>
              </w:rPr>
              <w:t>ARIMA (1,1,1)</w:t>
            </w:r>
          </w:p>
        </w:tc>
        <w:tc>
          <w:tcPr>
            <w:tcW w:w="2400" w:type="dxa"/>
            <w:shd w:val="clear" w:color="auto" w:fill="F2F2F2"/>
            <w:tcMar>
              <w:top w:w="80" w:type="dxa"/>
              <w:left w:w="100" w:type="dxa"/>
              <w:bottom w:w="80" w:type="dxa"/>
              <w:right w:w="100" w:type="dxa"/>
            </w:tcMar>
          </w:tcPr>
          <w:p w14:paraId="23D7E910" w14:textId="77777777" w:rsidR="00CB690B" w:rsidRDefault="00000000" w:rsidP="00C601CD">
            <w:pPr>
              <w:ind w:left="-360"/>
            </w:pPr>
            <w:r>
              <w:rPr>
                <w:rFonts w:ascii="Calibri" w:eastAsia="Calibri" w:hAnsi="Calibri" w:cs="Calibri"/>
                <w:color w:val="222222"/>
              </w:rPr>
              <w:t>295.19</w:t>
            </w:r>
          </w:p>
        </w:tc>
        <w:tc>
          <w:tcPr>
            <w:tcW w:w="4000" w:type="dxa"/>
            <w:shd w:val="clear" w:color="auto" w:fill="F2F2F2"/>
            <w:tcMar>
              <w:top w:w="80" w:type="dxa"/>
              <w:left w:w="100" w:type="dxa"/>
              <w:bottom w:w="80" w:type="dxa"/>
              <w:right w:w="100" w:type="dxa"/>
            </w:tcMar>
          </w:tcPr>
          <w:p w14:paraId="2D14C6E8" w14:textId="77777777" w:rsidR="00CB690B" w:rsidRDefault="00000000" w:rsidP="00C601CD">
            <w:pPr>
              <w:ind w:left="-360"/>
            </w:pPr>
            <w:r>
              <w:rPr>
                <w:rFonts w:ascii="Calibri" w:eastAsia="Calibri" w:hAnsi="Calibri" w:cs="Calibri"/>
                <w:color w:val="222222"/>
              </w:rPr>
              <w:t>Best statistical model</w:t>
            </w:r>
          </w:p>
        </w:tc>
      </w:tr>
      <w:tr w:rsidR="00CB690B" w14:paraId="7B8A9137" w14:textId="77777777">
        <w:tblPrEx>
          <w:tblCellMar>
            <w:top w:w="0" w:type="dxa"/>
            <w:bottom w:w="0" w:type="dxa"/>
          </w:tblCellMar>
        </w:tblPrEx>
        <w:tc>
          <w:tcPr>
            <w:tcW w:w="3200" w:type="dxa"/>
            <w:tcMar>
              <w:top w:w="80" w:type="dxa"/>
              <w:left w:w="100" w:type="dxa"/>
              <w:bottom w:w="80" w:type="dxa"/>
              <w:right w:w="100" w:type="dxa"/>
            </w:tcMar>
          </w:tcPr>
          <w:p w14:paraId="00722868" w14:textId="77777777" w:rsidR="00CB690B" w:rsidRDefault="00000000" w:rsidP="00C601CD">
            <w:pPr>
              <w:ind w:left="-360"/>
            </w:pPr>
            <w:r>
              <w:rPr>
                <w:rFonts w:ascii="Calibri" w:eastAsia="Calibri" w:hAnsi="Calibri" w:cs="Calibri"/>
                <w:color w:val="222222"/>
              </w:rPr>
              <w:t>Naive persistence</w:t>
            </w:r>
          </w:p>
        </w:tc>
        <w:tc>
          <w:tcPr>
            <w:tcW w:w="2400" w:type="dxa"/>
            <w:tcMar>
              <w:top w:w="80" w:type="dxa"/>
              <w:left w:w="100" w:type="dxa"/>
              <w:bottom w:w="80" w:type="dxa"/>
              <w:right w:w="100" w:type="dxa"/>
            </w:tcMar>
          </w:tcPr>
          <w:p w14:paraId="3684CA5D" w14:textId="77777777" w:rsidR="00CB690B" w:rsidRDefault="00000000" w:rsidP="00C601CD">
            <w:pPr>
              <w:ind w:left="-360"/>
            </w:pPr>
            <w:r>
              <w:rPr>
                <w:rFonts w:ascii="Calibri" w:eastAsia="Calibri" w:hAnsi="Calibri" w:cs="Calibri"/>
                <w:color w:val="222222"/>
              </w:rPr>
              <w:t>309.99</w:t>
            </w:r>
          </w:p>
        </w:tc>
        <w:tc>
          <w:tcPr>
            <w:tcW w:w="4000" w:type="dxa"/>
            <w:tcMar>
              <w:top w:w="80" w:type="dxa"/>
              <w:left w:w="100" w:type="dxa"/>
              <w:bottom w:w="80" w:type="dxa"/>
              <w:right w:w="100" w:type="dxa"/>
            </w:tcMar>
          </w:tcPr>
          <w:p w14:paraId="1F542E8D" w14:textId="77777777" w:rsidR="00CB690B" w:rsidRDefault="00000000" w:rsidP="00C601CD">
            <w:pPr>
              <w:ind w:left="-360"/>
            </w:pPr>
            <w:r>
              <w:rPr>
                <w:rFonts w:ascii="Calibri" w:eastAsia="Calibri" w:hAnsi="Calibri" w:cs="Calibri"/>
                <w:color w:val="222222"/>
              </w:rPr>
              <w:t>Baseline floor</w:t>
            </w:r>
          </w:p>
        </w:tc>
      </w:tr>
      <w:tr w:rsidR="00CB690B" w14:paraId="610D2AD3"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0DF1DB74" w14:textId="77777777" w:rsidR="00CB690B" w:rsidRDefault="00000000" w:rsidP="00C601CD">
            <w:pPr>
              <w:ind w:left="-360"/>
            </w:pPr>
            <w:r>
              <w:rPr>
                <w:rFonts w:ascii="Calibri" w:eastAsia="Calibri" w:hAnsi="Calibri" w:cs="Calibri"/>
                <w:color w:val="222222"/>
              </w:rPr>
              <w:t>Moving average (7-day)</w:t>
            </w:r>
          </w:p>
        </w:tc>
        <w:tc>
          <w:tcPr>
            <w:tcW w:w="2400" w:type="dxa"/>
            <w:shd w:val="clear" w:color="auto" w:fill="F2F2F2"/>
            <w:tcMar>
              <w:top w:w="80" w:type="dxa"/>
              <w:left w:w="100" w:type="dxa"/>
              <w:bottom w:w="80" w:type="dxa"/>
              <w:right w:w="100" w:type="dxa"/>
            </w:tcMar>
          </w:tcPr>
          <w:p w14:paraId="127C96FC" w14:textId="77777777" w:rsidR="00CB690B" w:rsidRDefault="00000000" w:rsidP="00C601CD">
            <w:pPr>
              <w:ind w:left="-360"/>
            </w:pPr>
            <w:r>
              <w:rPr>
                <w:rFonts w:ascii="Calibri" w:eastAsia="Calibri" w:hAnsi="Calibri" w:cs="Calibri"/>
                <w:color w:val="222222"/>
              </w:rPr>
              <w:t>311.50</w:t>
            </w:r>
          </w:p>
        </w:tc>
        <w:tc>
          <w:tcPr>
            <w:tcW w:w="4000" w:type="dxa"/>
            <w:shd w:val="clear" w:color="auto" w:fill="F2F2F2"/>
            <w:tcMar>
              <w:top w:w="80" w:type="dxa"/>
              <w:left w:w="100" w:type="dxa"/>
              <w:bottom w:w="80" w:type="dxa"/>
              <w:right w:w="100" w:type="dxa"/>
            </w:tcMar>
          </w:tcPr>
          <w:p w14:paraId="50B8EA9B" w14:textId="77777777" w:rsidR="00CB690B" w:rsidRDefault="00000000" w:rsidP="00C601CD">
            <w:pPr>
              <w:ind w:left="-360"/>
            </w:pPr>
            <w:r>
              <w:rPr>
                <w:rFonts w:ascii="Calibri" w:eastAsia="Calibri" w:hAnsi="Calibri" w:cs="Calibri"/>
                <w:color w:val="222222"/>
              </w:rPr>
              <w:t>No improvement over naive</w:t>
            </w:r>
          </w:p>
        </w:tc>
      </w:tr>
      <w:tr w:rsidR="00CB690B" w14:paraId="2D14DF91" w14:textId="77777777">
        <w:tblPrEx>
          <w:tblCellMar>
            <w:top w:w="0" w:type="dxa"/>
            <w:bottom w:w="0" w:type="dxa"/>
          </w:tblCellMar>
        </w:tblPrEx>
        <w:tc>
          <w:tcPr>
            <w:tcW w:w="3200" w:type="dxa"/>
            <w:tcMar>
              <w:top w:w="80" w:type="dxa"/>
              <w:left w:w="100" w:type="dxa"/>
              <w:bottom w:w="80" w:type="dxa"/>
              <w:right w:w="100" w:type="dxa"/>
            </w:tcMar>
          </w:tcPr>
          <w:p w14:paraId="5130DDC8" w14:textId="77777777" w:rsidR="00CB690B" w:rsidRDefault="00000000" w:rsidP="00C601CD">
            <w:pPr>
              <w:ind w:left="-360"/>
            </w:pPr>
            <w:r>
              <w:rPr>
                <w:rFonts w:ascii="Calibri" w:eastAsia="Calibri" w:hAnsi="Calibri" w:cs="Calibri"/>
                <w:color w:val="222222"/>
              </w:rPr>
              <w:t>SARIMA (1,1,</w:t>
            </w:r>
            <w:proofErr w:type="gramStart"/>
            <w:r>
              <w:rPr>
                <w:rFonts w:ascii="Calibri" w:eastAsia="Calibri" w:hAnsi="Calibri" w:cs="Calibri"/>
                <w:color w:val="222222"/>
              </w:rPr>
              <w:t>1)(</w:t>
            </w:r>
            <w:proofErr w:type="gramEnd"/>
            <w:r>
              <w:rPr>
                <w:rFonts w:ascii="Calibri" w:eastAsia="Calibri" w:hAnsi="Calibri" w:cs="Calibri"/>
                <w:color w:val="222222"/>
              </w:rPr>
              <w:t>1,1,1,5)</w:t>
            </w:r>
          </w:p>
        </w:tc>
        <w:tc>
          <w:tcPr>
            <w:tcW w:w="2400" w:type="dxa"/>
            <w:tcMar>
              <w:top w:w="80" w:type="dxa"/>
              <w:left w:w="100" w:type="dxa"/>
              <w:bottom w:w="80" w:type="dxa"/>
              <w:right w:w="100" w:type="dxa"/>
            </w:tcMar>
          </w:tcPr>
          <w:p w14:paraId="5AB92888" w14:textId="77777777" w:rsidR="00CB690B" w:rsidRDefault="00000000" w:rsidP="00C601CD">
            <w:pPr>
              <w:ind w:left="-360"/>
            </w:pPr>
            <w:r>
              <w:rPr>
                <w:rFonts w:ascii="Calibri" w:eastAsia="Calibri" w:hAnsi="Calibri" w:cs="Calibri"/>
                <w:color w:val="222222"/>
              </w:rPr>
              <w:t>317.66</w:t>
            </w:r>
          </w:p>
        </w:tc>
        <w:tc>
          <w:tcPr>
            <w:tcW w:w="4000" w:type="dxa"/>
            <w:tcMar>
              <w:top w:w="80" w:type="dxa"/>
              <w:left w:w="100" w:type="dxa"/>
              <w:bottom w:w="80" w:type="dxa"/>
              <w:right w:w="100" w:type="dxa"/>
            </w:tcMar>
          </w:tcPr>
          <w:p w14:paraId="0C54D24F" w14:textId="77777777" w:rsidR="00CB690B" w:rsidRDefault="00000000" w:rsidP="00C601CD">
            <w:pPr>
              <w:ind w:left="-360"/>
            </w:pPr>
            <w:r>
              <w:rPr>
                <w:rFonts w:ascii="Calibri" w:eastAsia="Calibri" w:hAnsi="Calibri" w:cs="Calibri"/>
                <w:color w:val="222222"/>
              </w:rPr>
              <w:t>Underperformed plain ARIMA</w:t>
            </w:r>
          </w:p>
        </w:tc>
      </w:tr>
    </w:tbl>
    <w:p w14:paraId="14D1805D" w14:textId="77777777" w:rsidR="00CB690B" w:rsidRDefault="00000000" w:rsidP="00C601CD">
      <w:pPr>
        <w:spacing w:before="60" w:after="240"/>
        <w:ind w:left="-360"/>
      </w:pPr>
      <w:r>
        <w:rPr>
          <w:rFonts w:ascii="Calibri" w:eastAsia="Calibri" w:hAnsi="Calibri" w:cs="Calibri"/>
          <w:i/>
          <w:iCs/>
          <w:color w:val="555555"/>
        </w:rPr>
        <w:t>Table 3. Average walk-forward MAE by model, ranked best to worst.</w:t>
      </w:r>
    </w:p>
    <w:p w14:paraId="44363C96" w14:textId="77777777" w:rsidR="00CB690B" w:rsidRDefault="00000000" w:rsidP="00C601CD">
      <w:pPr>
        <w:spacing w:after="160" w:line="300" w:lineRule="auto"/>
        <w:ind w:left="-360"/>
      </w:pPr>
      <w:r>
        <w:rPr>
          <w:rFonts w:ascii="Calibri" w:eastAsia="Calibri" w:hAnsi="Calibri" w:cs="Calibri"/>
          <w:sz w:val="22"/>
          <w:szCs w:val="22"/>
        </w:rPr>
        <w:t>Random Forest reduced average forecast error by approximately 28% relative to the best statistical model (ARIMA) and by approximately 32% relative to naive persistence, representing the clearest and most operationally significant finding of this study.</w:t>
      </w:r>
    </w:p>
    <w:p w14:paraId="6FBF274C" w14:textId="77777777" w:rsidR="00CB690B" w:rsidRDefault="00000000" w:rsidP="00C601CD">
      <w:pPr>
        <w:pStyle w:val="Heading2"/>
        <w:spacing w:before="280" w:after="120"/>
        <w:ind w:left="-360"/>
      </w:pPr>
      <w:r>
        <w:t>5.2 Why Simpler Models Underperformed</w:t>
      </w:r>
    </w:p>
    <w:p w14:paraId="13538287" w14:textId="77777777" w:rsidR="00CB690B" w:rsidRDefault="00000000" w:rsidP="00C601CD">
      <w:pPr>
        <w:spacing w:after="160" w:line="300" w:lineRule="auto"/>
        <w:ind w:left="-360"/>
      </w:pPr>
      <w:r>
        <w:rPr>
          <w:rFonts w:ascii="Calibri" w:eastAsia="Calibri" w:hAnsi="Calibri" w:cs="Calibri"/>
          <w:sz w:val="22"/>
          <w:szCs w:val="22"/>
        </w:rPr>
        <w:t>Moving average performed marginally worse than naive persistence. This is consistent with a series that exhibits meaningful short-term trend: averaging over the trailing seven days lags behind genuine directional movement, whereas persistence (copying the most recent value) reacts more immediately to recent change, even though it uses no smoothing at all.</w:t>
      </w:r>
    </w:p>
    <w:p w14:paraId="05C32886" w14:textId="77777777" w:rsidR="00CB690B" w:rsidRDefault="00000000" w:rsidP="00C601CD">
      <w:pPr>
        <w:spacing w:after="160" w:line="300" w:lineRule="auto"/>
        <w:ind w:left="-360"/>
      </w:pPr>
      <w:r>
        <w:rPr>
          <w:rFonts w:ascii="Calibri" w:eastAsia="Calibri" w:hAnsi="Calibri" w:cs="Calibri"/>
          <w:sz w:val="22"/>
          <w:szCs w:val="22"/>
        </w:rPr>
        <w:t>SARIMA underperformed plain ARIMA and, on average, even naive persistence, despite explicitly modeling weekly seasonality. Model fitting for SARIMA also produced convergence warnings in two of five walk-forward rounds, indicating the optimizer struggled to reach a stable solution. This is directly explained by the reporting-cadence finding in Section 2.2: the weekly cycle in this dataset is not a strict, evenly spaced pattern (Friday and Saturday reports occur only intermittently rather than being uniformly absent), so a rigid 5-period seasonal assumption adds model complexity without a correspondingly consistent seasonal signal to exploit.</w:t>
      </w:r>
    </w:p>
    <w:p w14:paraId="2AF647FD" w14:textId="77777777" w:rsidR="00CB690B" w:rsidRDefault="00000000" w:rsidP="00C601CD">
      <w:pPr>
        <w:spacing w:after="160" w:line="300" w:lineRule="auto"/>
        <w:ind w:left="-360"/>
      </w:pPr>
      <w:r>
        <w:rPr>
          <w:rFonts w:ascii="Calibri" w:eastAsia="Calibri" w:hAnsi="Calibri" w:cs="Calibri"/>
          <w:sz w:val="22"/>
          <w:szCs w:val="22"/>
        </w:rPr>
        <w:t xml:space="preserve">Random Forest's advantage is attributable to its ability to use engineered features beyond the raw target series — particularly </w:t>
      </w:r>
      <w:proofErr w:type="spellStart"/>
      <w:r>
        <w:rPr>
          <w:rFonts w:ascii="Calibri" w:eastAsia="Calibri" w:hAnsi="Calibri" w:cs="Calibri"/>
          <w:sz w:val="22"/>
          <w:szCs w:val="22"/>
        </w:rPr>
        <w:t>net_stays</w:t>
      </w:r>
      <w:proofErr w:type="spellEnd"/>
      <w:r>
        <w:rPr>
          <w:rFonts w:ascii="Calibri" w:eastAsia="Calibri" w:hAnsi="Calibri" w:cs="Calibri"/>
          <w:sz w:val="22"/>
          <w:szCs w:val="22"/>
        </w:rPr>
        <w:t>, which directly encodes the daily imbalance between system intake and exits, and is unavailable to any of the univariate statistical baselines.</w:t>
      </w:r>
    </w:p>
    <w:p w14:paraId="45348E4D" w14:textId="77777777" w:rsidR="00CB690B" w:rsidRDefault="00000000" w:rsidP="00C601CD">
      <w:pPr>
        <w:pStyle w:val="Heading2"/>
        <w:spacing w:before="280" w:after="120"/>
        <w:ind w:left="-360"/>
      </w:pPr>
      <w:r>
        <w:t>5.3 Extended Evaluation Metrics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600"/>
      </w:tblGrid>
      <w:tr w:rsidR="00CB690B" w14:paraId="55E70D3C" w14:textId="77777777">
        <w:tblPrEx>
          <w:tblCellMar>
            <w:top w:w="0" w:type="dxa"/>
            <w:bottom w:w="0" w:type="dxa"/>
          </w:tblCellMar>
        </w:tblPrEx>
        <w:trPr>
          <w:tblHeader/>
        </w:trPr>
        <w:tc>
          <w:tcPr>
            <w:tcW w:w="2800" w:type="dxa"/>
            <w:shd w:val="clear" w:color="auto" w:fill="2E4057"/>
            <w:tcMar>
              <w:top w:w="80" w:type="dxa"/>
              <w:left w:w="100" w:type="dxa"/>
              <w:bottom w:w="80" w:type="dxa"/>
              <w:right w:w="100" w:type="dxa"/>
            </w:tcMar>
          </w:tcPr>
          <w:p w14:paraId="0C43EE34" w14:textId="77777777" w:rsidR="00CB690B" w:rsidRDefault="00000000" w:rsidP="00C601CD">
            <w:pPr>
              <w:ind w:left="-360"/>
            </w:pPr>
            <w:r>
              <w:rPr>
                <w:rFonts w:ascii="Calibri" w:eastAsia="Calibri" w:hAnsi="Calibri" w:cs="Calibri"/>
                <w:b/>
                <w:bCs/>
                <w:color w:val="FFFFFF"/>
              </w:rPr>
              <w:t>Metric</w:t>
            </w:r>
          </w:p>
        </w:tc>
        <w:tc>
          <w:tcPr>
            <w:tcW w:w="2200" w:type="dxa"/>
            <w:shd w:val="clear" w:color="auto" w:fill="2E4057"/>
            <w:tcMar>
              <w:top w:w="80" w:type="dxa"/>
              <w:left w:w="100" w:type="dxa"/>
              <w:bottom w:w="80" w:type="dxa"/>
              <w:right w:w="100" w:type="dxa"/>
            </w:tcMar>
          </w:tcPr>
          <w:p w14:paraId="2515E648" w14:textId="77777777" w:rsidR="00CB690B" w:rsidRDefault="00000000" w:rsidP="00C601CD">
            <w:pPr>
              <w:ind w:left="-360"/>
            </w:pPr>
            <w:r>
              <w:rPr>
                <w:rFonts w:ascii="Calibri" w:eastAsia="Calibri" w:hAnsi="Calibri" w:cs="Calibri"/>
                <w:b/>
                <w:bCs/>
                <w:color w:val="FFFFFF"/>
              </w:rPr>
              <w:t>Value</w:t>
            </w:r>
          </w:p>
        </w:tc>
        <w:tc>
          <w:tcPr>
            <w:tcW w:w="4600" w:type="dxa"/>
            <w:shd w:val="clear" w:color="auto" w:fill="2E4057"/>
            <w:tcMar>
              <w:top w:w="80" w:type="dxa"/>
              <w:left w:w="100" w:type="dxa"/>
              <w:bottom w:w="80" w:type="dxa"/>
              <w:right w:w="100" w:type="dxa"/>
            </w:tcMar>
          </w:tcPr>
          <w:p w14:paraId="54302422" w14:textId="77777777" w:rsidR="00CB690B" w:rsidRDefault="00000000" w:rsidP="00C601CD">
            <w:pPr>
              <w:ind w:left="-360"/>
            </w:pPr>
            <w:r>
              <w:rPr>
                <w:rFonts w:ascii="Calibri" w:eastAsia="Calibri" w:hAnsi="Calibri" w:cs="Calibri"/>
                <w:b/>
                <w:bCs/>
                <w:color w:val="FFFFFF"/>
              </w:rPr>
              <w:t>Interpretation</w:t>
            </w:r>
          </w:p>
        </w:tc>
      </w:tr>
      <w:tr w:rsidR="00CB690B" w14:paraId="1B1D2864" w14:textId="77777777">
        <w:tblPrEx>
          <w:tblCellMar>
            <w:top w:w="0" w:type="dxa"/>
            <w:bottom w:w="0" w:type="dxa"/>
          </w:tblCellMar>
        </w:tblPrEx>
        <w:tc>
          <w:tcPr>
            <w:tcW w:w="2800" w:type="dxa"/>
            <w:tcMar>
              <w:top w:w="80" w:type="dxa"/>
              <w:left w:w="100" w:type="dxa"/>
              <w:bottom w:w="80" w:type="dxa"/>
              <w:right w:w="100" w:type="dxa"/>
            </w:tcMar>
          </w:tcPr>
          <w:p w14:paraId="1BF38B52" w14:textId="77777777" w:rsidR="00CB690B" w:rsidRDefault="00000000" w:rsidP="00C601CD">
            <w:pPr>
              <w:ind w:left="-360"/>
            </w:pPr>
            <w:r>
              <w:rPr>
                <w:rFonts w:ascii="Calibri" w:eastAsia="Calibri" w:hAnsi="Calibri" w:cs="Calibri"/>
                <w:color w:val="222222"/>
              </w:rPr>
              <w:t>MAE</w:t>
            </w:r>
          </w:p>
        </w:tc>
        <w:tc>
          <w:tcPr>
            <w:tcW w:w="2200" w:type="dxa"/>
            <w:tcMar>
              <w:top w:w="80" w:type="dxa"/>
              <w:left w:w="100" w:type="dxa"/>
              <w:bottom w:w="80" w:type="dxa"/>
              <w:right w:w="100" w:type="dxa"/>
            </w:tcMar>
          </w:tcPr>
          <w:p w14:paraId="69347811" w14:textId="77777777" w:rsidR="00CB690B" w:rsidRDefault="00000000" w:rsidP="00C601CD">
            <w:pPr>
              <w:ind w:left="-360"/>
            </w:pPr>
            <w:r>
              <w:rPr>
                <w:rFonts w:ascii="Calibri" w:eastAsia="Calibri" w:hAnsi="Calibri" w:cs="Calibri"/>
                <w:color w:val="222222"/>
              </w:rPr>
              <w:t>211.22</w:t>
            </w:r>
          </w:p>
        </w:tc>
        <w:tc>
          <w:tcPr>
            <w:tcW w:w="4600" w:type="dxa"/>
            <w:tcMar>
              <w:top w:w="80" w:type="dxa"/>
              <w:left w:w="100" w:type="dxa"/>
              <w:bottom w:w="80" w:type="dxa"/>
              <w:right w:w="100" w:type="dxa"/>
            </w:tcMar>
          </w:tcPr>
          <w:p w14:paraId="1CEF159F" w14:textId="77777777" w:rsidR="00CB690B" w:rsidRDefault="00000000" w:rsidP="00C601CD">
            <w:pPr>
              <w:ind w:left="-360"/>
            </w:pPr>
            <w:r>
              <w:rPr>
                <w:rFonts w:ascii="Calibri" w:eastAsia="Calibri" w:hAnsi="Calibri" w:cs="Calibri"/>
                <w:color w:val="222222"/>
              </w:rPr>
              <w:t>Average absolute forecast error, in children</w:t>
            </w:r>
          </w:p>
        </w:tc>
      </w:tr>
      <w:tr w:rsidR="00CB690B" w14:paraId="69B4623C"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48A33D93" w14:textId="77777777" w:rsidR="00CB690B" w:rsidRDefault="00000000" w:rsidP="00C601CD">
            <w:pPr>
              <w:ind w:left="-360"/>
            </w:pPr>
            <w:r>
              <w:rPr>
                <w:rFonts w:ascii="Calibri" w:eastAsia="Calibri" w:hAnsi="Calibri" w:cs="Calibri"/>
                <w:color w:val="222222"/>
              </w:rPr>
              <w:lastRenderedPageBreak/>
              <w:t>RMSE</w:t>
            </w:r>
          </w:p>
        </w:tc>
        <w:tc>
          <w:tcPr>
            <w:tcW w:w="2200" w:type="dxa"/>
            <w:shd w:val="clear" w:color="auto" w:fill="F2F2F2"/>
            <w:tcMar>
              <w:top w:w="80" w:type="dxa"/>
              <w:left w:w="100" w:type="dxa"/>
              <w:bottom w:w="80" w:type="dxa"/>
              <w:right w:w="100" w:type="dxa"/>
            </w:tcMar>
          </w:tcPr>
          <w:p w14:paraId="397E018D" w14:textId="77777777" w:rsidR="00CB690B" w:rsidRDefault="00000000" w:rsidP="00C601CD">
            <w:pPr>
              <w:ind w:left="-360"/>
            </w:pPr>
            <w:r>
              <w:rPr>
                <w:rFonts w:ascii="Calibri" w:eastAsia="Calibri" w:hAnsi="Calibri" w:cs="Calibri"/>
                <w:color w:val="222222"/>
              </w:rPr>
              <w:t>361.59</w:t>
            </w:r>
          </w:p>
        </w:tc>
        <w:tc>
          <w:tcPr>
            <w:tcW w:w="4600" w:type="dxa"/>
            <w:shd w:val="clear" w:color="auto" w:fill="F2F2F2"/>
            <w:tcMar>
              <w:top w:w="80" w:type="dxa"/>
              <w:left w:w="100" w:type="dxa"/>
              <w:bottom w:w="80" w:type="dxa"/>
              <w:right w:w="100" w:type="dxa"/>
            </w:tcMar>
          </w:tcPr>
          <w:p w14:paraId="320E4D33" w14:textId="77777777" w:rsidR="00CB690B" w:rsidRDefault="00000000" w:rsidP="00C601CD">
            <w:pPr>
              <w:ind w:left="-360"/>
            </w:pPr>
            <w:r>
              <w:rPr>
                <w:rFonts w:ascii="Calibri" w:eastAsia="Calibri" w:hAnsi="Calibri" w:cs="Calibri"/>
                <w:color w:val="222222"/>
              </w:rPr>
              <w:t>Larger than MAE, indicating a subset of forecasts carried disproportionately large errors</w:t>
            </w:r>
          </w:p>
        </w:tc>
      </w:tr>
      <w:tr w:rsidR="00CB690B" w14:paraId="26435689" w14:textId="77777777">
        <w:tblPrEx>
          <w:tblCellMar>
            <w:top w:w="0" w:type="dxa"/>
            <w:bottom w:w="0" w:type="dxa"/>
          </w:tblCellMar>
        </w:tblPrEx>
        <w:tc>
          <w:tcPr>
            <w:tcW w:w="2800" w:type="dxa"/>
            <w:tcMar>
              <w:top w:w="80" w:type="dxa"/>
              <w:left w:w="100" w:type="dxa"/>
              <w:bottom w:w="80" w:type="dxa"/>
              <w:right w:w="100" w:type="dxa"/>
            </w:tcMar>
          </w:tcPr>
          <w:p w14:paraId="4829874A" w14:textId="77777777" w:rsidR="00CB690B" w:rsidRDefault="00000000" w:rsidP="00C601CD">
            <w:pPr>
              <w:ind w:left="-360"/>
            </w:pPr>
            <w:r>
              <w:rPr>
                <w:rFonts w:ascii="Calibri" w:eastAsia="Calibri" w:hAnsi="Calibri" w:cs="Calibri"/>
                <w:color w:val="222222"/>
              </w:rPr>
              <w:t>MAPE</w:t>
            </w:r>
          </w:p>
        </w:tc>
        <w:tc>
          <w:tcPr>
            <w:tcW w:w="2200" w:type="dxa"/>
            <w:tcMar>
              <w:top w:w="80" w:type="dxa"/>
              <w:left w:w="100" w:type="dxa"/>
              <w:bottom w:w="80" w:type="dxa"/>
              <w:right w:w="100" w:type="dxa"/>
            </w:tcMar>
          </w:tcPr>
          <w:p w14:paraId="7C380682" w14:textId="77777777" w:rsidR="00CB690B" w:rsidRDefault="00000000" w:rsidP="00C601CD">
            <w:pPr>
              <w:ind w:left="-360"/>
            </w:pPr>
            <w:r>
              <w:rPr>
                <w:rFonts w:ascii="Calibri" w:eastAsia="Calibri" w:hAnsi="Calibri" w:cs="Calibri"/>
                <w:color w:val="222222"/>
              </w:rPr>
              <w:t>8.40%</w:t>
            </w:r>
          </w:p>
        </w:tc>
        <w:tc>
          <w:tcPr>
            <w:tcW w:w="4600" w:type="dxa"/>
            <w:tcMar>
              <w:top w:w="80" w:type="dxa"/>
              <w:left w:w="100" w:type="dxa"/>
              <w:bottom w:w="80" w:type="dxa"/>
              <w:right w:w="100" w:type="dxa"/>
            </w:tcMar>
          </w:tcPr>
          <w:p w14:paraId="0C5EA742" w14:textId="77777777" w:rsidR="00CB690B" w:rsidRDefault="00000000" w:rsidP="00C601CD">
            <w:pPr>
              <w:ind w:left="-360"/>
            </w:pPr>
            <w:r>
              <w:rPr>
                <w:rFonts w:ascii="Calibri" w:eastAsia="Calibri" w:hAnsi="Calibri" w:cs="Calibri"/>
                <w:color w:val="222222"/>
              </w:rPr>
              <w:t>Average forecast error as a percentage of the actual value</w:t>
            </w:r>
          </w:p>
        </w:tc>
      </w:tr>
      <w:tr w:rsidR="00CB690B" w14:paraId="45DBC0AE"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005B8B28" w14:textId="77777777" w:rsidR="00CB690B" w:rsidRDefault="00000000" w:rsidP="00C601CD">
            <w:pPr>
              <w:ind w:left="-360"/>
            </w:pPr>
            <w:r>
              <w:rPr>
                <w:rFonts w:ascii="Calibri" w:eastAsia="Calibri" w:hAnsi="Calibri" w:cs="Calibri"/>
                <w:color w:val="222222"/>
              </w:rPr>
              <w:t>Forecast Accuracy</w:t>
            </w:r>
          </w:p>
        </w:tc>
        <w:tc>
          <w:tcPr>
            <w:tcW w:w="2200" w:type="dxa"/>
            <w:shd w:val="clear" w:color="auto" w:fill="F2F2F2"/>
            <w:tcMar>
              <w:top w:w="80" w:type="dxa"/>
              <w:left w:w="100" w:type="dxa"/>
              <w:bottom w:w="80" w:type="dxa"/>
              <w:right w:w="100" w:type="dxa"/>
            </w:tcMar>
          </w:tcPr>
          <w:p w14:paraId="52F638A6" w14:textId="77777777" w:rsidR="00CB690B" w:rsidRDefault="00000000" w:rsidP="00C601CD">
            <w:pPr>
              <w:ind w:left="-360"/>
            </w:pPr>
            <w:r>
              <w:rPr>
                <w:rFonts w:ascii="Calibri" w:eastAsia="Calibri" w:hAnsi="Calibri" w:cs="Calibri"/>
                <w:color w:val="222222"/>
              </w:rPr>
              <w:t>91.60%</w:t>
            </w:r>
          </w:p>
        </w:tc>
        <w:tc>
          <w:tcPr>
            <w:tcW w:w="4600" w:type="dxa"/>
            <w:shd w:val="clear" w:color="auto" w:fill="F2F2F2"/>
            <w:tcMar>
              <w:top w:w="80" w:type="dxa"/>
              <w:left w:w="100" w:type="dxa"/>
              <w:bottom w:w="80" w:type="dxa"/>
              <w:right w:w="100" w:type="dxa"/>
            </w:tcMar>
          </w:tcPr>
          <w:p w14:paraId="4AE81E35" w14:textId="77777777" w:rsidR="00CB690B" w:rsidRDefault="00000000" w:rsidP="00C601CD">
            <w:pPr>
              <w:ind w:left="-360"/>
            </w:pPr>
            <w:r>
              <w:rPr>
                <w:rFonts w:ascii="Calibri" w:eastAsia="Calibri" w:hAnsi="Calibri" w:cs="Calibri"/>
                <w:color w:val="222222"/>
              </w:rPr>
              <w:t>Complement of MAPE; headline reliability figure</w:t>
            </w:r>
          </w:p>
        </w:tc>
      </w:tr>
    </w:tbl>
    <w:p w14:paraId="1A7B9C7E" w14:textId="77777777" w:rsidR="00CB690B" w:rsidRDefault="00000000" w:rsidP="00C601CD">
      <w:pPr>
        <w:spacing w:before="60" w:after="240"/>
        <w:ind w:left="-360"/>
      </w:pPr>
      <w:r>
        <w:rPr>
          <w:rFonts w:ascii="Calibri" w:eastAsia="Calibri" w:hAnsi="Calibri" w:cs="Calibri"/>
          <w:i/>
          <w:iCs/>
          <w:color w:val="555555"/>
        </w:rPr>
        <w:t>Table 4. Random Forest performance across MAE, RMSE, MAPE, and Forecast Accuracy, averaged across walk-forward rounds.</w:t>
      </w:r>
    </w:p>
    <w:p w14:paraId="132F59FB" w14:textId="77777777" w:rsidR="00CB690B" w:rsidRDefault="00000000" w:rsidP="00C601CD">
      <w:pPr>
        <w:spacing w:after="160" w:line="300" w:lineRule="auto"/>
        <w:ind w:left="-360"/>
      </w:pPr>
      <w:r>
        <w:rPr>
          <w:rFonts w:ascii="Calibri" w:eastAsia="Calibri" w:hAnsi="Calibri" w:cs="Calibri"/>
          <w:sz w:val="22"/>
          <w:szCs w:val="22"/>
        </w:rPr>
        <w:t>The gap between RMSE (361.59) and MAE (211.22) indicates that error is not evenly distributed across the test period: a minority of days carried substantially larger errors than the typical case, pulling RMSE upward. This is consistent with the structural shift discussed in Section 6.1, which likely concentrated large errors in a specific historical window rather than spreading them evenly across the evaluation period.</w:t>
      </w:r>
    </w:p>
    <w:p w14:paraId="1A9B9B3F" w14:textId="77777777" w:rsidR="00CB690B" w:rsidRDefault="00000000" w:rsidP="00C601CD">
      <w:pPr>
        <w:pStyle w:val="Heading2"/>
        <w:spacing w:before="280" w:after="120"/>
        <w:ind w:left="-360"/>
      </w:pPr>
      <w:r>
        <w:t>5.4 Forecast Horizon Error</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3200"/>
      </w:tblGrid>
      <w:tr w:rsidR="00CB690B" w14:paraId="207EF3B8" w14:textId="77777777">
        <w:tblPrEx>
          <w:tblCellMar>
            <w:top w:w="0" w:type="dxa"/>
            <w:bottom w:w="0" w:type="dxa"/>
          </w:tblCellMar>
        </w:tblPrEx>
        <w:trPr>
          <w:tblHeader/>
        </w:trPr>
        <w:tc>
          <w:tcPr>
            <w:tcW w:w="4400" w:type="dxa"/>
            <w:shd w:val="clear" w:color="auto" w:fill="2E4057"/>
            <w:tcMar>
              <w:top w:w="80" w:type="dxa"/>
              <w:left w:w="100" w:type="dxa"/>
              <w:bottom w:w="80" w:type="dxa"/>
              <w:right w:w="100" w:type="dxa"/>
            </w:tcMar>
          </w:tcPr>
          <w:p w14:paraId="5E9F880B" w14:textId="77777777" w:rsidR="00CB690B" w:rsidRDefault="00000000" w:rsidP="00C601CD">
            <w:pPr>
              <w:ind w:left="-360"/>
            </w:pPr>
            <w:r>
              <w:rPr>
                <w:rFonts w:ascii="Calibri" w:eastAsia="Calibri" w:hAnsi="Calibri" w:cs="Calibri"/>
                <w:b/>
                <w:bCs/>
                <w:color w:val="FFFFFF"/>
              </w:rPr>
              <w:t>Forecast Horizon</w:t>
            </w:r>
          </w:p>
        </w:tc>
        <w:tc>
          <w:tcPr>
            <w:tcW w:w="3200" w:type="dxa"/>
            <w:shd w:val="clear" w:color="auto" w:fill="2E4057"/>
            <w:tcMar>
              <w:top w:w="80" w:type="dxa"/>
              <w:left w:w="100" w:type="dxa"/>
              <w:bottom w:w="80" w:type="dxa"/>
              <w:right w:w="100" w:type="dxa"/>
            </w:tcMar>
          </w:tcPr>
          <w:p w14:paraId="2932E4C4" w14:textId="77777777" w:rsidR="00CB690B" w:rsidRDefault="00000000" w:rsidP="00C601CD">
            <w:pPr>
              <w:ind w:left="-360"/>
            </w:pPr>
            <w:r>
              <w:rPr>
                <w:rFonts w:ascii="Calibri" w:eastAsia="Calibri" w:hAnsi="Calibri" w:cs="Calibri"/>
                <w:b/>
                <w:bCs/>
                <w:color w:val="FFFFFF"/>
              </w:rPr>
              <w:t>MAE</w:t>
            </w:r>
          </w:p>
        </w:tc>
      </w:tr>
      <w:tr w:rsidR="00CB690B" w14:paraId="24283048" w14:textId="77777777">
        <w:tblPrEx>
          <w:tblCellMar>
            <w:top w:w="0" w:type="dxa"/>
            <w:bottom w:w="0" w:type="dxa"/>
          </w:tblCellMar>
        </w:tblPrEx>
        <w:tc>
          <w:tcPr>
            <w:tcW w:w="4400" w:type="dxa"/>
            <w:tcMar>
              <w:top w:w="80" w:type="dxa"/>
              <w:left w:w="100" w:type="dxa"/>
              <w:bottom w:w="80" w:type="dxa"/>
              <w:right w:w="100" w:type="dxa"/>
            </w:tcMar>
          </w:tcPr>
          <w:p w14:paraId="41589C61" w14:textId="77777777" w:rsidR="00CB690B" w:rsidRDefault="00000000" w:rsidP="00C601CD">
            <w:pPr>
              <w:ind w:left="-360"/>
            </w:pPr>
            <w:r>
              <w:rPr>
                <w:rFonts w:ascii="Calibri" w:eastAsia="Calibri" w:hAnsi="Calibri" w:cs="Calibri"/>
                <w:color w:val="222222"/>
              </w:rPr>
              <w:t>t + 1 (next reporting day)</w:t>
            </w:r>
          </w:p>
        </w:tc>
        <w:tc>
          <w:tcPr>
            <w:tcW w:w="3200" w:type="dxa"/>
            <w:tcMar>
              <w:top w:w="80" w:type="dxa"/>
              <w:left w:w="100" w:type="dxa"/>
              <w:bottom w:w="80" w:type="dxa"/>
              <w:right w:w="100" w:type="dxa"/>
            </w:tcMar>
          </w:tcPr>
          <w:p w14:paraId="7F741A76" w14:textId="77777777" w:rsidR="00CB690B" w:rsidRDefault="00000000" w:rsidP="00C601CD">
            <w:pPr>
              <w:ind w:left="-360"/>
            </w:pPr>
            <w:r>
              <w:rPr>
                <w:rFonts w:ascii="Calibri" w:eastAsia="Calibri" w:hAnsi="Calibri" w:cs="Calibri"/>
                <w:color w:val="222222"/>
              </w:rPr>
              <w:t>72.16</w:t>
            </w:r>
          </w:p>
        </w:tc>
      </w:tr>
      <w:tr w:rsidR="00CB690B" w14:paraId="78B25DE4" w14:textId="77777777">
        <w:tblPrEx>
          <w:tblCellMar>
            <w:top w:w="0" w:type="dxa"/>
            <w:bottom w:w="0" w:type="dxa"/>
          </w:tblCellMar>
        </w:tblPrEx>
        <w:tc>
          <w:tcPr>
            <w:tcW w:w="4400" w:type="dxa"/>
            <w:shd w:val="clear" w:color="auto" w:fill="F2F2F2"/>
            <w:tcMar>
              <w:top w:w="80" w:type="dxa"/>
              <w:left w:w="100" w:type="dxa"/>
              <w:bottom w:w="80" w:type="dxa"/>
              <w:right w:w="100" w:type="dxa"/>
            </w:tcMar>
          </w:tcPr>
          <w:p w14:paraId="34D1071C" w14:textId="77777777" w:rsidR="00CB690B" w:rsidRDefault="00000000" w:rsidP="00C601CD">
            <w:pPr>
              <w:ind w:left="-360"/>
            </w:pPr>
            <w:r>
              <w:rPr>
                <w:rFonts w:ascii="Calibri" w:eastAsia="Calibri" w:hAnsi="Calibri" w:cs="Calibri"/>
                <w:color w:val="222222"/>
              </w:rPr>
              <w:t>t + 7 (one reporting week ahead)</w:t>
            </w:r>
          </w:p>
        </w:tc>
        <w:tc>
          <w:tcPr>
            <w:tcW w:w="3200" w:type="dxa"/>
            <w:shd w:val="clear" w:color="auto" w:fill="F2F2F2"/>
            <w:tcMar>
              <w:top w:w="80" w:type="dxa"/>
              <w:left w:w="100" w:type="dxa"/>
              <w:bottom w:w="80" w:type="dxa"/>
              <w:right w:w="100" w:type="dxa"/>
            </w:tcMar>
          </w:tcPr>
          <w:p w14:paraId="520A858D" w14:textId="77777777" w:rsidR="00CB690B" w:rsidRDefault="00000000" w:rsidP="00C601CD">
            <w:pPr>
              <w:ind w:left="-360"/>
            </w:pPr>
            <w:r>
              <w:rPr>
                <w:rFonts w:ascii="Calibri" w:eastAsia="Calibri" w:hAnsi="Calibri" w:cs="Calibri"/>
                <w:color w:val="222222"/>
              </w:rPr>
              <w:t>221.76</w:t>
            </w:r>
          </w:p>
        </w:tc>
      </w:tr>
      <w:tr w:rsidR="00CB690B" w14:paraId="7F37C83E" w14:textId="77777777">
        <w:tblPrEx>
          <w:tblCellMar>
            <w:top w:w="0" w:type="dxa"/>
            <w:bottom w:w="0" w:type="dxa"/>
          </w:tblCellMar>
        </w:tblPrEx>
        <w:tc>
          <w:tcPr>
            <w:tcW w:w="4400" w:type="dxa"/>
            <w:tcMar>
              <w:top w:w="80" w:type="dxa"/>
              <w:left w:w="100" w:type="dxa"/>
              <w:bottom w:w="80" w:type="dxa"/>
              <w:right w:w="100" w:type="dxa"/>
            </w:tcMar>
          </w:tcPr>
          <w:p w14:paraId="6DC8F4B4" w14:textId="77777777" w:rsidR="00CB690B" w:rsidRDefault="00000000" w:rsidP="00C601CD">
            <w:pPr>
              <w:ind w:left="-360"/>
            </w:pPr>
            <w:r>
              <w:rPr>
                <w:rFonts w:ascii="Calibri" w:eastAsia="Calibri" w:hAnsi="Calibri" w:cs="Calibri"/>
                <w:color w:val="222222"/>
              </w:rPr>
              <w:t>t + 14 (two reporting weeks ahead)</w:t>
            </w:r>
          </w:p>
        </w:tc>
        <w:tc>
          <w:tcPr>
            <w:tcW w:w="3200" w:type="dxa"/>
            <w:tcMar>
              <w:top w:w="80" w:type="dxa"/>
              <w:left w:w="100" w:type="dxa"/>
              <w:bottom w:w="80" w:type="dxa"/>
              <w:right w:w="100" w:type="dxa"/>
            </w:tcMar>
          </w:tcPr>
          <w:p w14:paraId="5160876A" w14:textId="77777777" w:rsidR="00CB690B" w:rsidRDefault="00000000" w:rsidP="00C601CD">
            <w:pPr>
              <w:ind w:left="-360"/>
            </w:pPr>
            <w:r>
              <w:rPr>
                <w:rFonts w:ascii="Calibri" w:eastAsia="Calibri" w:hAnsi="Calibri" w:cs="Calibri"/>
                <w:color w:val="222222"/>
              </w:rPr>
              <w:t>211.56</w:t>
            </w:r>
          </w:p>
        </w:tc>
      </w:tr>
    </w:tbl>
    <w:p w14:paraId="1A09F174" w14:textId="77777777" w:rsidR="00CB690B" w:rsidRDefault="00000000" w:rsidP="00C601CD">
      <w:pPr>
        <w:spacing w:before="60" w:after="240"/>
        <w:ind w:left="-360"/>
      </w:pPr>
      <w:r>
        <w:rPr>
          <w:rFonts w:ascii="Calibri" w:eastAsia="Calibri" w:hAnsi="Calibri" w:cs="Calibri"/>
          <w:i/>
          <w:iCs/>
          <w:color w:val="555555"/>
        </w:rPr>
        <w:t>Table 5. Random Forest mean absolute error by forecast horizon.</w:t>
      </w:r>
    </w:p>
    <w:p w14:paraId="0A80BD98" w14:textId="77777777" w:rsidR="00CB690B" w:rsidRDefault="00000000" w:rsidP="00C601CD">
      <w:pPr>
        <w:spacing w:after="160" w:line="300" w:lineRule="auto"/>
        <w:ind w:left="-360"/>
      </w:pPr>
      <w:r>
        <w:rPr>
          <w:rFonts w:ascii="Calibri" w:eastAsia="Calibri" w:hAnsi="Calibri" w:cs="Calibri"/>
          <w:sz w:val="22"/>
          <w:szCs w:val="22"/>
        </w:rPr>
        <w:t>Forecast accuracy is markedly higher at a one-day horizon than at seven- or fourteen-day horizons, confirming that the model is best suited to near-term operational planning rather than long-range projection. The near-parity between the seven- and fourteen-day horizon errors should be interpreted cautiously, as the two evaluation windows are drawn from overlapping but non-identical trailing periods of the series rather than a fully controlled like-for-like comparison; this is noted as a limitation for future refinement (Section 6.3).</w:t>
      </w:r>
    </w:p>
    <w:p w14:paraId="07F62A84" w14:textId="77777777" w:rsidR="00CB690B" w:rsidRDefault="00000000" w:rsidP="00C601CD">
      <w:pPr>
        <w:pStyle w:val="Heading2"/>
        <w:spacing w:before="280" w:after="120"/>
        <w:ind w:left="-360"/>
      </w:pPr>
      <w:r>
        <w:t>5.5 Capacity and Stability KPIs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000"/>
      </w:tblGrid>
      <w:tr w:rsidR="00CB690B" w14:paraId="03109F9A" w14:textId="77777777">
        <w:tblPrEx>
          <w:tblCellMar>
            <w:top w:w="0" w:type="dxa"/>
            <w:bottom w:w="0" w:type="dxa"/>
          </w:tblCellMar>
        </w:tblPrEx>
        <w:trPr>
          <w:tblHeader/>
        </w:trPr>
        <w:tc>
          <w:tcPr>
            <w:tcW w:w="3200" w:type="dxa"/>
            <w:shd w:val="clear" w:color="auto" w:fill="2E4057"/>
            <w:tcMar>
              <w:top w:w="80" w:type="dxa"/>
              <w:left w:w="100" w:type="dxa"/>
              <w:bottom w:w="80" w:type="dxa"/>
              <w:right w:w="100" w:type="dxa"/>
            </w:tcMar>
          </w:tcPr>
          <w:p w14:paraId="09C9C992" w14:textId="77777777" w:rsidR="00CB690B" w:rsidRDefault="00000000" w:rsidP="00C601CD">
            <w:pPr>
              <w:ind w:left="-360"/>
            </w:pPr>
            <w:r>
              <w:rPr>
                <w:rFonts w:ascii="Calibri" w:eastAsia="Calibri" w:hAnsi="Calibri" w:cs="Calibri"/>
                <w:b/>
                <w:bCs/>
                <w:color w:val="FFFFFF"/>
              </w:rPr>
              <w:t>KPI</w:t>
            </w:r>
          </w:p>
        </w:tc>
        <w:tc>
          <w:tcPr>
            <w:tcW w:w="1600" w:type="dxa"/>
            <w:shd w:val="clear" w:color="auto" w:fill="2E4057"/>
            <w:tcMar>
              <w:top w:w="80" w:type="dxa"/>
              <w:left w:w="100" w:type="dxa"/>
              <w:bottom w:w="80" w:type="dxa"/>
              <w:right w:w="100" w:type="dxa"/>
            </w:tcMar>
          </w:tcPr>
          <w:p w14:paraId="1D46A1AF" w14:textId="77777777" w:rsidR="00CB690B" w:rsidRDefault="00000000" w:rsidP="00C601CD">
            <w:pPr>
              <w:ind w:left="-360"/>
            </w:pPr>
            <w:r>
              <w:rPr>
                <w:rFonts w:ascii="Calibri" w:eastAsia="Calibri" w:hAnsi="Calibri" w:cs="Calibri"/>
                <w:b/>
                <w:bCs/>
                <w:color w:val="FFFFFF"/>
              </w:rPr>
              <w:t>Value</w:t>
            </w:r>
          </w:p>
        </w:tc>
        <w:tc>
          <w:tcPr>
            <w:tcW w:w="4000" w:type="dxa"/>
            <w:shd w:val="clear" w:color="auto" w:fill="2E4057"/>
            <w:tcMar>
              <w:top w:w="80" w:type="dxa"/>
              <w:left w:w="100" w:type="dxa"/>
              <w:bottom w:w="80" w:type="dxa"/>
              <w:right w:w="100" w:type="dxa"/>
            </w:tcMar>
          </w:tcPr>
          <w:p w14:paraId="39B58087" w14:textId="77777777" w:rsidR="00CB690B" w:rsidRDefault="00000000" w:rsidP="00C601CD">
            <w:pPr>
              <w:ind w:left="-360"/>
            </w:pPr>
            <w:r>
              <w:rPr>
                <w:rFonts w:ascii="Calibri" w:eastAsia="Calibri" w:hAnsi="Calibri" w:cs="Calibri"/>
                <w:b/>
                <w:bCs/>
                <w:color w:val="FFFFFF"/>
              </w:rPr>
              <w:t>Definition</w:t>
            </w:r>
          </w:p>
        </w:tc>
      </w:tr>
      <w:tr w:rsidR="00CB690B" w14:paraId="414F8F45" w14:textId="77777777">
        <w:tblPrEx>
          <w:tblCellMar>
            <w:top w:w="0" w:type="dxa"/>
            <w:bottom w:w="0" w:type="dxa"/>
          </w:tblCellMar>
        </w:tblPrEx>
        <w:tc>
          <w:tcPr>
            <w:tcW w:w="3200" w:type="dxa"/>
            <w:tcMar>
              <w:top w:w="80" w:type="dxa"/>
              <w:left w:w="100" w:type="dxa"/>
              <w:bottom w:w="80" w:type="dxa"/>
              <w:right w:w="100" w:type="dxa"/>
            </w:tcMar>
          </w:tcPr>
          <w:p w14:paraId="2FC78148" w14:textId="77777777" w:rsidR="00CB690B" w:rsidRDefault="00000000" w:rsidP="00C601CD">
            <w:pPr>
              <w:ind w:left="-360"/>
            </w:pPr>
            <w:r>
              <w:rPr>
                <w:rFonts w:ascii="Calibri" w:eastAsia="Calibri" w:hAnsi="Calibri" w:cs="Calibri"/>
                <w:color w:val="222222"/>
              </w:rPr>
              <w:t>Capacity Breach Probability</w:t>
            </w:r>
          </w:p>
        </w:tc>
        <w:tc>
          <w:tcPr>
            <w:tcW w:w="1600" w:type="dxa"/>
            <w:tcMar>
              <w:top w:w="80" w:type="dxa"/>
              <w:left w:w="100" w:type="dxa"/>
              <w:bottom w:w="80" w:type="dxa"/>
              <w:right w:w="100" w:type="dxa"/>
            </w:tcMar>
          </w:tcPr>
          <w:p w14:paraId="13B772B0" w14:textId="77777777" w:rsidR="00CB690B" w:rsidRDefault="00000000" w:rsidP="00C601CD">
            <w:pPr>
              <w:ind w:left="-360"/>
            </w:pPr>
            <w:r>
              <w:rPr>
                <w:rFonts w:ascii="Calibri" w:eastAsia="Calibri" w:hAnsi="Calibri" w:cs="Calibri"/>
                <w:color w:val="222222"/>
              </w:rPr>
              <w:t>0.00%</w:t>
            </w:r>
          </w:p>
        </w:tc>
        <w:tc>
          <w:tcPr>
            <w:tcW w:w="4000" w:type="dxa"/>
            <w:tcMar>
              <w:top w:w="80" w:type="dxa"/>
              <w:left w:w="100" w:type="dxa"/>
              <w:bottom w:w="80" w:type="dxa"/>
              <w:right w:w="100" w:type="dxa"/>
            </w:tcMar>
          </w:tcPr>
          <w:p w14:paraId="7FB79802" w14:textId="77777777" w:rsidR="00CB690B" w:rsidRDefault="00000000" w:rsidP="00C601CD">
            <w:pPr>
              <w:ind w:left="-360"/>
            </w:pPr>
            <w:r>
              <w:rPr>
                <w:rFonts w:ascii="Calibri" w:eastAsia="Calibri" w:hAnsi="Calibri" w:cs="Calibri"/>
                <w:color w:val="222222"/>
              </w:rPr>
              <w:t>Share of forecasted days exceeding the 90th-percentile historical care-load threshold (9,762 children), averaged across all five walk-forward rounds</w:t>
            </w:r>
          </w:p>
        </w:tc>
      </w:tr>
      <w:tr w:rsidR="00CB690B" w14:paraId="6B7C0020"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24381E5D" w14:textId="77777777" w:rsidR="00CB690B" w:rsidRDefault="00000000" w:rsidP="00C601CD">
            <w:pPr>
              <w:ind w:left="-360"/>
            </w:pPr>
            <w:r>
              <w:rPr>
                <w:rFonts w:ascii="Calibri" w:eastAsia="Calibri" w:hAnsi="Calibri" w:cs="Calibri"/>
                <w:color w:val="222222"/>
              </w:rPr>
              <w:t>Forecast Stability Index</w:t>
            </w:r>
          </w:p>
        </w:tc>
        <w:tc>
          <w:tcPr>
            <w:tcW w:w="1600" w:type="dxa"/>
            <w:shd w:val="clear" w:color="auto" w:fill="F2F2F2"/>
            <w:tcMar>
              <w:top w:w="80" w:type="dxa"/>
              <w:left w:w="100" w:type="dxa"/>
              <w:bottom w:w="80" w:type="dxa"/>
              <w:right w:w="100" w:type="dxa"/>
            </w:tcMar>
          </w:tcPr>
          <w:p w14:paraId="17F19687" w14:textId="77777777" w:rsidR="00CB690B" w:rsidRDefault="00000000" w:rsidP="00C601CD">
            <w:pPr>
              <w:ind w:left="-360"/>
            </w:pPr>
            <w:r>
              <w:rPr>
                <w:rFonts w:ascii="Calibri" w:eastAsia="Calibri" w:hAnsi="Calibri" w:cs="Calibri"/>
                <w:color w:val="222222"/>
              </w:rPr>
              <w:t>72.06</w:t>
            </w:r>
          </w:p>
        </w:tc>
        <w:tc>
          <w:tcPr>
            <w:tcW w:w="4000" w:type="dxa"/>
            <w:shd w:val="clear" w:color="auto" w:fill="F2F2F2"/>
            <w:tcMar>
              <w:top w:w="80" w:type="dxa"/>
              <w:left w:w="100" w:type="dxa"/>
              <w:bottom w:w="80" w:type="dxa"/>
              <w:right w:w="100" w:type="dxa"/>
            </w:tcMar>
          </w:tcPr>
          <w:p w14:paraId="2A286A1F" w14:textId="77777777" w:rsidR="00CB690B" w:rsidRDefault="00000000" w:rsidP="00C601CD">
            <w:pPr>
              <w:ind w:left="-360"/>
            </w:pPr>
            <w:r>
              <w:rPr>
                <w:rFonts w:ascii="Calibri" w:eastAsia="Calibri" w:hAnsi="Calibri" w:cs="Calibri"/>
                <w:color w:val="222222"/>
              </w:rPr>
              <w:t>Standard deviation of MAE across the five walk-forward rounds; lower values indicate more consistent forecast reliability over time</w:t>
            </w:r>
          </w:p>
        </w:tc>
      </w:tr>
    </w:tbl>
    <w:p w14:paraId="0F1DB5CD" w14:textId="77777777" w:rsidR="00CB690B" w:rsidRDefault="00000000" w:rsidP="00C601CD">
      <w:pPr>
        <w:spacing w:before="60" w:after="240"/>
        <w:ind w:left="-360"/>
      </w:pPr>
      <w:r>
        <w:rPr>
          <w:rFonts w:ascii="Calibri" w:eastAsia="Calibri" w:hAnsi="Calibri" w:cs="Calibri"/>
          <w:i/>
          <w:iCs/>
          <w:color w:val="555555"/>
        </w:rPr>
        <w:t>Table 6. Operational KPIs derived from the Random Forest model.</w:t>
      </w:r>
    </w:p>
    <w:p w14:paraId="01D43BCA" w14:textId="77777777" w:rsidR="00CB690B" w:rsidRDefault="00000000" w:rsidP="00C601CD">
      <w:pPr>
        <w:spacing w:after="160" w:line="300" w:lineRule="auto"/>
        <w:ind w:left="-360"/>
      </w:pPr>
      <w:r>
        <w:rPr>
          <w:rFonts w:ascii="Calibri" w:eastAsia="Calibri" w:hAnsi="Calibri" w:cs="Calibri"/>
          <w:sz w:val="22"/>
          <w:szCs w:val="22"/>
        </w:rPr>
        <w:lastRenderedPageBreak/>
        <w:t>A Capacity Breach Probability of 0.00% across all evaluated rounds indicates that no test-period forecast approached the top decile of historical care load. Because the evaluated rounds fall within the latter portion of the series — which, as discussed in Section 6.1, operates at a structurally lower level than the 2023–mid-2024 period — this result should be read as “no breach risk detected in the recent operating regime,” not as evidence that the system can never approach that threshold. A Forecast Stability Index of 72.06 indicates moderate, not extreme, variability in accuracy across different historical periods, with Round 4 (MAE 112.4) representing the most reliable period tested and Round 2 (MAE 289.5) the least reliable.</w:t>
      </w:r>
    </w:p>
    <w:p w14:paraId="46065E58" w14:textId="77777777" w:rsidR="00CB690B" w:rsidRDefault="00000000" w:rsidP="00C601CD">
      <w:pPr>
        <w:ind w:left="-360"/>
      </w:pPr>
      <w:r>
        <w:br w:type="page"/>
      </w:r>
    </w:p>
    <w:p w14:paraId="7D5E2504" w14:textId="77777777" w:rsidR="00CB690B" w:rsidRDefault="00000000" w:rsidP="00C601CD">
      <w:pPr>
        <w:pStyle w:val="Heading1"/>
        <w:spacing w:before="360" w:after="160"/>
        <w:ind w:left="-360"/>
      </w:pPr>
      <w:r>
        <w:lastRenderedPageBreak/>
        <w:t>6. Discussion</w:t>
      </w:r>
    </w:p>
    <w:p w14:paraId="1FBF1380" w14:textId="77777777" w:rsidR="00CB690B" w:rsidRDefault="00000000" w:rsidP="00C601CD">
      <w:pPr>
        <w:pStyle w:val="Heading2"/>
        <w:spacing w:before="280" w:after="120"/>
        <w:ind w:left="-360"/>
      </w:pPr>
      <w:r>
        <w:t>6.1 Structural Shift in Care Load (Mid-2024)</w:t>
      </w:r>
    </w:p>
    <w:p w14:paraId="005BD186" w14:textId="77777777" w:rsidR="00CB690B" w:rsidRDefault="00000000" w:rsidP="00C601CD">
      <w:pPr>
        <w:spacing w:after="160" w:line="300" w:lineRule="auto"/>
        <w:ind w:left="-360"/>
      </w:pPr>
      <w:r>
        <w:rPr>
          <w:rFonts w:ascii="Calibri" w:eastAsia="Calibri" w:hAnsi="Calibri" w:cs="Calibri"/>
          <w:sz w:val="22"/>
          <w:szCs w:val="22"/>
        </w:rPr>
        <w:t>Visual inspection of the full three-year series reveals a pronounced and sustained step-down in Children in HHS Care around mid-2024, with the series shifting from an operating range of roughly 8,000–10,000 children (2023 through mid-2024) to a markedly lower range of roughly 2,000–4,000 children thereafter, while the underlying weekly reporting rhythm continues at the new, lower scale. This is a substantial structural break rather than routine variation.</w:t>
      </w:r>
    </w:p>
    <w:p w14:paraId="5D81A1BF" w14:textId="77777777" w:rsidR="00CB690B" w:rsidRDefault="00000000" w:rsidP="00C601CD">
      <w:pPr>
        <w:spacing w:after="160" w:line="300" w:lineRule="auto"/>
        <w:ind w:left="-360"/>
      </w:pPr>
      <w:r>
        <w:rPr>
          <w:rFonts w:ascii="Calibri" w:eastAsia="Calibri" w:hAnsi="Calibri" w:cs="Calibri"/>
          <w:sz w:val="22"/>
          <w:szCs w:val="22"/>
        </w:rPr>
        <w:t>This finding has direct implications for model evaluation: walk-forward Round 2, which produced the weakest MAE for every model tested (naive, moving average, ARIMA, and SARIMA alike), corresponds to a test window that plausibly spans this transition period. No model evaluated in this study — statistical or machine-learning — is designed to anticipate an abrupt, discontinuous regime change of this kind from historical pattern alone. This should be read as a structural characteristic of the underlying system (e.g., a policy, enforcement, or operational change) rather than a modeling deficiency, and is recommended as a priority area for stakeholder investigation and, if a specific cause can be identified, for explicit incorporation as a model feature (e.g., a regime indicator or policy-change flag) in future iterations.</w:t>
      </w:r>
    </w:p>
    <w:p w14:paraId="512712B3" w14:textId="77777777" w:rsidR="00CB690B" w:rsidRDefault="00000000" w:rsidP="00C601CD">
      <w:pPr>
        <w:pStyle w:val="Heading2"/>
        <w:spacing w:before="280" w:after="120"/>
        <w:ind w:left="-360"/>
      </w:pPr>
      <w:r>
        <w:t>6.2 Operational Implications</w:t>
      </w:r>
    </w:p>
    <w:p w14:paraId="63053DFC" w14:textId="77777777" w:rsidR="00CB690B" w:rsidRDefault="00000000" w:rsidP="00C601CD">
      <w:pPr>
        <w:pStyle w:val="ListParagraph"/>
        <w:numPr>
          <w:ilvl w:val="0"/>
          <w:numId w:val="2"/>
        </w:numPr>
        <w:spacing w:after="80"/>
        <w:ind w:left="-360" w:firstLine="0"/>
      </w:pPr>
      <w:r>
        <w:t>The Random Forest model provides a substantial, decision-relevant improvement over naive extrapolation and is recommended as the primary forecasting engine for near-term (1–7 day) capacity planning.</w:t>
      </w:r>
    </w:p>
    <w:p w14:paraId="5B27C808" w14:textId="77777777" w:rsidR="00CB690B" w:rsidRDefault="00000000" w:rsidP="00C601CD">
      <w:pPr>
        <w:pStyle w:val="ListParagraph"/>
        <w:numPr>
          <w:ilvl w:val="0"/>
          <w:numId w:val="2"/>
        </w:numPr>
        <w:spacing w:after="80"/>
        <w:ind w:left="-360" w:firstLine="0"/>
      </w:pPr>
      <w:r>
        <w:t>Forecast reliability should be communicated to stakeholders as horizon-dependent: one-day-ahead forecasts warrant high confidence, while seven- and fourteen-day forecasts should be treated as directional guidance rather than precise projections.</w:t>
      </w:r>
    </w:p>
    <w:p w14:paraId="2031D2CB" w14:textId="77777777" w:rsidR="00CB690B" w:rsidRDefault="00000000" w:rsidP="00C601CD">
      <w:pPr>
        <w:pStyle w:val="ListParagraph"/>
        <w:numPr>
          <w:ilvl w:val="0"/>
          <w:numId w:val="2"/>
        </w:numPr>
        <w:spacing w:after="80"/>
        <w:ind w:left="-360" w:firstLine="0"/>
      </w:pPr>
      <w:r>
        <w:t xml:space="preserve">The </w:t>
      </w:r>
      <w:proofErr w:type="spellStart"/>
      <w:r>
        <w:t>net_stays</w:t>
      </w:r>
      <w:proofErr w:type="spellEnd"/>
      <w:r>
        <w:t xml:space="preserve"> feature (transfers in minus discharges) is both the most operationally interpretable and among the most predictive engineered features, and is recommended as a standalone daily-monitoring indicator independent of the full forecasting pipeline.</w:t>
      </w:r>
    </w:p>
    <w:p w14:paraId="32708133" w14:textId="77777777" w:rsidR="00CB690B" w:rsidRDefault="00000000" w:rsidP="00C601CD">
      <w:pPr>
        <w:pStyle w:val="ListParagraph"/>
        <w:numPr>
          <w:ilvl w:val="0"/>
          <w:numId w:val="2"/>
        </w:numPr>
        <w:spacing w:after="80"/>
        <w:ind w:left="-360" w:firstLine="0"/>
      </w:pPr>
      <w:r>
        <w:t>Given the 0% breach probability observed in the current operating regime, the 90th-percentile capacity threshold used in this study should be revisited periodically as new data accrues, since a threshold calibrated on a structurally different historical period (Section 6.1) may understate present-day risk if the system were to return to earlier, higher-volume conditions.</w:t>
      </w:r>
    </w:p>
    <w:p w14:paraId="211957FF" w14:textId="77777777" w:rsidR="00CB690B" w:rsidRDefault="00000000" w:rsidP="00C601CD">
      <w:pPr>
        <w:pStyle w:val="Heading2"/>
        <w:spacing w:before="280" w:after="120"/>
        <w:ind w:left="-360"/>
      </w:pPr>
      <w:r>
        <w:t>6.3 Limitations</w:t>
      </w:r>
    </w:p>
    <w:p w14:paraId="64519CA3" w14:textId="77777777" w:rsidR="00CB690B" w:rsidRDefault="00000000" w:rsidP="00C601CD">
      <w:pPr>
        <w:pStyle w:val="ListParagraph"/>
        <w:numPr>
          <w:ilvl w:val="0"/>
          <w:numId w:val="2"/>
        </w:numPr>
        <w:spacing w:after="80"/>
        <w:ind w:left="-360" w:firstLine="0"/>
      </w:pPr>
      <w:r>
        <w:t>Reporting-day indexing (Section 3.1) means lag and rolling features represent a fixed number of prior reports rather than a fixed number of calendar days, which may understate the true elapsed time behind a feature following a reporting gap.</w:t>
      </w:r>
    </w:p>
    <w:p w14:paraId="29F3129A" w14:textId="77777777" w:rsidR="00CB690B" w:rsidRDefault="00000000" w:rsidP="00C601CD">
      <w:pPr>
        <w:pStyle w:val="ListParagraph"/>
        <w:numPr>
          <w:ilvl w:val="0"/>
          <w:numId w:val="2"/>
        </w:numPr>
        <w:spacing w:after="80"/>
        <w:ind w:left="-360" w:firstLine="0"/>
      </w:pPr>
      <w:r>
        <w:t>The dataset's irregular weekly cadence limits the reliability of any seasonal modeling assumption, as demonstrated by SARIMA's underperformance (Section 5.2).</w:t>
      </w:r>
    </w:p>
    <w:p w14:paraId="6D1D5B4F" w14:textId="77777777" w:rsidR="00CB690B" w:rsidRDefault="00000000" w:rsidP="00C601CD">
      <w:pPr>
        <w:pStyle w:val="ListParagraph"/>
        <w:numPr>
          <w:ilvl w:val="0"/>
          <w:numId w:val="2"/>
        </w:numPr>
        <w:spacing w:after="80"/>
        <w:ind w:left="-360" w:firstLine="0"/>
      </w:pPr>
      <w:r>
        <w:t>The seven- and fourteen-day horizon comparison (Section 5.4) uses overlapping rather than fully independent evaluation windows and should be refined with a dedicated matched-window design in future work.</w:t>
      </w:r>
    </w:p>
    <w:p w14:paraId="1A44DCD6" w14:textId="77777777" w:rsidR="00CB690B" w:rsidRDefault="00000000" w:rsidP="00C601CD">
      <w:pPr>
        <w:pStyle w:val="ListParagraph"/>
        <w:numPr>
          <w:ilvl w:val="0"/>
          <w:numId w:val="2"/>
        </w:numPr>
        <w:spacing w:after="80"/>
        <w:ind w:left="-360" w:firstLine="0"/>
      </w:pPr>
      <w:r>
        <w:t>The dataset provides no information on the causes of intake or discharge events (e.g., policy changes, sponsor availability, seasonal migration patterns), limiting the model to pattern-based extrapolation rather than causal explanation — a constraint particularly relevant to interpreting the mid-2024 structural shift (Section 6.1).</w:t>
      </w:r>
    </w:p>
    <w:p w14:paraId="5ED8D063" w14:textId="77777777" w:rsidR="00CB690B" w:rsidRDefault="00000000" w:rsidP="00C601CD">
      <w:pPr>
        <w:pStyle w:val="ListParagraph"/>
        <w:numPr>
          <w:ilvl w:val="0"/>
          <w:numId w:val="2"/>
        </w:numPr>
        <w:spacing w:after="80"/>
        <w:ind w:left="-360" w:firstLine="0"/>
      </w:pPr>
      <w:r>
        <w:lastRenderedPageBreak/>
        <w:t>Formal statistical decomposition (trend/seasonality/residual) was not performed in this iteration; the reporting-cadence and day-of-week analysis in Section 2.2 served an equivalent diagnostic role but a formal decomposition remains a reasonable addition for future work.</w:t>
      </w:r>
    </w:p>
    <w:p w14:paraId="3EBF4D37" w14:textId="77777777" w:rsidR="00CB690B" w:rsidRDefault="00000000" w:rsidP="00C601CD">
      <w:pPr>
        <w:ind w:left="-360"/>
      </w:pPr>
      <w:r>
        <w:br w:type="page"/>
      </w:r>
    </w:p>
    <w:p w14:paraId="4C021C5C" w14:textId="77777777" w:rsidR="00CB690B" w:rsidRDefault="00000000" w:rsidP="00C601CD">
      <w:pPr>
        <w:pStyle w:val="Heading1"/>
        <w:spacing w:before="360" w:after="160"/>
        <w:ind w:left="-360"/>
      </w:pPr>
      <w:r>
        <w:lastRenderedPageBreak/>
        <w:t>7. Decision-Support Dashboard</w:t>
      </w:r>
    </w:p>
    <w:p w14:paraId="0806C60C" w14:textId="77777777" w:rsidR="00CB690B" w:rsidRDefault="00000000" w:rsidP="00C601CD">
      <w:pPr>
        <w:spacing w:after="160" w:line="300" w:lineRule="auto"/>
        <w:ind w:left="-360"/>
      </w:pPr>
      <w:r>
        <w:rPr>
          <w:rFonts w:ascii="Calibri" w:eastAsia="Calibri" w:hAnsi="Calibri" w:cs="Calibri"/>
          <w:sz w:val="22"/>
          <w:szCs w:val="22"/>
        </w:rPr>
        <w:t xml:space="preserve">Findings from this study were operationalized into an interactive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dashboard intended for use by HHS capacity planners. The dashboard includes:</w:t>
      </w:r>
    </w:p>
    <w:p w14:paraId="06E87EEC" w14:textId="77777777" w:rsidR="00CB690B" w:rsidRDefault="00000000" w:rsidP="00C601CD">
      <w:pPr>
        <w:pStyle w:val="ListParagraph"/>
        <w:numPr>
          <w:ilvl w:val="0"/>
          <w:numId w:val="2"/>
        </w:numPr>
        <w:spacing w:after="80"/>
        <w:ind w:left="-360" w:firstLine="0"/>
      </w:pPr>
      <w:r>
        <w:t>A full historical trend view of Children in HHS Care across the complete reporting period.</w:t>
      </w:r>
    </w:p>
    <w:p w14:paraId="2059DEEE" w14:textId="77777777" w:rsidR="00CB690B" w:rsidRDefault="00000000" w:rsidP="00C601CD">
      <w:pPr>
        <w:pStyle w:val="ListParagraph"/>
        <w:numPr>
          <w:ilvl w:val="0"/>
          <w:numId w:val="2"/>
        </w:numPr>
        <w:spacing w:after="80"/>
        <w:ind w:left="-360" w:firstLine="0"/>
      </w:pPr>
      <w:r>
        <w:t>A forecast horizon selector (1, 7, or 14 reporting days ahead).</w:t>
      </w:r>
    </w:p>
    <w:p w14:paraId="32CA16F8" w14:textId="77777777" w:rsidR="00CB690B" w:rsidRDefault="00000000" w:rsidP="00C601CD">
      <w:pPr>
        <w:pStyle w:val="ListParagraph"/>
        <w:numPr>
          <w:ilvl w:val="0"/>
          <w:numId w:val="2"/>
        </w:numPr>
        <w:spacing w:after="80"/>
        <w:ind w:left="-360" w:firstLine="0"/>
      </w:pPr>
      <w:r>
        <w:t>A model toggle allowing users to compare Random Forest, ARIMA, and naive persistence forecasts against actual outcomes for any selected horizon.</w:t>
      </w:r>
    </w:p>
    <w:p w14:paraId="0DDFFF04" w14:textId="77777777" w:rsidR="00CB690B" w:rsidRDefault="00000000" w:rsidP="00C601CD">
      <w:pPr>
        <w:pStyle w:val="ListParagraph"/>
        <w:numPr>
          <w:ilvl w:val="0"/>
          <w:numId w:val="2"/>
        </w:numPr>
        <w:spacing w:after="80"/>
        <w:ind w:left="-360" w:firstLine="0"/>
      </w:pPr>
      <w:r>
        <w:t xml:space="preserve">A scenario comparison view presenting mean absolute error across all three </w:t>
      </w:r>
      <w:proofErr w:type="gramStart"/>
      <w:r>
        <w:t>models</w:t>
      </w:r>
      <w:proofErr w:type="gramEnd"/>
      <w:r>
        <w:t xml:space="preserve"> side by side, allowing stakeholders to directly observe the accuracy advantage of the recommended model.</w:t>
      </w:r>
    </w:p>
    <w:p w14:paraId="6546E48A" w14:textId="77777777" w:rsidR="00CB690B" w:rsidRDefault="00000000" w:rsidP="00C601CD">
      <w:pPr>
        <w:spacing w:after="160" w:line="300" w:lineRule="auto"/>
        <w:ind w:left="-360"/>
      </w:pPr>
      <w:r>
        <w:rPr>
          <w:rFonts w:ascii="Calibri" w:eastAsia="Calibri" w:hAnsi="Calibri" w:cs="Calibri"/>
          <w:sz w:val="22"/>
          <w:szCs w:val="22"/>
        </w:rPr>
        <w:t xml:space="preserve">The dashboard runs against the live, cleaned dataset and recomputes forecasts on demand, ensuring that stakeholders interact with current model output rather than a static report. Public deployment (e.g., via </w:t>
      </w:r>
      <w:proofErr w:type="spellStart"/>
      <w:r>
        <w:rPr>
          <w:rFonts w:ascii="Calibri" w:eastAsia="Calibri" w:hAnsi="Calibri" w:cs="Calibri"/>
          <w:sz w:val="22"/>
          <w:szCs w:val="22"/>
        </w:rPr>
        <w:t>Streamlit</w:t>
      </w:r>
      <w:proofErr w:type="spellEnd"/>
      <w:r>
        <w:rPr>
          <w:rFonts w:ascii="Calibri" w:eastAsia="Calibri" w:hAnsi="Calibri" w:cs="Calibri"/>
          <w:sz w:val="22"/>
          <w:szCs w:val="22"/>
        </w:rPr>
        <w:t xml:space="preserve"> Community Cloud) is a planned next step beyond the scope of this paper.</w:t>
      </w:r>
    </w:p>
    <w:p w14:paraId="6BBA62CA" w14:textId="77777777" w:rsidR="00CB690B" w:rsidRDefault="00000000" w:rsidP="00C601CD">
      <w:pPr>
        <w:ind w:left="-360"/>
      </w:pPr>
      <w:r>
        <w:br w:type="page"/>
      </w:r>
    </w:p>
    <w:p w14:paraId="686CC55C" w14:textId="77777777" w:rsidR="00CB690B" w:rsidRDefault="00000000" w:rsidP="00C601CD">
      <w:pPr>
        <w:pStyle w:val="Heading1"/>
        <w:spacing w:before="360" w:after="160"/>
        <w:ind w:left="-360"/>
      </w:pPr>
      <w:r>
        <w:lastRenderedPageBreak/>
        <w:t>8. Conclusion and Recommendations</w:t>
      </w:r>
    </w:p>
    <w:p w14:paraId="2FDC3C81" w14:textId="77777777" w:rsidR="00CB690B" w:rsidRDefault="00000000" w:rsidP="00C601CD">
      <w:pPr>
        <w:spacing w:after="160" w:line="300" w:lineRule="auto"/>
        <w:ind w:left="-360"/>
      </w:pPr>
      <w:r>
        <w:rPr>
          <w:rFonts w:ascii="Calibri" w:eastAsia="Calibri" w:hAnsi="Calibri" w:cs="Calibri"/>
          <w:sz w:val="22"/>
          <w:szCs w:val="22"/>
        </w:rPr>
        <w:t>This study demonstrates that the UAC Program's existing daily reporting data, once cleaned and appropriately feature-engineered, supports meaningfully accurate short-term forecasting of HHS care load. A Random Forest model incorporating lag, rolling-window, flow-based, and calendar features achieved 91.6% forecast accuracy and reduced error by approximately 28–32% relative to statistical and naive baselines, establishing it as the recommended forecasting engine for operational use.</w:t>
      </w:r>
    </w:p>
    <w:p w14:paraId="2F09F1CA" w14:textId="77777777" w:rsidR="00CB690B" w:rsidRDefault="00000000" w:rsidP="00C601CD">
      <w:pPr>
        <w:spacing w:after="160" w:line="300" w:lineRule="auto"/>
        <w:ind w:left="-360"/>
      </w:pPr>
      <w:r>
        <w:rPr>
          <w:rFonts w:ascii="Calibri" w:eastAsia="Calibri" w:hAnsi="Calibri" w:cs="Calibri"/>
          <w:sz w:val="22"/>
          <w:szCs w:val="22"/>
        </w:rPr>
        <w:t xml:space="preserve">Three findings stand out as directly actionable for HHS stakeholders: first, the system operates, on average, in a net-draining state (discharges exceeding transfers), but experiences meaningful volatility that periodic surge-monitoring via the </w:t>
      </w:r>
      <w:proofErr w:type="spellStart"/>
      <w:r>
        <w:rPr>
          <w:rFonts w:ascii="Calibri" w:eastAsia="Calibri" w:hAnsi="Calibri" w:cs="Calibri"/>
          <w:sz w:val="22"/>
          <w:szCs w:val="22"/>
        </w:rPr>
        <w:t>net_stays</w:t>
      </w:r>
      <w:proofErr w:type="spellEnd"/>
      <w:r>
        <w:rPr>
          <w:rFonts w:ascii="Calibri" w:eastAsia="Calibri" w:hAnsi="Calibri" w:cs="Calibri"/>
          <w:sz w:val="22"/>
          <w:szCs w:val="22"/>
        </w:rPr>
        <w:t xml:space="preserve"> indicator can help surface early; second, forecast reliability is strongly horizon-dependent, and one-day-ahead forecasts should be prioritized for operational trust; and third, a substantial structural shift in care load occurred around mid-2024 and warrants direct stakeholder investigation, as it materially affects both historical interpretation and future model calibration.</w:t>
      </w:r>
    </w:p>
    <w:p w14:paraId="2B8D8C74" w14:textId="77777777" w:rsidR="00CB690B" w:rsidRDefault="00000000" w:rsidP="00C601CD">
      <w:pPr>
        <w:spacing w:after="160" w:line="300" w:lineRule="auto"/>
        <w:ind w:left="-360"/>
      </w:pPr>
      <w:r>
        <w:rPr>
          <w:rFonts w:ascii="Calibri" w:eastAsia="Calibri" w:hAnsi="Calibri" w:cs="Calibri"/>
          <w:sz w:val="22"/>
          <w:szCs w:val="22"/>
        </w:rPr>
        <w:t>Recommended next steps include: extending the model comparison to include Gradient Boosting; refining the seven-/fourteen-day horizon evaluation with matched, non-overlapping test windows; incorporating an explicit regime or policy-change indicator once the cause of the mid-2024 shift is identified; and deploying the accompanying dashboard for live stakeholder use.</w:t>
      </w:r>
    </w:p>
    <w:p w14:paraId="70520F36" w14:textId="77777777" w:rsidR="00CB690B" w:rsidRDefault="00000000" w:rsidP="00C601CD">
      <w:pPr>
        <w:pStyle w:val="Heading1"/>
        <w:spacing w:before="360" w:after="160"/>
        <w:ind w:left="-360"/>
      </w:pPr>
      <w:r>
        <w:t>References</w:t>
      </w:r>
    </w:p>
    <w:p w14:paraId="171E78FD" w14:textId="77777777" w:rsidR="00CB690B" w:rsidRDefault="00000000" w:rsidP="00C601CD">
      <w:pPr>
        <w:spacing w:after="160" w:line="300" w:lineRule="auto"/>
        <w:ind w:left="-360"/>
      </w:pPr>
      <w:r>
        <w:rPr>
          <w:rFonts w:ascii="Calibri" w:eastAsia="Calibri" w:hAnsi="Calibri" w:cs="Calibri"/>
          <w:i/>
          <w:iCs/>
          <w:sz w:val="22"/>
          <w:szCs w:val="22"/>
        </w:rPr>
        <w:t>U.S. Department of Health and Human Services, Office of Refugee Resettlement. Unaccompanied Alien Children Program reporting data, January 2023 – December 2025.</w:t>
      </w:r>
    </w:p>
    <w:p w14:paraId="07144AD2" w14:textId="77777777" w:rsidR="00CB690B" w:rsidRDefault="00000000" w:rsidP="00C601CD">
      <w:pPr>
        <w:spacing w:after="160" w:line="300" w:lineRule="auto"/>
        <w:ind w:left="-360"/>
      </w:pPr>
      <w:r>
        <w:rPr>
          <w:rFonts w:ascii="Calibri" w:eastAsia="Calibri" w:hAnsi="Calibri" w:cs="Calibri"/>
          <w:i/>
          <w:iCs/>
          <w:sz w:val="22"/>
          <w:szCs w:val="22"/>
        </w:rPr>
        <w:t xml:space="preserve">Hyndman, R.J. and Athanasopoulos, G. Forecasting: Principles and Practice, 3rd edition. </w:t>
      </w:r>
      <w:proofErr w:type="spellStart"/>
      <w:r>
        <w:rPr>
          <w:rFonts w:ascii="Calibri" w:eastAsia="Calibri" w:hAnsi="Calibri" w:cs="Calibri"/>
          <w:i/>
          <w:iCs/>
          <w:sz w:val="22"/>
          <w:szCs w:val="22"/>
        </w:rPr>
        <w:t>OTexts</w:t>
      </w:r>
      <w:proofErr w:type="spellEnd"/>
      <w:r>
        <w:rPr>
          <w:rFonts w:ascii="Calibri" w:eastAsia="Calibri" w:hAnsi="Calibri" w:cs="Calibri"/>
          <w:i/>
          <w:iCs/>
          <w:sz w:val="22"/>
          <w:szCs w:val="22"/>
        </w:rPr>
        <w:t>.</w:t>
      </w:r>
    </w:p>
    <w:p w14:paraId="308703A7" w14:textId="77777777" w:rsidR="00CB690B" w:rsidRDefault="00000000" w:rsidP="00C601CD">
      <w:pPr>
        <w:spacing w:after="160" w:line="300" w:lineRule="auto"/>
        <w:ind w:left="-360"/>
      </w:pPr>
      <w:r>
        <w:rPr>
          <w:rFonts w:ascii="Calibri" w:eastAsia="Calibri" w:hAnsi="Calibri" w:cs="Calibri"/>
          <w:i/>
          <w:iCs/>
          <w:sz w:val="22"/>
          <w:szCs w:val="22"/>
        </w:rPr>
        <w:t>Box, G.E.P., Jenkins, G.M., Reinsel, G.C., and Ljung, G.M. Time Series Analysis: Forecasting and Control, 5th edition. Wiley.</w:t>
      </w:r>
    </w:p>
    <w:p w14:paraId="46A3DB55" w14:textId="77777777" w:rsidR="00CB690B" w:rsidRDefault="00000000" w:rsidP="00C601CD">
      <w:pPr>
        <w:spacing w:after="160" w:line="300" w:lineRule="auto"/>
        <w:ind w:left="-360"/>
      </w:pPr>
      <w:proofErr w:type="spellStart"/>
      <w:r>
        <w:rPr>
          <w:rFonts w:ascii="Calibri" w:eastAsia="Calibri" w:hAnsi="Calibri" w:cs="Calibri"/>
          <w:i/>
          <w:iCs/>
          <w:sz w:val="22"/>
          <w:szCs w:val="22"/>
        </w:rPr>
        <w:t>Breiman</w:t>
      </w:r>
      <w:proofErr w:type="spellEnd"/>
      <w:r>
        <w:rPr>
          <w:rFonts w:ascii="Calibri" w:eastAsia="Calibri" w:hAnsi="Calibri" w:cs="Calibri"/>
          <w:i/>
          <w:iCs/>
          <w:sz w:val="22"/>
          <w:szCs w:val="22"/>
        </w:rPr>
        <w:t>, L. (2001). Random Forests. Machine Learning, 45(1), 5–32.</w:t>
      </w:r>
    </w:p>
    <w:sectPr w:rsidR="00CB690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27B4C"/>
    <w:multiLevelType w:val="hybridMultilevel"/>
    <w:tmpl w:val="1C34380E"/>
    <w:lvl w:ilvl="0" w:tplc="D2DE3780">
      <w:start w:val="1"/>
      <w:numFmt w:val="bullet"/>
      <w:lvlText w:val="●"/>
      <w:lvlJc w:val="left"/>
      <w:pPr>
        <w:ind w:left="720" w:hanging="360"/>
      </w:pPr>
    </w:lvl>
    <w:lvl w:ilvl="1" w:tplc="ABAC7088">
      <w:start w:val="1"/>
      <w:numFmt w:val="bullet"/>
      <w:lvlText w:val="○"/>
      <w:lvlJc w:val="left"/>
      <w:pPr>
        <w:ind w:left="1440" w:hanging="360"/>
      </w:pPr>
    </w:lvl>
    <w:lvl w:ilvl="2" w:tplc="B5A27884">
      <w:start w:val="1"/>
      <w:numFmt w:val="bullet"/>
      <w:lvlText w:val="■"/>
      <w:lvlJc w:val="left"/>
      <w:pPr>
        <w:ind w:left="2160" w:hanging="360"/>
      </w:pPr>
    </w:lvl>
    <w:lvl w:ilvl="3" w:tplc="EF74EB08">
      <w:start w:val="1"/>
      <w:numFmt w:val="bullet"/>
      <w:lvlText w:val="●"/>
      <w:lvlJc w:val="left"/>
      <w:pPr>
        <w:ind w:left="2880" w:hanging="360"/>
      </w:pPr>
    </w:lvl>
    <w:lvl w:ilvl="4" w:tplc="353A6F2C">
      <w:start w:val="1"/>
      <w:numFmt w:val="bullet"/>
      <w:lvlText w:val="○"/>
      <w:lvlJc w:val="left"/>
      <w:pPr>
        <w:ind w:left="3600" w:hanging="360"/>
      </w:pPr>
    </w:lvl>
    <w:lvl w:ilvl="5" w:tplc="4F38ABC4">
      <w:start w:val="1"/>
      <w:numFmt w:val="bullet"/>
      <w:lvlText w:val="■"/>
      <w:lvlJc w:val="left"/>
      <w:pPr>
        <w:ind w:left="4320" w:hanging="360"/>
      </w:pPr>
    </w:lvl>
    <w:lvl w:ilvl="6" w:tplc="30189604">
      <w:start w:val="1"/>
      <w:numFmt w:val="bullet"/>
      <w:lvlText w:val="●"/>
      <w:lvlJc w:val="left"/>
      <w:pPr>
        <w:ind w:left="5040" w:hanging="360"/>
      </w:pPr>
    </w:lvl>
    <w:lvl w:ilvl="7" w:tplc="A448D3C8">
      <w:start w:val="1"/>
      <w:numFmt w:val="bullet"/>
      <w:lvlText w:val="●"/>
      <w:lvlJc w:val="left"/>
      <w:pPr>
        <w:ind w:left="5760" w:hanging="360"/>
      </w:pPr>
    </w:lvl>
    <w:lvl w:ilvl="8" w:tplc="4B80D52C">
      <w:start w:val="1"/>
      <w:numFmt w:val="bullet"/>
      <w:lvlText w:val="●"/>
      <w:lvlJc w:val="left"/>
      <w:pPr>
        <w:ind w:left="6480" w:hanging="360"/>
      </w:pPr>
    </w:lvl>
  </w:abstractNum>
  <w:abstractNum w:abstractNumId="1" w15:restartNumberingAfterBreak="0">
    <w:nsid w:val="6039264B"/>
    <w:multiLevelType w:val="hybridMultilevel"/>
    <w:tmpl w:val="A8A076EE"/>
    <w:lvl w:ilvl="0" w:tplc="1CBA6A6A">
      <w:start w:val="1"/>
      <w:numFmt w:val="bullet"/>
      <w:lvlText w:val="•"/>
      <w:lvlJc w:val="left"/>
      <w:pPr>
        <w:ind w:left="720" w:hanging="360"/>
      </w:pPr>
    </w:lvl>
    <w:lvl w:ilvl="1" w:tplc="FC6455C2">
      <w:numFmt w:val="decimal"/>
      <w:lvlText w:val=""/>
      <w:lvlJc w:val="left"/>
    </w:lvl>
    <w:lvl w:ilvl="2" w:tplc="485C624A">
      <w:numFmt w:val="decimal"/>
      <w:lvlText w:val=""/>
      <w:lvlJc w:val="left"/>
    </w:lvl>
    <w:lvl w:ilvl="3" w:tplc="50089A9A">
      <w:numFmt w:val="decimal"/>
      <w:lvlText w:val=""/>
      <w:lvlJc w:val="left"/>
    </w:lvl>
    <w:lvl w:ilvl="4" w:tplc="A574EFCA">
      <w:numFmt w:val="decimal"/>
      <w:lvlText w:val=""/>
      <w:lvlJc w:val="left"/>
    </w:lvl>
    <w:lvl w:ilvl="5" w:tplc="A8CAC03A">
      <w:numFmt w:val="decimal"/>
      <w:lvlText w:val=""/>
      <w:lvlJc w:val="left"/>
    </w:lvl>
    <w:lvl w:ilvl="6" w:tplc="0486CA3A">
      <w:numFmt w:val="decimal"/>
      <w:lvlText w:val=""/>
      <w:lvlJc w:val="left"/>
    </w:lvl>
    <w:lvl w:ilvl="7" w:tplc="ADD8A842">
      <w:numFmt w:val="decimal"/>
      <w:lvlText w:val=""/>
      <w:lvlJc w:val="left"/>
    </w:lvl>
    <w:lvl w:ilvl="8" w:tplc="61E4E116">
      <w:numFmt w:val="decimal"/>
      <w:lvlText w:val=""/>
      <w:lvlJc w:val="left"/>
    </w:lvl>
  </w:abstractNum>
  <w:num w:numId="1" w16cid:durableId="1806196162">
    <w:abstractNumId w:val="0"/>
    <w:lvlOverride w:ilvl="0">
      <w:startOverride w:val="1"/>
    </w:lvlOverride>
  </w:num>
  <w:num w:numId="2" w16cid:durableId="13306737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90B"/>
    <w:rsid w:val="00341E79"/>
    <w:rsid w:val="00C601CD"/>
    <w:rsid w:val="00CB6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A5B16"/>
  <w15:docId w15:val="{4A2DE77E-4DE2-4BBE-B02E-89161F28A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3522</Words>
  <Characters>20079</Characters>
  <Application>Microsoft Office Word</Application>
  <DocSecurity>0</DocSecurity>
  <Lines>167</Lines>
  <Paragraphs>47</Paragraphs>
  <ScaleCrop>false</ScaleCrop>
  <Company/>
  <LinksUpToDate>false</LinksUpToDate>
  <CharactersWithSpaces>23554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teja l</cp:lastModifiedBy>
  <cp:revision>2</cp:revision>
  <dcterms:created xsi:type="dcterms:W3CDTF">2026-07-18T16:47:00Z</dcterms:created>
  <dcterms:modified xsi:type="dcterms:W3CDTF">2026-07-19T12:13:00Z</dcterms:modified>
</cp:coreProperties>
</file>