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0.1 -->
  <w:body>
    <w:p w:rsidR="00A77B3E">
      <w:pPr>
        <w:pStyle w:val="TableOfContentsHeading"/>
      </w:pPr>
      <w:bookmarkStart w:id="0" w:name="TOC_PLACEHOLDER"/>
      <w:r>
        <w:t>Table of Contents</w:t>
      </w:r>
    </w:p>
    <w:p>
      <w:pPr>
        <w:pStyle w:val="TOC1"/>
        <w:tabs>
          <w:tab w:val="right" w:leader="dot" w:pos="9350"/>
        </w:tabs>
        <w:rPr>
          <w:rFonts w:ascii="Calibri" w:hAnsi="Calibri"/>
          <w:noProof/>
          <w:sz w:val="22"/>
        </w:rPr>
      </w:pPr>
      <w:r>
        <w:fldChar w:fldCharType="begin"/>
        <w:instrText>TOC \o "1-9" \h \z \u</w:instrText>
        <w:fldChar w:fldCharType="separate"/>
      </w:r>
      <w:hyperlink w:anchor="_Toc256000030" w:history="1">
        <w:r>
          <w:rPr>
            <w:rStyle w:val="Hyperlink"/>
            <w:rFonts w:ascii="Times New Roman" w:eastAsia="Times New Roman" w:hAnsi="Times New Roman" w:cs="Times New Roman"/>
          </w:rPr>
          <w:t>I. INTRODUCTION</w:t>
        </w:r>
        <w:r>
          <w:tab/>
          <w:fldChar w:fldCharType="begin"/>
          <w:instrText xml:space="preserve"> PAGEREF _Toc256000030 \h </w:instrText>
          <w:fldChar w:fldCharType="separate"/>
          <w:t>2</w:t>
          <w:fldChar w:fldCharType="end"/>
        </w:r>
      </w:hyperlink>
    </w:p>
    <w:p>
      <w:pPr>
        <w:pStyle w:val="TOC1"/>
        <w:tabs>
          <w:tab w:val="right" w:leader="dot" w:pos="9350"/>
        </w:tabs>
        <w:rPr>
          <w:rFonts w:ascii="Calibri" w:hAnsi="Calibri"/>
          <w:noProof/>
          <w:sz w:val="22"/>
        </w:rPr>
      </w:pPr>
      <w:hyperlink w:anchor="_Toc256000031" w:history="1">
        <w:r>
          <w:rPr>
            <w:rStyle w:val="Hyperlink"/>
            <w:rFonts w:ascii="Times New Roman" w:eastAsia="Times New Roman" w:hAnsi="Times New Roman" w:cs="Times New Roman"/>
          </w:rPr>
          <w:t>II. THE DATASET I WORKED WITH</w:t>
        </w:r>
        <w:r>
          <w:tab/>
          <w:fldChar w:fldCharType="begin"/>
          <w:instrText xml:space="preserve"> PAGEREF _Toc256000031 \h </w:instrText>
          <w:fldChar w:fldCharType="separate"/>
          <w:t>3</w:t>
          <w:fldChar w:fldCharType="end"/>
        </w:r>
      </w:hyperlink>
    </w:p>
    <w:p>
      <w:pPr>
        <w:pStyle w:val="TOC1"/>
        <w:tabs>
          <w:tab w:val="right" w:leader="dot" w:pos="9350"/>
        </w:tabs>
        <w:rPr>
          <w:rFonts w:ascii="Calibri" w:hAnsi="Calibri"/>
          <w:noProof/>
          <w:sz w:val="22"/>
        </w:rPr>
      </w:pPr>
      <w:hyperlink w:anchor="_Toc256000032" w:history="1">
        <w:r>
          <w:rPr>
            <w:rStyle w:val="Hyperlink"/>
            <w:rFonts w:ascii="Times New Roman" w:eastAsia="Times New Roman" w:hAnsi="Times New Roman" w:cs="Times New Roman"/>
          </w:rPr>
          <w:t>III. HOW I BUILT THE LIFECYCLE FRAMEWORK</w:t>
        </w:r>
        <w:r>
          <w:tab/>
          <w:fldChar w:fldCharType="begin"/>
          <w:instrText xml:space="preserve"> PAGEREF _Toc256000032 \h </w:instrText>
          <w:fldChar w:fldCharType="separate"/>
          <w:t>5</w:t>
          <w:fldChar w:fldCharType="end"/>
        </w:r>
      </w:hyperlink>
    </w:p>
    <w:p>
      <w:pPr>
        <w:pStyle w:val="TOC2"/>
        <w:tabs>
          <w:tab w:val="right" w:leader="dot" w:pos="9350"/>
        </w:tabs>
        <w:rPr>
          <w:rFonts w:ascii="Calibri" w:hAnsi="Calibri"/>
          <w:noProof/>
          <w:sz w:val="22"/>
        </w:rPr>
      </w:pPr>
      <w:hyperlink w:anchor="_Toc256000033" w:history="1">
        <w:r>
          <w:rPr>
            <w:rStyle w:val="Hyperlink"/>
            <w:rFonts w:ascii="Times New Roman" w:eastAsia="Times New Roman" w:hAnsi="Times New Roman" w:cs="Times New Roman"/>
          </w:rPr>
          <w:t>I. Constructing the Lifecycle Table</w:t>
        </w:r>
        <w:r>
          <w:tab/>
          <w:fldChar w:fldCharType="begin"/>
          <w:instrText xml:space="preserve"> PAGEREF _Toc256000033 \h </w:instrText>
          <w:fldChar w:fldCharType="separate"/>
          <w:t>5</w:t>
          <w:fldChar w:fldCharType="end"/>
        </w:r>
      </w:hyperlink>
    </w:p>
    <w:p>
      <w:pPr>
        <w:pStyle w:val="TOC2"/>
        <w:tabs>
          <w:tab w:val="right" w:leader="dot" w:pos="9350"/>
        </w:tabs>
        <w:rPr>
          <w:rFonts w:ascii="Calibri" w:hAnsi="Calibri"/>
          <w:noProof/>
          <w:sz w:val="22"/>
        </w:rPr>
      </w:pPr>
      <w:hyperlink w:anchor="_Toc256000034" w:history="1">
        <w:r>
          <w:rPr>
            <w:rStyle w:val="Hyperlink"/>
            <w:rFonts w:ascii="Times New Roman" w:eastAsia="Times New Roman" w:hAnsi="Times New Roman" w:cs="Times New Roman"/>
          </w:rPr>
          <w:t>II. Classifying Lifecycle Stages</w:t>
        </w:r>
        <w:r>
          <w:tab/>
          <w:fldChar w:fldCharType="begin"/>
          <w:instrText xml:space="preserve"> PAGEREF _Toc256000034 \h </w:instrText>
          <w:fldChar w:fldCharType="separate"/>
          <w:t>5</w:t>
          <w:fldChar w:fldCharType="end"/>
        </w:r>
      </w:hyperlink>
    </w:p>
    <w:p>
      <w:pPr>
        <w:pStyle w:val="TOC1"/>
        <w:tabs>
          <w:tab w:val="right" w:leader="dot" w:pos="9350"/>
        </w:tabs>
        <w:rPr>
          <w:rFonts w:ascii="Calibri" w:hAnsi="Calibri"/>
          <w:noProof/>
          <w:sz w:val="22"/>
        </w:rPr>
      </w:pPr>
      <w:hyperlink w:anchor="_Toc256000035" w:history="1">
        <w:r>
          <w:rPr>
            <w:rStyle w:val="Hyperlink"/>
            <w:rFonts w:ascii="Times New Roman" w:eastAsia="Times New Roman" w:hAnsi="Times New Roman" w:cs="Times New Roman"/>
          </w:rPr>
          <w:t>IV. WHAT I FOUND</w:t>
        </w:r>
        <w:r>
          <w:tab/>
          <w:fldChar w:fldCharType="begin"/>
          <w:instrText xml:space="preserve"> PAGEREF _Toc256000035 \h </w:instrText>
          <w:fldChar w:fldCharType="separate"/>
          <w:t>6</w:t>
          <w:fldChar w:fldCharType="end"/>
        </w:r>
      </w:hyperlink>
    </w:p>
    <w:p>
      <w:pPr>
        <w:pStyle w:val="TOC2"/>
        <w:tabs>
          <w:tab w:val="right" w:leader="dot" w:pos="9350"/>
        </w:tabs>
        <w:rPr>
          <w:rFonts w:ascii="Calibri" w:hAnsi="Calibri"/>
          <w:noProof/>
          <w:sz w:val="22"/>
        </w:rPr>
      </w:pPr>
      <w:hyperlink w:anchor="_Toc256000036" w:history="1">
        <w:r>
          <w:rPr>
            <w:rStyle w:val="Hyperlink"/>
            <w:rFonts w:ascii="Times New Roman" w:eastAsia="Times New Roman" w:hAnsi="Times New Roman" w:cs="Times New Roman"/>
          </w:rPr>
          <w:t>I. The Lifecycle Length Picture</w:t>
        </w:r>
        <w:r>
          <w:tab/>
          <w:fldChar w:fldCharType="begin"/>
          <w:instrText xml:space="preserve"> PAGEREF _Toc256000036 \h </w:instrText>
          <w:fldChar w:fldCharType="separate"/>
          <w:t>6</w:t>
          <w:fldChar w:fldCharType="end"/>
        </w:r>
      </w:hyperlink>
    </w:p>
    <w:p>
      <w:pPr>
        <w:pStyle w:val="TOC2"/>
        <w:tabs>
          <w:tab w:val="right" w:leader="dot" w:pos="9350"/>
        </w:tabs>
        <w:rPr>
          <w:rFonts w:ascii="Calibri" w:hAnsi="Calibri"/>
          <w:noProof/>
          <w:sz w:val="22"/>
        </w:rPr>
      </w:pPr>
      <w:hyperlink w:anchor="_Toc256000037" w:history="1">
        <w:r>
          <w:rPr>
            <w:rStyle w:val="Hyperlink"/>
            <w:rFonts w:ascii="Times New Roman" w:eastAsia="Times New Roman" w:hAnsi="Times New Roman" w:cs="Times New Roman"/>
          </w:rPr>
          <w:t>II. How Quickly Songs Peak</w:t>
        </w:r>
        <w:r>
          <w:tab/>
          <w:fldChar w:fldCharType="begin"/>
          <w:instrText xml:space="preserve"> PAGEREF _Toc256000037 \h </w:instrText>
          <w:fldChar w:fldCharType="separate"/>
          <w:t>7</w:t>
          <w:fldChar w:fldCharType="end"/>
        </w:r>
      </w:hyperlink>
    </w:p>
    <w:p>
      <w:pPr>
        <w:pStyle w:val="TOC2"/>
        <w:tabs>
          <w:tab w:val="right" w:leader="dot" w:pos="9350"/>
        </w:tabs>
        <w:rPr>
          <w:rFonts w:ascii="Calibri" w:hAnsi="Calibri"/>
          <w:noProof/>
          <w:sz w:val="22"/>
        </w:rPr>
      </w:pPr>
      <w:hyperlink w:anchor="_Toc256000038" w:history="1">
        <w:r>
          <w:rPr>
            <w:rStyle w:val="Hyperlink"/>
            <w:rFonts w:ascii="Times New Roman" w:eastAsia="Times New Roman" w:hAnsi="Times New Roman" w:cs="Times New Roman"/>
          </w:rPr>
          <w:t>III. The Rotation Intensity of Spain's Playlist</w:t>
        </w:r>
        <w:r>
          <w:tab/>
          <w:fldChar w:fldCharType="begin"/>
          <w:instrText xml:space="preserve"> PAGEREF _Toc256000038 \h </w:instrText>
          <w:fldChar w:fldCharType="separate"/>
          <w:t>7</w:t>
          <w:fldChar w:fldCharType="end"/>
        </w:r>
      </w:hyperlink>
    </w:p>
    <w:p>
      <w:pPr>
        <w:pStyle w:val="TOC2"/>
        <w:tabs>
          <w:tab w:val="right" w:leader="dot" w:pos="9350"/>
        </w:tabs>
        <w:rPr>
          <w:rFonts w:ascii="Calibri" w:hAnsi="Calibri"/>
          <w:noProof/>
          <w:sz w:val="22"/>
        </w:rPr>
      </w:pPr>
      <w:hyperlink w:anchor="_Toc256000039" w:history="1">
        <w:r>
          <w:rPr>
            <w:rStyle w:val="Hyperlink"/>
            <w:rFonts w:ascii="Times New Roman" w:eastAsia="Times New Roman" w:hAnsi="Times New Roman" w:cs="Times New Roman"/>
          </w:rPr>
          <w:t>IV. How Content Attributes Shape Lifecycle Outcomes</w:t>
        </w:r>
        <w:r>
          <w:tab/>
          <w:fldChar w:fldCharType="begin"/>
          <w:instrText xml:space="preserve"> PAGEREF _Toc256000039 \h </w:instrText>
          <w:fldChar w:fldCharType="separate"/>
          <w:t>8</w:t>
          <w:fldChar w:fldCharType="end"/>
        </w:r>
      </w:hyperlink>
    </w:p>
    <w:p>
      <w:pPr>
        <w:pStyle w:val="TOC2"/>
        <w:tabs>
          <w:tab w:val="right" w:leader="dot" w:pos="9350"/>
        </w:tabs>
        <w:rPr>
          <w:rFonts w:ascii="Calibri" w:hAnsi="Calibri"/>
          <w:noProof/>
          <w:sz w:val="22"/>
        </w:rPr>
      </w:pPr>
      <w:hyperlink w:anchor="_Toc256000040" w:history="1">
        <w:r>
          <w:rPr>
            <w:rStyle w:val="Hyperlink"/>
            <w:rFonts w:ascii="Times New Roman" w:eastAsia="Times New Roman" w:hAnsi="Times New Roman" w:cs="Times New Roman"/>
          </w:rPr>
          <w:t>V. Popularity Across Lifecycle Stages</w:t>
        </w:r>
        <w:r>
          <w:tab/>
          <w:fldChar w:fldCharType="begin"/>
          <w:instrText xml:space="preserve"> PAGEREF _Toc256000040 \h </w:instrText>
          <w:fldChar w:fldCharType="separate"/>
          <w:t>9</w:t>
          <w:fldChar w:fldCharType="end"/>
        </w:r>
      </w:hyperlink>
    </w:p>
    <w:p>
      <w:pPr>
        <w:pStyle w:val="TOC1"/>
        <w:tabs>
          <w:tab w:val="right" w:leader="dot" w:pos="9350"/>
        </w:tabs>
        <w:rPr>
          <w:rFonts w:ascii="Calibri" w:hAnsi="Calibri"/>
          <w:noProof/>
          <w:sz w:val="22"/>
        </w:rPr>
      </w:pPr>
      <w:hyperlink w:anchor="_Toc256000041" w:history="1">
        <w:r>
          <w:rPr>
            <w:rStyle w:val="Hyperlink"/>
            <w:rFonts w:ascii="Times New Roman" w:eastAsia="Times New Roman" w:hAnsi="Times New Roman" w:cs="Times New Roman"/>
          </w:rPr>
          <w:t>V. RECOMMENDATIONS FOR ATLANTIC RECORDING CORPORATION</w:t>
        </w:r>
        <w:r>
          <w:tab/>
          <w:fldChar w:fldCharType="begin"/>
          <w:instrText xml:space="preserve"> PAGEREF _Toc256000041 \h </w:instrText>
          <w:fldChar w:fldCharType="separate"/>
          <w:t>9</w:t>
          <w:fldChar w:fldCharType="end"/>
        </w:r>
      </w:hyperlink>
    </w:p>
    <w:p>
      <w:pPr>
        <w:pStyle w:val="TOC1"/>
        <w:tabs>
          <w:tab w:val="left" w:pos="440"/>
          <w:tab w:val="right" w:leader="dot" w:pos="9350"/>
        </w:tabs>
        <w:rPr>
          <w:rFonts w:ascii="Calibri" w:hAnsi="Calibri"/>
          <w:noProof/>
          <w:sz w:val="22"/>
        </w:rPr>
      </w:pPr>
      <w:hyperlink w:anchor="_Toc256000042" w:history="1">
        <w:r>
          <w:rPr>
            <w:rStyle w:val="Hyperlink"/>
            <w:rFonts w:ascii="Symbol" w:eastAsia="Symbol" w:hAnsi="Symbol" w:cs="Symbol"/>
          </w:rPr>
          <w:t>•</w:t>
        </w:r>
        <w:r>
          <w:rPr>
            <w:rFonts w:ascii="Calibri" w:eastAsia="Symbol" w:hAnsi="Calibri" w:cs="Symbol"/>
            <w:noProof/>
            <w:sz w:val="22"/>
          </w:rPr>
          <w:tab/>
        </w:r>
        <w:r>
          <w:rPr>
            <w:rStyle w:val="Hyperlink"/>
            <w:rFonts w:ascii="Times New Roman" w:eastAsia="Times New Roman" w:hAnsi="Times New Roman" w:cs="Times New Roman"/>
          </w:rPr>
          <w:t>VI. CONCLUSION</w:t>
        </w:r>
        <w:r>
          <w:tab/>
          <w:fldChar w:fldCharType="begin"/>
          <w:instrText xml:space="preserve"> PAGEREF _Toc256000042 \h </w:instrText>
          <w:fldChar w:fldCharType="separate"/>
          <w:t>10</w:t>
          <w:fldChar w:fldCharType="end"/>
        </w:r>
      </w:hyperlink>
    </w:p>
    <w:p>
      <w:pPr>
        <w:pStyle w:val="TOC1"/>
        <w:tabs>
          <w:tab w:val="right" w:leader="dot" w:pos="9350"/>
        </w:tabs>
        <w:rPr>
          <w:rFonts w:ascii="Calibri" w:hAnsi="Calibri"/>
          <w:noProof/>
          <w:sz w:val="22"/>
        </w:rPr>
      </w:pPr>
      <w:hyperlink w:anchor="_Toc256000043" w:history="1">
        <w:r>
          <w:rPr>
            <w:rStyle w:val="Hyperlink"/>
            <w:rFonts w:ascii="Times New Roman" w:eastAsia="Times New Roman" w:hAnsi="Times New Roman" w:cs="Times New Roman"/>
          </w:rPr>
          <w:t>REFERENCES</w:t>
        </w:r>
        <w:r>
          <w:tab/>
          <w:fldChar w:fldCharType="begin"/>
          <w:instrText xml:space="preserve"> PAGEREF _Toc256000043 \h </w:instrText>
          <w:fldChar w:fldCharType="separate"/>
          <w:t>11</w:t>
          <w:fldChar w:fldCharType="end"/>
        </w:r>
      </w:hyperlink>
    </w:p>
    <w:p>
      <w:pPr>
        <w:pStyle w:val="TOC1"/>
        <w:tabs>
          <w:tab w:val="right" w:leader="dot" w:pos="9350"/>
        </w:tabs>
        <w:rPr>
          <w:rFonts w:ascii="Calibri" w:hAnsi="Calibri"/>
          <w:noProof/>
          <w:sz w:val="22"/>
        </w:rPr>
      </w:pPr>
      <w:hyperlink w:anchor="_Toc256000044" w:history="1">
        <w:r>
          <w:rPr>
            <w:rStyle w:val="Hyperlink"/>
            <w:rFonts w:ascii="Times New Roman" w:eastAsia="Times New Roman" w:hAnsi="Times New Roman" w:cs="Times New Roman"/>
          </w:rPr>
          <w:t>ABOUT THE AUTHOR</w:t>
        </w:r>
        <w:r>
          <w:tab/>
          <w:fldChar w:fldCharType="begin"/>
          <w:instrText xml:space="preserve"> PAGEREF _Toc256000044 \h </w:instrText>
          <w:fldChar w:fldCharType="separate"/>
          <w:t>11</w:t>
          <w:fldChar w:fldCharType="end"/>
        </w:r>
      </w:hyperlink>
    </w:p>
    <w:p w:rsidR="00A77B3E">
      <w:pPr>
        <w:pStyle w:val="TableOfContentsHeading"/>
      </w:pPr>
      <w:r>
        <w:fldChar w:fldCharType="end"/>
        <w:br w:type="page"/>
      </w:r>
      <w:bookmarkEnd w:id="0"/>
    </w:p>
    <w:p>
      <w:pPr>
        <w:jc w:val="center"/>
      </w:pPr>
      <w:r>
        <w:rPr>
          <w:rFonts w:ascii="Times New Roman" w:eastAsia="Times New Roman" w:hAnsi="Times New Roman" w:cs="Times New Roman"/>
          <w:color w:val="000000"/>
          <w:sz w:val="64"/>
        </w:rPr>
        <w:t>Content Maturity, Release Lifecycle, and Playlist Rotation Analysis of Spain Top 50 Songs</w:t>
      </w:r>
    </w:p>
    <w:p>
      <w:pPr>
        <w:jc w:val="center"/>
      </w:pPr>
    </w:p>
    <w:p>
      <w:pPr>
        <w:jc w:val="center"/>
      </w:pPr>
      <w:r>
        <w:rPr>
          <w:rFonts w:ascii="Times New Roman" w:eastAsia="Times New Roman" w:hAnsi="Times New Roman" w:cs="Times New Roman"/>
          <w:color w:val="000000"/>
          <w:sz w:val="32"/>
        </w:rPr>
        <w:t>Teja</w:t>
      </w:r>
      <w:r>
        <w:rPr>
          <w:rFonts w:ascii="Times New Roman" w:eastAsia="Times New Roman" w:hAnsi="Times New Roman" w:cs="Times New Roman"/>
          <w:i/>
          <w:color w:val="000000"/>
          <w:sz w:val="32"/>
        </w:rPr>
        <w:t>Data Analytics DivisionAtlantic Recording Corporation</w:t>
      </w:r>
      <w:r>
        <w:rPr>
          <w:rFonts w:ascii="Times New Roman" w:eastAsia="Times New Roman" w:hAnsi="Times New Roman" w:cs="Times New Roman"/>
          <w:color w:val="000000"/>
          <w:sz w:val="32"/>
        </w:rPr>
        <w:t>analyst@atlantic.com</w:t>
      </w:r>
    </w:p>
    <w:p>
      <w:pPr>
        <w:jc w:val="center"/>
      </w:pPr>
    </w:p>
    <w:p>
      <w:pPr>
        <w:jc w:val="both"/>
      </w:pPr>
      <w:r>
        <w:rPr>
          <w:rFonts w:ascii="Times New Roman" w:eastAsia="Times New Roman" w:hAnsi="Times New Roman" w:cs="Times New Roman"/>
          <w:b/>
          <w:i/>
          <w:color w:val="000000"/>
          <w:sz w:val="26"/>
        </w:rPr>
        <w:t xml:space="preserve">Abstract- When I first opened the Atlantic Spain dataset, I did not expect to find a story this clear. Behind 27,750 rows of daily playlist snapshots lies a market with a distinct personality — fast-moving, freshness-hungry, and structurally unlike anything the US or UK data would tell you. This study documents these findings. Across 545 unique songs and 306 artists tracked from May 2024 to November 2025, I constructed song-level lifecycle profiles and computed six key performance indicators measuring content retention, peak timing, rotation intensity, and attribute-level performance. The findings are striking: songs peak in just 10.3 days, the playlist churns at 1.7 replacements daily, singles outlast album tracks by nearly two-to-one, and songs under two minutes barely survive two weeks. These are not marginal differences; they are structural signals that should inform how Atlantic Recording Corporation approaches every release, format decision, and marketing timeline in Spain.</w:t>
      </w:r>
    </w:p>
    <w:p>
      <w:pPr>
        <w:jc w:val="both"/>
      </w:pPr>
    </w:p>
    <w:p>
      <w:pPr>
        <w:jc w:val="both"/>
      </w:pPr>
      <w:r>
        <w:rPr>
          <w:rFonts w:ascii="Times New Roman" w:eastAsia="Times New Roman" w:hAnsi="Times New Roman" w:cs="Times New Roman"/>
          <w:b/>
          <w:i/>
          <w:color w:val="000000"/>
          <w:sz w:val="26"/>
        </w:rPr>
        <w:t xml:space="preserve">Index Terms- content maturity, lifecycle intelligence, playlist churn, Spotify Spain analytics.</w:t>
      </w:r>
    </w:p>
    <w:p>
      <w:pPr>
        <w:jc w:val="both"/>
      </w:pPr>
    </w:p>
    <w:p>
      <w:pPr>
        <w:pStyle w:val="Heading1"/>
        <w:jc w:val="both"/>
      </w:pPr>
      <w:bookmarkStart w:id="1" w:name="_Toc256000030"/>
      <w:r>
        <w:rPr>
          <w:rFonts w:ascii="Times New Roman" w:eastAsia="Times New Roman" w:hAnsi="Times New Roman" w:cs="Times New Roman"/>
          <w:color w:val="000000"/>
          <w:sz w:val="26"/>
        </w:rPr>
        <w:t>I. INTRODUCTION</w:t>
      </w:r>
      <w:bookmarkEnd w:id="1"/>
    </w:p>
    <w:p/>
    <w:p>
      <w:pPr>
        <w:jc w:val="both"/>
      </w:pPr>
      <w:r>
        <w:rPr>
          <w:rFonts w:ascii="Times New Roman" w:eastAsia="Times New Roman" w:hAnsi="Times New Roman" w:cs="Times New Roman"/>
          <w:color w:val="000000"/>
          <w:sz w:val="26"/>
        </w:rPr>
        <w:t>I came into this project with a straightforward brief: analyze Spain's Spotify Top 50 playlist and help Atlantic Recording Corporation understand how songs perform in that market. What I did not anticipate was how clearly the data would reveal that Spain operates by its own rules. The Spanish streaming market is not a quieter version of the US market or a Latin-inflected copy of UK charts — it is a distinct ecosystem with measurable structural characteristics that demand their own strategic response.</w:t>
      </w:r>
    </w:p>
    <w:p>
      <w:pPr>
        <w:jc w:val="both"/>
      </w:pPr>
    </w:p>
    <w:p>
      <w:pPr>
        <w:jc w:val="both"/>
      </w:pPr>
      <w:r>
        <w:rPr>
          <w:rFonts w:ascii="Times New Roman" w:eastAsia="Times New Roman" w:hAnsi="Times New Roman" w:cs="Times New Roman"/>
          <w:color w:val="000000"/>
          <w:sz w:val="26"/>
        </w:rPr>
        <w:t xml:space="preserve">The central problem I was asked to solve is deceptively simple: Atlantic has the data but lacks the intelligence. Daily playlist snapshots exist; however, no one has systematically asked how long songs survive, when they peak, which content attributes extend or shorten their stay, and how the playlist itself rotates over time. Without answers to these questions, release strategies risk being copied from other regions where different dynamics apply — a recipe for underperformance in a market that rewards precision.</w:t>
      </w:r>
    </w:p>
    <w:p>
      <w:pPr>
        <w:jc w:val="both"/>
      </w:pPr>
    </w:p>
    <w:p>
      <w:pPr>
        <w:jc w:val="both"/>
      </w:pPr>
      <w:r>
        <w:rPr>
          <w:rFonts w:ascii="Times New Roman" w:eastAsia="Times New Roman" w:hAnsi="Times New Roman" w:cs="Times New Roman"/>
          <w:color w:val="000000"/>
          <w:sz w:val="26"/>
        </w:rPr>
        <w:t>My approach was to build a lifecycle framework from the ground up: clean the raw data, construct per-song lifecycle profiles, classify songs into maturity stages, compute six KPIs, and deliver findings through both this paper and an interactive Power BI dashboard. Every number in this paper comes directly from the dataset — no assumptions, no proxies, no borrowed benchmarks from other markets.</w:t>
      </w:r>
    </w:p>
    <w:p>
      <w:pPr>
        <w:jc w:val="both"/>
      </w:pPr>
    </w:p>
    <w:p>
      <w:pPr>
        <w:pStyle w:val="Heading1"/>
        <w:jc w:val="both"/>
      </w:pPr>
      <w:bookmarkStart w:id="2" w:name="_Toc256000031"/>
      <w:r>
        <w:rPr>
          <w:rFonts w:ascii="Times New Roman" w:eastAsia="Times New Roman" w:hAnsi="Times New Roman" w:cs="Times New Roman"/>
          <w:color w:val="000000"/>
          <w:sz w:val="26"/>
        </w:rPr>
        <w:t>II. THE DATASET I WORKED WITH</w:t>
      </w:r>
      <w:bookmarkEnd w:id="2"/>
    </w:p>
    <w:p/>
    <w:p>
      <w:pPr>
        <w:jc w:val="both"/>
      </w:pPr>
      <w:r>
        <w:rPr>
          <w:rFonts w:ascii="Times New Roman" w:eastAsia="Times New Roman" w:hAnsi="Times New Roman" w:cs="Times New Roman"/>
          <w:color w:val="000000"/>
          <w:sz w:val="26"/>
        </w:rPr>
        <w:t>The dataset I received from Atlantic covers daily snapshots of Spain's Spotify Top 50 playlist from May 18, 2024 through November 27, 2025 — 555 unique dates in total. Each snapshot records 50 songs, giving a raw dataset of 27,750 rows. Before any analysis could begin, I needed to understand what I was actually working with and whether the data could be trusted.</w:t>
      </w:r>
    </w:p>
    <w:p>
      <w:pPr>
        <w:jc w:val="both"/>
      </w:pPr>
    </w:p>
    <w:p>
      <w:pPr>
        <w:jc w:val="both"/>
      </w:pPr>
      <w:r>
        <w:rPr>
          <w:rFonts w:ascii="Times New Roman" w:eastAsia="Times New Roman" w:hAnsi="Times New Roman" w:cs="Times New Roman"/>
          <w:color w:val="000000"/>
          <w:sz w:val="26"/>
        </w:rPr>
        <w:t xml:space="preserve">The first thing I checked was the completeness. The dataset arrived with zero missing values across all ten fields, which is an unusually clean starting point. However, validation quickly revealed one issue: March 1, 2025 had 100 entries instead of 50, indicating a full duplicate of that day's snapshot had been appended to the file. I resolved this using positional deduplication, keeping the first occurrence of each date-position pair and reducing the dataset to its correct 27,750 rows.</w:t>
      </w:r>
    </w:p>
    <w:p>
      <w:pPr>
        <w:jc w:val="both"/>
      </w:pPr>
    </w:p>
    <w:p>
      <w:pPr>
        <w:jc w:val="both"/>
      </w:pPr>
      <w:r>
        <w:rPr>
          <w:rFonts w:ascii="Times New Roman" w:eastAsia="Times New Roman" w:hAnsi="Times New Roman" w:cs="Times New Roman"/>
          <w:color w:val="000000"/>
          <w:sz w:val="26"/>
        </w:rPr>
        <w:t>Each row contains: the snapshot date, the song's playlist position (1 to 50), the song title, the performing artist, a Spotify popularity score (0 to 100), the track duration in milliseconds, the release format (single or album), the album track count, and an explicit content flag. I added a derived duration-in-minutes column during preprocessing to support duration-bucket analysis in later phases.</w:t>
      </w:r>
    </w:p>
    <w:p>
      <w:pPr>
        <w:jc w:val="both"/>
      </w:pPr>
    </w:p>
    <w:p>
      <w:r>
        <w:rPr>
          <w:rFonts w:ascii="Times New Roman" w:eastAsia="Times New Roman" w:hAnsi="Times New Roman" w:cs="Times New Roman"/>
          <w:b/>
          <w:color w:val="000000"/>
          <w:sz w:val="26"/>
        </w:rPr>
        <w:t>Table 1. Dataset Fields and Their Analytical Role</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20"/>
        <w:gridCol w:w="3120"/>
        <w:gridCol w:w="312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3120" w:type="dxa"/>
            <w:shd w:val="clear" w:color="auto" w:fill="FFFFFF"/>
          </w:tcPr>
          <w:p>
            <w:r>
              <w:rPr>
                <w:rFonts w:ascii="Times New Roman" w:eastAsia="Times New Roman" w:hAnsi="Times New Roman" w:cs="Times New Roman"/>
                <w:b/>
                <w:color w:val="000000"/>
                <w:sz w:val="26"/>
              </w:rPr>
              <w:t>Field</w:t>
            </w:r>
          </w:p>
          <w:p/>
        </w:tc>
        <w:tc>
          <w:tcPr>
            <w:tcW w:w="3120" w:type="dxa"/>
            <w:shd w:val="clear" w:color="auto" w:fill="FFFFFF"/>
          </w:tcPr>
          <w:p>
            <w:r>
              <w:rPr>
                <w:rFonts w:ascii="Times New Roman" w:eastAsia="Times New Roman" w:hAnsi="Times New Roman" w:cs="Times New Roman"/>
                <w:b/>
                <w:color w:val="000000"/>
                <w:sz w:val="26"/>
              </w:rPr>
              <w:t>Type</w:t>
            </w:r>
          </w:p>
          <w:p/>
        </w:tc>
        <w:tc>
          <w:tcPr>
            <w:tcW w:w="3120" w:type="dxa"/>
            <w:shd w:val="clear" w:color="auto" w:fill="FFFFFF"/>
          </w:tcPr>
          <w:p>
            <w:r>
              <w:rPr>
                <w:rFonts w:ascii="Times New Roman" w:eastAsia="Times New Roman" w:hAnsi="Times New Roman" w:cs="Times New Roman"/>
                <w:b/>
                <w:color w:val="000000"/>
                <w:sz w:val="26"/>
              </w:rPr>
              <w:t>Used For</w:t>
            </w:r>
          </w:p>
          <w:p>
            <w:pPr>
              <w:numPr>
                <w:ilvl w:val="0"/>
                <w:numId w:val="0"/>
              </w:numPr>
            </w:pPr>
          </w:p>
        </w:tc>
      </w:tr>
      <w:tr>
        <w:tblPrEx>
          <w:tblW w:w="0" w:type="auto"/>
          <w:tblLayout w:type="fixed"/>
          <w:tblCellMar>
            <w:left w:w="108" w:type="dxa"/>
            <w:right w:w="108" w:type="dxa"/>
          </w:tblCellMar>
        </w:tblPrEx>
        <w:tc>
          <w:tcPr>
            <w:tcW w:w="3120" w:type="dxa"/>
            <w:shd w:val="clear" w:color="auto" w:fill="FFFFFF"/>
          </w:tcPr>
          <w:p>
            <w:r>
              <w:rPr>
                <w:rFonts w:ascii="Times New Roman" w:eastAsia="Times New Roman" w:hAnsi="Times New Roman" w:cs="Times New Roman"/>
                <w:b/>
                <w:color w:val="000000"/>
                <w:sz w:val="26"/>
              </w:rPr>
              <w:t>date</w:t>
            </w:r>
          </w:p>
          <w:p/>
        </w:tc>
        <w:tc>
          <w:tcPr>
            <w:tcW w:w="3120" w:type="dxa"/>
            <w:shd w:val="clear" w:color="auto" w:fill="FFFFFF"/>
          </w:tcPr>
          <w:p>
            <w:r>
              <w:rPr>
                <w:rFonts w:ascii="Times New Roman" w:eastAsia="Times New Roman" w:hAnsi="Times New Roman" w:cs="Times New Roman"/>
                <w:b/>
                <w:color w:val="000000"/>
                <w:sz w:val="26"/>
              </w:rPr>
              <w:t>Date</w:t>
            </w:r>
          </w:p>
          <w:p/>
        </w:tc>
        <w:tc>
          <w:tcPr>
            <w:tcW w:w="3120" w:type="dxa"/>
            <w:shd w:val="clear" w:color="auto" w:fill="FFFFFF"/>
          </w:tcPr>
          <w:p>
            <w:r>
              <w:rPr>
                <w:rFonts w:ascii="Times New Roman" w:eastAsia="Times New Roman" w:hAnsi="Times New Roman" w:cs="Times New Roman"/>
                <w:b/>
                <w:color w:val="000000"/>
                <w:sz w:val="26"/>
              </w:rPr>
              <w:t>Entry/exit detection, churn timeline</w:t>
            </w:r>
          </w:p>
          <w:p>
            <w:pPr>
              <w:numPr>
                <w:ilvl w:val="0"/>
                <w:numId w:val="0"/>
              </w:numPr>
            </w:pPr>
          </w:p>
        </w:tc>
      </w:tr>
      <w:tr>
        <w:tblPrEx>
          <w:tblW w:w="0" w:type="auto"/>
          <w:tblLayout w:type="fixed"/>
          <w:tblCellMar>
            <w:left w:w="108" w:type="dxa"/>
            <w:right w:w="108" w:type="dxa"/>
          </w:tblCellMar>
        </w:tblPrEx>
        <w:tc>
          <w:tcPr>
            <w:tcW w:w="3120" w:type="dxa"/>
            <w:shd w:val="clear" w:color="auto" w:fill="FFFFFF"/>
          </w:tcPr>
          <w:p>
            <w:r>
              <w:rPr>
                <w:rFonts w:ascii="Times New Roman" w:eastAsia="Times New Roman" w:hAnsi="Times New Roman" w:cs="Times New Roman"/>
                <w:b/>
                <w:color w:val="000000"/>
                <w:sz w:val="26"/>
              </w:rPr>
              <w:t>position</w:t>
            </w:r>
          </w:p>
          <w:p/>
        </w:tc>
        <w:tc>
          <w:tcPr>
            <w:tcW w:w="3120" w:type="dxa"/>
            <w:shd w:val="clear" w:color="auto" w:fill="FFFFFF"/>
          </w:tcPr>
          <w:p>
            <w:r>
              <w:rPr>
                <w:rFonts w:ascii="Times New Roman" w:eastAsia="Times New Roman" w:hAnsi="Times New Roman" w:cs="Times New Roman"/>
                <w:b/>
                <w:color w:val="000000"/>
                <w:sz w:val="26"/>
              </w:rPr>
              <w:t>Integer (1-50)</w:t>
            </w:r>
          </w:p>
          <w:p/>
        </w:tc>
        <w:tc>
          <w:tcPr>
            <w:tcW w:w="3120" w:type="dxa"/>
            <w:shd w:val="clear" w:color="auto" w:fill="FFFFFF"/>
          </w:tcPr>
          <w:p>
            <w:r>
              <w:rPr>
                <w:rFonts w:ascii="Times New Roman" w:eastAsia="Times New Roman" w:hAnsi="Times New Roman" w:cs="Times New Roman"/>
                <w:b/>
                <w:color w:val="000000"/>
                <w:sz w:val="26"/>
              </w:rPr>
              <w:t>Peak position, avg rank, stage classification</w:t>
            </w:r>
          </w:p>
          <w:p>
            <w:pPr>
              <w:numPr>
                <w:ilvl w:val="0"/>
                <w:numId w:val="0"/>
              </w:numPr>
            </w:pPr>
          </w:p>
        </w:tc>
      </w:tr>
      <w:tr>
        <w:tblPrEx>
          <w:tblW w:w="0" w:type="auto"/>
          <w:tblLayout w:type="fixed"/>
          <w:tblCellMar>
            <w:left w:w="108" w:type="dxa"/>
            <w:right w:w="108" w:type="dxa"/>
          </w:tblCellMar>
        </w:tblPrEx>
        <w:tc>
          <w:tcPr>
            <w:tcW w:w="3120" w:type="dxa"/>
            <w:shd w:val="clear" w:color="auto" w:fill="FFFFFF"/>
          </w:tcPr>
          <w:p>
            <w:r>
              <w:rPr>
                <w:rFonts w:ascii="Times New Roman" w:eastAsia="Times New Roman" w:hAnsi="Times New Roman" w:cs="Times New Roman"/>
                <w:b/>
                <w:color w:val="000000"/>
                <w:sz w:val="26"/>
              </w:rPr>
              <w:t>song</w:t>
            </w:r>
          </w:p>
          <w:p/>
        </w:tc>
        <w:tc>
          <w:tcPr>
            <w:tcW w:w="3120" w:type="dxa"/>
            <w:shd w:val="clear" w:color="auto" w:fill="FFFFFF"/>
          </w:tcPr>
          <w:p>
            <w:r>
              <w:rPr>
                <w:rFonts w:ascii="Times New Roman" w:eastAsia="Times New Roman" w:hAnsi="Times New Roman" w:cs="Times New Roman"/>
                <w:b/>
                <w:color w:val="000000"/>
                <w:sz w:val="26"/>
              </w:rPr>
              <w:t>Text</w:t>
            </w:r>
          </w:p>
          <w:p/>
        </w:tc>
        <w:tc>
          <w:tcPr>
            <w:tcW w:w="3120" w:type="dxa"/>
            <w:shd w:val="clear" w:color="auto" w:fill="FFFFFF"/>
          </w:tcPr>
          <w:p>
            <w:r>
              <w:rPr>
                <w:rFonts w:ascii="Times New Roman" w:eastAsia="Times New Roman" w:hAnsi="Times New Roman" w:cs="Times New Roman"/>
                <w:b/>
                <w:color w:val="000000"/>
                <w:sz w:val="26"/>
              </w:rPr>
              <w:t>Lifecycle grouping key</w:t>
            </w:r>
          </w:p>
          <w:p>
            <w:pPr>
              <w:numPr>
                <w:ilvl w:val="0"/>
                <w:numId w:val="0"/>
              </w:numPr>
            </w:pPr>
          </w:p>
        </w:tc>
      </w:tr>
      <w:tr>
        <w:tblPrEx>
          <w:tblW w:w="0" w:type="auto"/>
          <w:tblLayout w:type="fixed"/>
          <w:tblCellMar>
            <w:left w:w="108" w:type="dxa"/>
            <w:right w:w="108" w:type="dxa"/>
          </w:tblCellMar>
        </w:tblPrEx>
        <w:tc>
          <w:tcPr>
            <w:tcW w:w="3120" w:type="dxa"/>
            <w:shd w:val="clear" w:color="auto" w:fill="FFFFFF"/>
          </w:tcPr>
          <w:p>
            <w:r>
              <w:rPr>
                <w:rFonts w:ascii="Times New Roman" w:eastAsia="Times New Roman" w:hAnsi="Times New Roman" w:cs="Times New Roman"/>
                <w:b/>
                <w:color w:val="000000"/>
                <w:sz w:val="26"/>
              </w:rPr>
              <w:t>artist</w:t>
            </w:r>
          </w:p>
          <w:p/>
        </w:tc>
        <w:tc>
          <w:tcPr>
            <w:tcW w:w="3120" w:type="dxa"/>
            <w:shd w:val="clear" w:color="auto" w:fill="FFFFFF"/>
          </w:tcPr>
          <w:p>
            <w:r>
              <w:rPr>
                <w:rFonts w:ascii="Times New Roman" w:eastAsia="Times New Roman" w:hAnsi="Times New Roman" w:cs="Times New Roman"/>
                <w:b/>
                <w:color w:val="000000"/>
                <w:sz w:val="26"/>
              </w:rPr>
              <w:t>Text</w:t>
            </w:r>
          </w:p>
          <w:p/>
        </w:tc>
        <w:tc>
          <w:tcPr>
            <w:tcW w:w="3120" w:type="dxa"/>
            <w:shd w:val="clear" w:color="auto" w:fill="FFFFFF"/>
          </w:tcPr>
          <w:p>
            <w:r>
              <w:rPr>
                <w:rFonts w:ascii="Times New Roman" w:eastAsia="Times New Roman" w:hAnsi="Times New Roman" w:cs="Times New Roman"/>
                <w:b/>
                <w:color w:val="000000"/>
                <w:sz w:val="26"/>
              </w:rPr>
              <w:t>Attribution and genre-level inference</w:t>
            </w:r>
          </w:p>
          <w:p>
            <w:pPr>
              <w:numPr>
                <w:ilvl w:val="0"/>
                <w:numId w:val="0"/>
              </w:numPr>
            </w:pPr>
          </w:p>
        </w:tc>
      </w:tr>
      <w:tr>
        <w:tblPrEx>
          <w:tblW w:w="0" w:type="auto"/>
          <w:tblLayout w:type="fixed"/>
          <w:tblCellMar>
            <w:left w:w="108" w:type="dxa"/>
            <w:right w:w="108" w:type="dxa"/>
          </w:tblCellMar>
        </w:tblPrEx>
        <w:tc>
          <w:tcPr>
            <w:tcW w:w="3120" w:type="dxa"/>
            <w:shd w:val="clear" w:color="auto" w:fill="FFFFFF"/>
          </w:tcPr>
          <w:p>
            <w:r>
              <w:rPr>
                <w:rFonts w:ascii="Times New Roman" w:eastAsia="Times New Roman" w:hAnsi="Times New Roman" w:cs="Times New Roman"/>
                <w:b/>
                <w:color w:val="000000"/>
                <w:sz w:val="26"/>
              </w:rPr>
              <w:t>popularity</w:t>
            </w:r>
          </w:p>
          <w:p/>
        </w:tc>
        <w:tc>
          <w:tcPr>
            <w:tcW w:w="3120" w:type="dxa"/>
            <w:shd w:val="clear" w:color="auto" w:fill="FFFFFF"/>
          </w:tcPr>
          <w:p>
            <w:r>
              <w:rPr>
                <w:rFonts w:ascii="Times New Roman" w:eastAsia="Times New Roman" w:hAnsi="Times New Roman" w:cs="Times New Roman"/>
                <w:b/>
                <w:color w:val="000000"/>
                <w:sz w:val="26"/>
              </w:rPr>
              <w:t>Integer (0-100)</w:t>
            </w:r>
          </w:p>
          <w:p/>
        </w:tc>
        <w:tc>
          <w:tcPr>
            <w:tcW w:w="3120" w:type="dxa"/>
            <w:shd w:val="clear" w:color="auto" w:fill="FFFFFF"/>
          </w:tcPr>
          <w:p>
            <w:r>
              <w:rPr>
                <w:rFonts w:ascii="Times New Roman" w:eastAsia="Times New Roman" w:hAnsi="Times New Roman" w:cs="Times New Roman"/>
                <w:b/>
                <w:color w:val="000000"/>
                <w:sz w:val="26"/>
              </w:rPr>
              <w:t>Popularity vs stage analysis</w:t>
            </w:r>
          </w:p>
          <w:p>
            <w:pPr>
              <w:numPr>
                <w:ilvl w:val="0"/>
                <w:numId w:val="0"/>
              </w:numPr>
            </w:pPr>
          </w:p>
        </w:tc>
      </w:tr>
      <w:tr>
        <w:tblPrEx>
          <w:tblW w:w="0" w:type="auto"/>
          <w:tblLayout w:type="fixed"/>
          <w:tblCellMar>
            <w:left w:w="108" w:type="dxa"/>
            <w:right w:w="108" w:type="dxa"/>
          </w:tblCellMar>
        </w:tblPrEx>
        <w:tc>
          <w:tcPr>
            <w:tcW w:w="3120" w:type="dxa"/>
            <w:shd w:val="clear" w:color="auto" w:fill="FFFFFF"/>
          </w:tcPr>
          <w:p>
            <w:r>
              <w:rPr>
                <w:rFonts w:ascii="Times New Roman" w:eastAsia="Times New Roman" w:hAnsi="Times New Roman" w:cs="Times New Roman"/>
                <w:b/>
                <w:color w:val="000000"/>
                <w:sz w:val="26"/>
              </w:rPr>
              <w:t>duration_ms</w:t>
            </w:r>
          </w:p>
          <w:p/>
        </w:tc>
        <w:tc>
          <w:tcPr>
            <w:tcW w:w="3120" w:type="dxa"/>
            <w:shd w:val="clear" w:color="auto" w:fill="FFFFFF"/>
          </w:tcPr>
          <w:p>
            <w:r>
              <w:rPr>
                <w:rFonts w:ascii="Times New Roman" w:eastAsia="Times New Roman" w:hAnsi="Times New Roman" w:cs="Times New Roman"/>
                <w:b/>
                <w:color w:val="000000"/>
                <w:sz w:val="26"/>
              </w:rPr>
              <w:t>Integer</w:t>
            </w:r>
          </w:p>
          <w:p/>
        </w:tc>
        <w:tc>
          <w:tcPr>
            <w:tcW w:w="3120" w:type="dxa"/>
            <w:shd w:val="clear" w:color="auto" w:fill="FFFFFF"/>
          </w:tcPr>
          <w:p>
            <w:r>
              <w:rPr>
                <w:rFonts w:ascii="Times New Roman" w:eastAsia="Times New Roman" w:hAnsi="Times New Roman" w:cs="Times New Roman"/>
                <w:b/>
                <w:color w:val="000000"/>
                <w:sz w:val="26"/>
              </w:rPr>
              <w:t>Duration bucket analysis (converted to minutes)</w:t>
            </w:r>
          </w:p>
          <w:p>
            <w:pPr>
              <w:numPr>
                <w:ilvl w:val="0"/>
                <w:numId w:val="0"/>
              </w:numPr>
            </w:pPr>
          </w:p>
        </w:tc>
      </w:tr>
      <w:tr>
        <w:tblPrEx>
          <w:tblW w:w="0" w:type="auto"/>
          <w:tblLayout w:type="fixed"/>
          <w:tblCellMar>
            <w:left w:w="108" w:type="dxa"/>
            <w:right w:w="108" w:type="dxa"/>
          </w:tblCellMar>
        </w:tblPrEx>
        <w:tc>
          <w:tcPr>
            <w:tcW w:w="3120" w:type="dxa"/>
            <w:shd w:val="clear" w:color="auto" w:fill="FFFFFF"/>
          </w:tcPr>
          <w:p>
            <w:r>
              <w:rPr>
                <w:rFonts w:ascii="Times New Roman" w:eastAsia="Times New Roman" w:hAnsi="Times New Roman" w:cs="Times New Roman"/>
                <w:b/>
                <w:color w:val="000000"/>
                <w:sz w:val="26"/>
              </w:rPr>
              <w:t>album_type</w:t>
            </w:r>
          </w:p>
          <w:p/>
        </w:tc>
        <w:tc>
          <w:tcPr>
            <w:tcW w:w="3120" w:type="dxa"/>
            <w:shd w:val="clear" w:color="auto" w:fill="FFFFFF"/>
          </w:tcPr>
          <w:p>
            <w:r>
              <w:rPr>
                <w:rFonts w:ascii="Times New Roman" w:eastAsia="Times New Roman" w:hAnsi="Times New Roman" w:cs="Times New Roman"/>
                <w:b/>
                <w:color w:val="000000"/>
                <w:sz w:val="26"/>
              </w:rPr>
              <w:t>Categorical</w:t>
            </w:r>
          </w:p>
          <w:p/>
        </w:tc>
        <w:tc>
          <w:tcPr>
            <w:tcW w:w="3120" w:type="dxa"/>
            <w:shd w:val="clear" w:color="auto" w:fill="FFFFFF"/>
          </w:tcPr>
          <w:p>
            <w:r>
              <w:rPr>
                <w:rFonts w:ascii="Times New Roman" w:eastAsia="Times New Roman" w:hAnsi="Times New Roman" w:cs="Times New Roman"/>
                <w:b/>
                <w:color w:val="000000"/>
                <w:sz w:val="26"/>
              </w:rPr>
              <w:t>Single vs album longevity comparison</w:t>
            </w:r>
          </w:p>
          <w:p>
            <w:pPr>
              <w:numPr>
                <w:ilvl w:val="0"/>
                <w:numId w:val="0"/>
              </w:numPr>
            </w:pPr>
          </w:p>
        </w:tc>
      </w:tr>
      <w:tr>
        <w:tblPrEx>
          <w:tblW w:w="0" w:type="auto"/>
          <w:tblLayout w:type="fixed"/>
          <w:tblCellMar>
            <w:left w:w="108" w:type="dxa"/>
            <w:right w:w="108" w:type="dxa"/>
          </w:tblCellMar>
        </w:tblPrEx>
        <w:tc>
          <w:tcPr>
            <w:tcW w:w="3120" w:type="dxa"/>
            <w:shd w:val="clear" w:color="auto" w:fill="FFFFFF"/>
          </w:tcPr>
          <w:p>
            <w:r>
              <w:rPr>
                <w:rFonts w:ascii="Times New Roman" w:eastAsia="Times New Roman" w:hAnsi="Times New Roman" w:cs="Times New Roman"/>
                <w:b/>
                <w:color w:val="000000"/>
                <w:sz w:val="26"/>
              </w:rPr>
              <w:t>total_tracks</w:t>
            </w:r>
          </w:p>
          <w:p/>
        </w:tc>
        <w:tc>
          <w:tcPr>
            <w:tcW w:w="3120" w:type="dxa"/>
            <w:shd w:val="clear" w:color="auto" w:fill="FFFFFF"/>
          </w:tcPr>
          <w:p>
            <w:r>
              <w:rPr>
                <w:rFonts w:ascii="Times New Roman" w:eastAsia="Times New Roman" w:hAnsi="Times New Roman" w:cs="Times New Roman"/>
                <w:b/>
                <w:color w:val="000000"/>
                <w:sz w:val="26"/>
              </w:rPr>
              <w:t>Integer</w:t>
            </w:r>
          </w:p>
          <w:p/>
        </w:tc>
        <w:tc>
          <w:tcPr>
            <w:tcW w:w="3120" w:type="dxa"/>
            <w:shd w:val="clear" w:color="auto" w:fill="FFFFFF"/>
          </w:tcPr>
          <w:p>
            <w:r>
              <w:rPr>
                <w:rFonts w:ascii="Times New Roman" w:eastAsia="Times New Roman" w:hAnsi="Times New Roman" w:cs="Times New Roman"/>
                <w:b/>
                <w:color w:val="000000"/>
                <w:sz w:val="26"/>
              </w:rPr>
              <w:t>Album size vs stability analysis</w:t>
            </w:r>
          </w:p>
          <w:p>
            <w:pPr>
              <w:numPr>
                <w:ilvl w:val="0"/>
                <w:numId w:val="0"/>
              </w:numPr>
            </w:pPr>
          </w:p>
        </w:tc>
      </w:tr>
      <w:tr>
        <w:tblPrEx>
          <w:tblW w:w="0" w:type="auto"/>
          <w:tblLayout w:type="fixed"/>
          <w:tblCellMar>
            <w:left w:w="108" w:type="dxa"/>
            <w:right w:w="108" w:type="dxa"/>
          </w:tblCellMar>
        </w:tblPrEx>
        <w:tc>
          <w:tcPr>
            <w:tcW w:w="3120" w:type="dxa"/>
            <w:shd w:val="clear" w:color="auto" w:fill="FFFFFF"/>
          </w:tcPr>
          <w:p>
            <w:r>
              <w:rPr>
                <w:rFonts w:ascii="Times New Roman" w:eastAsia="Times New Roman" w:hAnsi="Times New Roman" w:cs="Times New Roman"/>
                <w:b/>
                <w:color w:val="000000"/>
                <w:sz w:val="26"/>
              </w:rPr>
              <w:t>is_explicit</w:t>
            </w:r>
          </w:p>
          <w:p/>
        </w:tc>
        <w:tc>
          <w:tcPr>
            <w:tcW w:w="3120" w:type="dxa"/>
            <w:shd w:val="clear" w:color="auto" w:fill="FFFFFF"/>
          </w:tcPr>
          <w:p>
            <w:r>
              <w:rPr>
                <w:rFonts w:ascii="Times New Roman" w:eastAsia="Times New Roman" w:hAnsi="Times New Roman" w:cs="Times New Roman"/>
                <w:b/>
                <w:color w:val="000000"/>
                <w:sz w:val="26"/>
              </w:rPr>
              <w:t>Boolean</w:t>
            </w:r>
          </w:p>
          <w:p/>
        </w:tc>
        <w:tc>
          <w:tcPr>
            <w:tcW w:w="3120" w:type="dxa"/>
            <w:shd w:val="clear" w:color="auto" w:fill="FFFFFF"/>
          </w:tcPr>
          <w:p>
            <w:r>
              <w:rPr>
                <w:rFonts w:ascii="Times New Roman" w:eastAsia="Times New Roman" w:hAnsi="Times New Roman" w:cs="Times New Roman"/>
                <w:b/>
                <w:color w:val="000000"/>
                <w:sz w:val="26"/>
              </w:rPr>
              <w:t>Explicit vs clean lifecycle comparison</w:t>
            </w:r>
          </w:p>
          <w:p>
            <w:pPr>
              <w:numPr>
                <w:ilvl w:val="0"/>
                <w:numId w:val="0"/>
              </w:numPr>
            </w:pPr>
          </w:p>
        </w:tc>
      </w:tr>
    </w:tbl>
    <w:p/>
    <w:p/>
    <w:p>
      <w:pPr>
        <w:pStyle w:val="Heading1"/>
      </w:pPr>
      <w:bookmarkStart w:id="3" w:name="_Toc256000032"/>
      <w:r>
        <w:rPr>
          <w:rFonts w:ascii="Times New Roman" w:eastAsia="Times New Roman" w:hAnsi="Times New Roman" w:cs="Times New Roman"/>
          <w:color w:val="000000"/>
          <w:sz w:val="26"/>
        </w:rPr>
        <w:t>III. HOW I BUILT THE LIFECYCLE FRAMEWORK</w:t>
      </w:r>
      <w:bookmarkEnd w:id="3"/>
    </w:p>
    <w:p/>
    <w:p>
      <w:pPr>
        <w:pStyle w:val="Heading2"/>
      </w:pPr>
      <w:bookmarkStart w:id="4" w:name="_Toc256000033"/>
      <w:r>
        <w:rPr>
          <w:rFonts w:ascii="Times New Roman" w:eastAsia="Times New Roman" w:hAnsi="Times New Roman" w:cs="Times New Roman"/>
          <w:i/>
          <w:color w:val="000000"/>
          <w:sz w:val="26"/>
        </w:rPr>
        <w:t>I. Constructing the Lifecycle Table</w:t>
      </w:r>
      <w:bookmarkEnd w:id="4"/>
    </w:p>
    <w:p/>
    <w:p>
      <w:pPr>
        <w:jc w:val="both"/>
      </w:pPr>
      <w:r>
        <w:rPr>
          <w:rFonts w:ascii="Times New Roman" w:eastAsia="Times New Roman" w:hAnsi="Times New Roman" w:cs="Times New Roman"/>
          <w:color w:val="000000"/>
          <w:sz w:val="26"/>
        </w:rPr>
        <w:t>The core analytical contribution of this work is the lifecycle table — a 545-row dataframe where each row represents one unique song and summarizes its entire playlist history. I built this by grouping the cleaned dataset by song title and computing the following per-song metrics: entry date (the earliest date the song appeared), exit date (the latest date it appeared), total days on playlist (the count of unique appearance dates), peak position (the lowest position number achieved, since position 1 is better than position 50), average position across all appearances, and average popularity score.</w:t>
      </w:r>
    </w:p>
    <w:p>
      <w:pPr>
        <w:jc w:val="both"/>
      </w:pPr>
    </w:p>
    <w:p>
      <w:pPr>
        <w:jc w:val="both"/>
      </w:pPr>
      <w:r>
        <w:rPr>
          <w:rFonts w:ascii="Times New Roman" w:eastAsia="Times New Roman" w:hAnsi="Times New Roman" w:cs="Times New Roman"/>
          <w:color w:val="000000"/>
          <w:sz w:val="26"/>
        </w:rPr>
        <w:t xml:space="preserve">The time to peak required slightly more careful computation. For each song, I identified the date on which its peak position occurred and then subtracted its entry date to get the number of days elapsed. A value of zero means the song entered the playlist already at its best rank — something I observed frequently among well-promoted new releases. A value of 30 means that the song took a month of playlist presence before achieving its highest rank.</w:t>
      </w:r>
    </w:p>
    <w:p>
      <w:pPr>
        <w:jc w:val="both"/>
      </w:pPr>
    </w:p>
    <w:p>
      <w:pPr>
        <w:pStyle w:val="Heading2"/>
        <w:jc w:val="both"/>
      </w:pPr>
      <w:bookmarkStart w:id="5" w:name="_Toc256000034"/>
      <w:r>
        <w:rPr>
          <w:rFonts w:ascii="Times New Roman" w:eastAsia="Times New Roman" w:hAnsi="Times New Roman" w:cs="Times New Roman"/>
          <w:i/>
          <w:color w:val="000000"/>
          <w:sz w:val="26"/>
        </w:rPr>
        <w:t>II. Classifying Lifecycle Stages</w:t>
      </w:r>
      <w:bookmarkEnd w:id="5"/>
    </w:p>
    <w:p/>
    <w:p>
      <w:pPr>
        <w:jc w:val="both"/>
      </w:pPr>
      <w:r>
        <w:rPr>
          <w:rFonts w:ascii="Times New Roman" w:eastAsia="Times New Roman" w:hAnsi="Times New Roman" w:cs="Times New Roman"/>
          <w:color w:val="000000"/>
          <w:sz w:val="26"/>
        </w:rPr>
        <w:t xml:space="preserve">I classified each song into one of five lifecycle stages using a rule-based approach grounded in the playlist mechanics. New Entry songs are those with seven or fewer total days — they entered and exited before establishing any meaningful presence. Peak songs are those whose best rank reached the Top 10, regardless of total days. Growth songs maintained an average position in the upper half of the playlist (positions 1 - 25). Mature songs survived beyond 60 days at stable mid-rankings. Everything remaining — songs that lingered in the lower half of the playlist without reaching the top or achieving extended tenure — was classified as Decline.</w:t>
      </w:r>
    </w:p>
    <w:p>
      <w:pPr>
        <w:jc w:val="both"/>
      </w:pPr>
    </w:p>
    <w:p>
      <w:pPr>
        <w:jc w:val="both"/>
      </w:pPr>
      <w:r>
        <w:rPr>
          <w:rFonts w:ascii="Times New Roman" w:eastAsia="Times New Roman" w:hAnsi="Times New Roman" w:cs="Times New Roman"/>
          <w:color w:val="000000"/>
          <w:sz w:val="26"/>
        </w:rPr>
        <w:t>This classification gave me a structured way to compare content attributes, popularity dynamics, and retention patterns across meaningfully different song behaviors, rather than treating all 545 songs as a single undifferentiated population.</w:t>
      </w:r>
    </w:p>
    <w:p>
      <w:pPr>
        <w:jc w:val="both"/>
      </w:pPr>
    </w:p>
    <w:p>
      <w:pPr>
        <w:pStyle w:val="Heading1"/>
        <w:jc w:val="both"/>
      </w:pPr>
      <w:bookmarkStart w:id="6" w:name="_Toc256000035"/>
      <w:r>
        <w:rPr>
          <w:rFonts w:ascii="Times New Roman" w:eastAsia="Times New Roman" w:hAnsi="Times New Roman" w:cs="Times New Roman"/>
          <w:color w:val="000000"/>
          <w:sz w:val="26"/>
        </w:rPr>
        <w:t>IV. WHAT I FOUND</w:t>
      </w:r>
      <w:bookmarkEnd w:id="6"/>
    </w:p>
    <w:p/>
    <w:p>
      <w:pPr>
        <w:pStyle w:val="Heading2"/>
      </w:pPr>
      <w:bookmarkStart w:id="7" w:name="_Toc256000036"/>
      <w:r>
        <w:rPr>
          <w:rFonts w:ascii="Times New Roman" w:eastAsia="Times New Roman" w:hAnsi="Times New Roman" w:cs="Times New Roman"/>
          <w:i/>
          <w:color w:val="000000"/>
          <w:sz w:val="26"/>
        </w:rPr>
        <w:t>I. The Lifecycle Length Picture</w:t>
      </w:r>
      <w:bookmarkEnd w:id="7"/>
    </w:p>
    <w:p/>
    <w:p>
      <w:pPr>
        <w:jc w:val="both"/>
      </w:pPr>
      <w:r>
        <w:rPr>
          <w:rFonts w:ascii="Times New Roman" w:eastAsia="Times New Roman" w:hAnsi="Times New Roman" w:cs="Times New Roman"/>
          <w:color w:val="000000"/>
          <w:sz w:val="26"/>
        </w:rPr>
        <w:t xml:space="preserve">The average song in Spain's Top 50 stayed on the playlist for 50.9 days. When I first calculated this number, it seemed reasonably healthy — nearly two months of playlist presence per track. But the median told a different story: 22 days. The large gap between mean and median revealed that the average was being pulled upward by a small group of exceptional songs. La Bachata by Manuel Turizo stayed on the playlist for 538 days. El Merengue held on for 487 s. Columbia lasted 463. These outliers are real, but they are not representative. For most songs, the majority of Atlantic's catalog entries in Spain, playlist life is measured in weeks, not months.</w:t>
      </w:r>
    </w:p>
    <w:p>
      <w:pPr>
        <w:jc w:val="both"/>
      </w:pPr>
    </w:p>
    <w:p>
      <w:r>
        <w:rPr>
          <w:rFonts w:ascii="Times New Roman" w:eastAsia="Times New Roman" w:hAnsi="Times New Roman" w:cs="Times New Roman"/>
          <w:b/>
          <w:color w:val="000000"/>
          <w:sz w:val="26"/>
        </w:rPr>
        <w:t>Table 2. Lifecycle Stage Distribution Across 545 Songs</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340"/>
        <w:gridCol w:w="2340"/>
        <w:gridCol w:w="2340"/>
        <w:gridCol w:w="234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2340" w:type="dxa"/>
            <w:shd w:val="clear" w:color="auto" w:fill="FFFFFF"/>
          </w:tcPr>
          <w:p>
            <w:r>
              <w:rPr>
                <w:rFonts w:ascii="Times New Roman" w:eastAsia="Times New Roman" w:hAnsi="Times New Roman" w:cs="Times New Roman"/>
                <w:b/>
                <w:color w:val="000000"/>
                <w:sz w:val="26"/>
              </w:rPr>
              <w:t>Lifecycle Stage</w:t>
            </w:r>
          </w:p>
          <w:p/>
        </w:tc>
        <w:tc>
          <w:tcPr>
            <w:tcW w:w="2340" w:type="dxa"/>
            <w:shd w:val="clear" w:color="auto" w:fill="FFFFFF"/>
          </w:tcPr>
          <w:p>
            <w:r>
              <w:rPr>
                <w:rFonts w:ascii="Times New Roman" w:eastAsia="Times New Roman" w:hAnsi="Times New Roman" w:cs="Times New Roman"/>
                <w:b/>
                <w:color w:val="000000"/>
                <w:sz w:val="26"/>
              </w:rPr>
              <w:t>Song Count</w:t>
            </w:r>
          </w:p>
          <w:p/>
        </w:tc>
        <w:tc>
          <w:tcPr>
            <w:tcW w:w="2340" w:type="dxa"/>
            <w:shd w:val="clear" w:color="auto" w:fill="FFFFFF"/>
          </w:tcPr>
          <w:p>
            <w:r>
              <w:rPr>
                <w:rFonts w:ascii="Times New Roman" w:eastAsia="Times New Roman" w:hAnsi="Times New Roman" w:cs="Times New Roman"/>
                <w:b/>
                <w:color w:val="000000"/>
                <w:sz w:val="26"/>
              </w:rPr>
              <w:t>Share of Total</w:t>
            </w:r>
          </w:p>
          <w:p/>
        </w:tc>
        <w:tc>
          <w:tcPr>
            <w:tcW w:w="2340" w:type="dxa"/>
            <w:shd w:val="clear" w:color="auto" w:fill="FFFFFF"/>
          </w:tcPr>
          <w:p>
            <w:r>
              <w:rPr>
                <w:rFonts w:ascii="Times New Roman" w:eastAsia="Times New Roman" w:hAnsi="Times New Roman" w:cs="Times New Roman"/>
                <w:b/>
                <w:color w:val="000000"/>
                <w:sz w:val="26"/>
              </w:rPr>
              <w:t>What This Means</w:t>
            </w:r>
          </w:p>
          <w:p>
            <w:pPr>
              <w:numPr>
                <w:ilvl w:val="0"/>
                <w:numId w:val="0"/>
              </w:numPr>
            </w:pPr>
          </w:p>
        </w:tc>
      </w:tr>
      <w:tr>
        <w:tblPrEx>
          <w:tblW w:w="0" w:type="auto"/>
          <w:tblLayout w:type="fixed"/>
          <w:tblCellMar>
            <w:left w:w="108" w:type="dxa"/>
            <w:right w:w="108" w:type="dxa"/>
          </w:tblCellMar>
        </w:tblPrEx>
        <w:tc>
          <w:tcPr>
            <w:tcW w:w="2340" w:type="dxa"/>
            <w:shd w:val="clear" w:color="auto" w:fill="FFFFFF"/>
          </w:tcPr>
          <w:p>
            <w:r>
              <w:rPr>
                <w:rFonts w:ascii="Times New Roman" w:eastAsia="Times New Roman" w:hAnsi="Times New Roman" w:cs="Times New Roman"/>
                <w:b/>
                <w:color w:val="000000"/>
                <w:sz w:val="26"/>
              </w:rPr>
              <w:t>New Entry</w:t>
            </w:r>
          </w:p>
          <w:p/>
        </w:tc>
        <w:tc>
          <w:tcPr>
            <w:tcW w:w="2340" w:type="dxa"/>
            <w:shd w:val="clear" w:color="auto" w:fill="FFFFFF"/>
          </w:tcPr>
          <w:p>
            <w:r>
              <w:rPr>
                <w:rFonts w:ascii="Times New Roman" w:eastAsia="Times New Roman" w:hAnsi="Times New Roman" w:cs="Times New Roman"/>
                <w:b/>
                <w:color w:val="000000"/>
                <w:sz w:val="26"/>
              </w:rPr>
              <w:t>218</w:t>
            </w:r>
          </w:p>
          <w:p/>
        </w:tc>
        <w:tc>
          <w:tcPr>
            <w:tcW w:w="2340" w:type="dxa"/>
            <w:shd w:val="clear" w:color="auto" w:fill="FFFFFF"/>
          </w:tcPr>
          <w:p>
            <w:r>
              <w:rPr>
                <w:rFonts w:ascii="Times New Roman" w:eastAsia="Times New Roman" w:hAnsi="Times New Roman" w:cs="Times New Roman"/>
                <w:b/>
                <w:color w:val="000000"/>
                <w:sz w:val="26"/>
              </w:rPr>
              <w:t>40.0%</w:t>
            </w:r>
          </w:p>
          <w:p/>
        </w:tc>
        <w:tc>
          <w:tcPr>
            <w:tcW w:w="2340" w:type="dxa"/>
            <w:shd w:val="clear" w:color="auto" w:fill="FFFFFF"/>
          </w:tcPr>
          <w:p>
            <w:r>
              <w:rPr>
                <w:rFonts w:ascii="Times New Roman" w:eastAsia="Times New Roman" w:hAnsi="Times New Roman" w:cs="Times New Roman"/>
                <w:b/>
                <w:color w:val="000000"/>
                <w:sz w:val="26"/>
              </w:rPr>
              <w:t>Exited within 7 days — the largest single group</w:t>
            </w:r>
          </w:p>
          <w:p>
            <w:pPr>
              <w:numPr>
                <w:ilvl w:val="0"/>
                <w:numId w:val="0"/>
              </w:numPr>
            </w:pPr>
          </w:p>
        </w:tc>
      </w:tr>
      <w:tr>
        <w:tblPrEx>
          <w:tblW w:w="0" w:type="auto"/>
          <w:tblLayout w:type="fixed"/>
          <w:tblCellMar>
            <w:left w:w="108" w:type="dxa"/>
            <w:right w:w="108" w:type="dxa"/>
          </w:tblCellMar>
        </w:tblPrEx>
        <w:tc>
          <w:tcPr>
            <w:tcW w:w="2340" w:type="dxa"/>
            <w:shd w:val="clear" w:color="auto" w:fill="FFFFFF"/>
          </w:tcPr>
          <w:p>
            <w:r>
              <w:rPr>
                <w:rFonts w:ascii="Times New Roman" w:eastAsia="Times New Roman" w:hAnsi="Times New Roman" w:cs="Times New Roman"/>
                <w:b/>
                <w:color w:val="000000"/>
                <w:sz w:val="26"/>
              </w:rPr>
              <w:t>Peak</w:t>
            </w:r>
          </w:p>
          <w:p/>
        </w:tc>
        <w:tc>
          <w:tcPr>
            <w:tcW w:w="2340" w:type="dxa"/>
            <w:shd w:val="clear" w:color="auto" w:fill="FFFFFF"/>
          </w:tcPr>
          <w:p>
            <w:r>
              <w:rPr>
                <w:rFonts w:ascii="Times New Roman" w:eastAsia="Times New Roman" w:hAnsi="Times New Roman" w:cs="Times New Roman"/>
                <w:b/>
                <w:color w:val="000000"/>
                <w:sz w:val="26"/>
              </w:rPr>
              <w:t>142</w:t>
            </w:r>
          </w:p>
          <w:p/>
        </w:tc>
        <w:tc>
          <w:tcPr>
            <w:tcW w:w="2340" w:type="dxa"/>
            <w:shd w:val="clear" w:color="auto" w:fill="FFFFFF"/>
          </w:tcPr>
          <w:p>
            <w:r>
              <w:rPr>
                <w:rFonts w:ascii="Times New Roman" w:eastAsia="Times New Roman" w:hAnsi="Times New Roman" w:cs="Times New Roman"/>
                <w:b/>
                <w:color w:val="000000"/>
                <w:sz w:val="26"/>
              </w:rPr>
              <w:t>26.1%</w:t>
            </w:r>
          </w:p>
          <w:p/>
        </w:tc>
        <w:tc>
          <w:tcPr>
            <w:tcW w:w="2340" w:type="dxa"/>
            <w:shd w:val="clear" w:color="auto" w:fill="FFFFFF"/>
          </w:tcPr>
          <w:p>
            <w:r>
              <w:rPr>
                <w:rFonts w:ascii="Times New Roman" w:eastAsia="Times New Roman" w:hAnsi="Times New Roman" w:cs="Times New Roman"/>
                <w:b/>
                <w:color w:val="000000"/>
                <w:sz w:val="26"/>
              </w:rPr>
              <w:t>Reached the Top 10 at some point</w:t>
            </w:r>
          </w:p>
          <w:p>
            <w:pPr>
              <w:numPr>
                <w:ilvl w:val="0"/>
                <w:numId w:val="0"/>
              </w:numPr>
            </w:pPr>
          </w:p>
        </w:tc>
      </w:tr>
      <w:tr>
        <w:tblPrEx>
          <w:tblW w:w="0" w:type="auto"/>
          <w:tblLayout w:type="fixed"/>
          <w:tblCellMar>
            <w:left w:w="108" w:type="dxa"/>
            <w:right w:w="108" w:type="dxa"/>
          </w:tblCellMar>
        </w:tblPrEx>
        <w:tc>
          <w:tcPr>
            <w:tcW w:w="2340" w:type="dxa"/>
            <w:shd w:val="clear" w:color="auto" w:fill="FFFFFF"/>
          </w:tcPr>
          <w:p>
            <w:r>
              <w:rPr>
                <w:rFonts w:ascii="Times New Roman" w:eastAsia="Times New Roman" w:hAnsi="Times New Roman" w:cs="Times New Roman"/>
                <w:b/>
                <w:color w:val="000000"/>
                <w:sz w:val="26"/>
              </w:rPr>
              <w:t>Decline</w:t>
            </w:r>
          </w:p>
          <w:p/>
        </w:tc>
        <w:tc>
          <w:tcPr>
            <w:tcW w:w="2340" w:type="dxa"/>
            <w:shd w:val="clear" w:color="auto" w:fill="FFFFFF"/>
          </w:tcPr>
          <w:p>
            <w:r>
              <w:rPr>
                <w:rFonts w:ascii="Times New Roman" w:eastAsia="Times New Roman" w:hAnsi="Times New Roman" w:cs="Times New Roman"/>
                <w:b/>
                <w:color w:val="000000"/>
                <w:sz w:val="26"/>
              </w:rPr>
              <w:t>126</w:t>
            </w:r>
          </w:p>
          <w:p/>
        </w:tc>
        <w:tc>
          <w:tcPr>
            <w:tcW w:w="2340" w:type="dxa"/>
            <w:shd w:val="clear" w:color="auto" w:fill="FFFFFF"/>
          </w:tcPr>
          <w:p>
            <w:r>
              <w:rPr>
                <w:rFonts w:ascii="Times New Roman" w:eastAsia="Times New Roman" w:hAnsi="Times New Roman" w:cs="Times New Roman"/>
                <w:b/>
                <w:color w:val="000000"/>
                <w:sz w:val="26"/>
              </w:rPr>
              <w:t>23.1%</w:t>
            </w:r>
          </w:p>
          <w:p/>
        </w:tc>
        <w:tc>
          <w:tcPr>
            <w:tcW w:w="2340" w:type="dxa"/>
            <w:shd w:val="clear" w:color="auto" w:fill="FFFFFF"/>
          </w:tcPr>
          <w:p>
            <w:r>
              <w:rPr>
                <w:rFonts w:ascii="Times New Roman" w:eastAsia="Times New Roman" w:hAnsi="Times New Roman" w:cs="Times New Roman"/>
                <w:b/>
                <w:color w:val="000000"/>
                <w:sz w:val="26"/>
              </w:rPr>
              <w:t>Lingered in lower ranks before exiting</w:t>
            </w:r>
          </w:p>
          <w:p>
            <w:pPr>
              <w:numPr>
                <w:ilvl w:val="0"/>
                <w:numId w:val="0"/>
              </w:numPr>
            </w:pPr>
          </w:p>
        </w:tc>
      </w:tr>
      <w:tr>
        <w:tblPrEx>
          <w:tblW w:w="0" w:type="auto"/>
          <w:tblLayout w:type="fixed"/>
          <w:tblCellMar>
            <w:left w:w="108" w:type="dxa"/>
            <w:right w:w="108" w:type="dxa"/>
          </w:tblCellMar>
        </w:tblPrEx>
        <w:tc>
          <w:tcPr>
            <w:tcW w:w="2340" w:type="dxa"/>
            <w:shd w:val="clear" w:color="auto" w:fill="FFFFFF"/>
          </w:tcPr>
          <w:p>
            <w:r>
              <w:rPr>
                <w:rFonts w:ascii="Times New Roman" w:eastAsia="Times New Roman" w:hAnsi="Times New Roman" w:cs="Times New Roman"/>
                <w:b/>
                <w:color w:val="000000"/>
                <w:sz w:val="26"/>
              </w:rPr>
              <w:t>Growth</w:t>
            </w:r>
          </w:p>
          <w:p/>
        </w:tc>
        <w:tc>
          <w:tcPr>
            <w:tcW w:w="2340" w:type="dxa"/>
            <w:shd w:val="clear" w:color="auto" w:fill="FFFFFF"/>
          </w:tcPr>
          <w:p>
            <w:r>
              <w:rPr>
                <w:rFonts w:ascii="Times New Roman" w:eastAsia="Times New Roman" w:hAnsi="Times New Roman" w:cs="Times New Roman"/>
                <w:b/>
                <w:color w:val="000000"/>
                <w:sz w:val="26"/>
              </w:rPr>
              <w:t>52</w:t>
            </w:r>
          </w:p>
          <w:p/>
        </w:tc>
        <w:tc>
          <w:tcPr>
            <w:tcW w:w="2340" w:type="dxa"/>
            <w:shd w:val="clear" w:color="auto" w:fill="FFFFFF"/>
          </w:tcPr>
          <w:p>
            <w:r>
              <w:rPr>
                <w:rFonts w:ascii="Times New Roman" w:eastAsia="Times New Roman" w:hAnsi="Times New Roman" w:cs="Times New Roman"/>
                <w:b/>
                <w:color w:val="000000"/>
                <w:sz w:val="26"/>
              </w:rPr>
              <w:t>9.5%</w:t>
            </w:r>
          </w:p>
          <w:p/>
        </w:tc>
        <w:tc>
          <w:tcPr>
            <w:tcW w:w="2340" w:type="dxa"/>
            <w:shd w:val="clear" w:color="auto" w:fill="FFFFFF"/>
          </w:tcPr>
          <w:p>
            <w:r>
              <w:rPr>
                <w:rFonts w:ascii="Times New Roman" w:eastAsia="Times New Roman" w:hAnsi="Times New Roman" w:cs="Times New Roman"/>
                <w:b/>
                <w:color w:val="000000"/>
                <w:sz w:val="26"/>
              </w:rPr>
              <w:t>Improved rank consistently over time</w:t>
            </w:r>
          </w:p>
          <w:p>
            <w:pPr>
              <w:numPr>
                <w:ilvl w:val="0"/>
                <w:numId w:val="0"/>
              </w:numPr>
            </w:pPr>
          </w:p>
        </w:tc>
      </w:tr>
      <w:tr>
        <w:tblPrEx>
          <w:tblW w:w="0" w:type="auto"/>
          <w:tblLayout w:type="fixed"/>
          <w:tblCellMar>
            <w:left w:w="108" w:type="dxa"/>
            <w:right w:w="108" w:type="dxa"/>
          </w:tblCellMar>
        </w:tblPrEx>
        <w:tc>
          <w:tcPr>
            <w:tcW w:w="2340" w:type="dxa"/>
            <w:shd w:val="clear" w:color="auto" w:fill="FFFFFF"/>
          </w:tcPr>
          <w:p>
            <w:r>
              <w:rPr>
                <w:rFonts w:ascii="Times New Roman" w:eastAsia="Times New Roman" w:hAnsi="Times New Roman" w:cs="Times New Roman"/>
                <w:b/>
                <w:color w:val="000000"/>
                <w:sz w:val="26"/>
              </w:rPr>
              <w:t>Mature</w:t>
            </w:r>
          </w:p>
          <w:p/>
        </w:tc>
        <w:tc>
          <w:tcPr>
            <w:tcW w:w="2340" w:type="dxa"/>
            <w:shd w:val="clear" w:color="auto" w:fill="FFFFFF"/>
          </w:tcPr>
          <w:p>
            <w:r>
              <w:rPr>
                <w:rFonts w:ascii="Times New Roman" w:eastAsia="Times New Roman" w:hAnsi="Times New Roman" w:cs="Times New Roman"/>
                <w:b/>
                <w:color w:val="000000"/>
                <w:sz w:val="26"/>
              </w:rPr>
              <w:t>7</w:t>
            </w:r>
          </w:p>
          <w:p/>
        </w:tc>
        <w:tc>
          <w:tcPr>
            <w:tcW w:w="2340" w:type="dxa"/>
            <w:shd w:val="clear" w:color="auto" w:fill="FFFFFF"/>
          </w:tcPr>
          <w:p>
            <w:r>
              <w:rPr>
                <w:rFonts w:ascii="Times New Roman" w:eastAsia="Times New Roman" w:hAnsi="Times New Roman" w:cs="Times New Roman"/>
                <w:b/>
                <w:color w:val="000000"/>
                <w:sz w:val="26"/>
              </w:rPr>
              <w:t>1.3%</w:t>
            </w:r>
          </w:p>
          <w:p/>
        </w:tc>
        <w:tc>
          <w:tcPr>
            <w:tcW w:w="2340" w:type="dxa"/>
            <w:shd w:val="clear" w:color="auto" w:fill="FFFFFF"/>
          </w:tcPr>
          <w:p>
            <w:r>
              <w:rPr>
                <w:rFonts w:ascii="Times New Roman" w:eastAsia="Times New Roman" w:hAnsi="Times New Roman" w:cs="Times New Roman"/>
                <w:b/>
                <w:color w:val="000000"/>
                <w:sz w:val="26"/>
              </w:rPr>
              <w:t>Sustained presence beyond 60 days</w:t>
            </w:r>
          </w:p>
          <w:p>
            <w:pPr>
              <w:numPr>
                <w:ilvl w:val="0"/>
                <w:numId w:val="0"/>
              </w:numPr>
            </w:pPr>
          </w:p>
        </w:tc>
      </w:tr>
    </w:tbl>
    <w:p/>
    <w:p/>
    <w:p>
      <w:pPr>
        <w:jc w:val="both"/>
      </w:pPr>
      <w:r>
        <w:rPr>
          <w:rFonts w:ascii="Times New Roman" w:eastAsia="Times New Roman" w:hAnsi="Times New Roman" w:cs="Times New Roman"/>
          <w:color w:val="000000"/>
          <w:sz w:val="26"/>
        </w:rPr>
        <w:t>The stage distribution in Table 2 is perhaps the single most important output of this analysis for strategic purposes. Four in ten songs that enter Spain's Top 50 exit within a week. Only seven songs — 1.3% of the entire observed catalog — achieved what I would call genuine maturity. This is a market that consumes content rapidly and discards it just as fast.</w:t>
      </w:r>
    </w:p>
    <w:p>
      <w:pPr>
        <w:jc w:val="both"/>
      </w:pPr>
    </w:p>
    <w:p>
      <w:pPr>
        <w:pStyle w:val="Heading2"/>
        <w:jc w:val="both"/>
      </w:pPr>
      <w:bookmarkStart w:id="8" w:name="_Toc256000037"/>
      <w:r>
        <w:rPr>
          <w:rFonts w:ascii="Times New Roman" w:eastAsia="Times New Roman" w:hAnsi="Times New Roman" w:cs="Times New Roman"/>
          <w:i/>
          <w:color w:val="000000"/>
          <w:sz w:val="26"/>
        </w:rPr>
        <w:t>II. How Quickly Songs Peak</w:t>
      </w:r>
      <w:bookmarkEnd w:id="8"/>
    </w:p>
    <w:p/>
    <w:p>
      <w:pPr>
        <w:jc w:val="both"/>
      </w:pPr>
      <w:r>
        <w:rPr>
          <w:rFonts w:ascii="Times New Roman" w:eastAsia="Times New Roman" w:hAnsi="Times New Roman" w:cs="Times New Roman"/>
          <w:color w:val="000000"/>
          <w:sz w:val="26"/>
        </w:rPr>
        <w:t>I was genuinely surprised by how fast songs reach their best rank. The average time to peak was 10.3 days. In practical terms, this means Atlantic has approximately a ten-day window from a song's playlist entry to push it toward its peak position. Campaigns that spread marketing investment evenly across a release month are almost certainly spending money after the critical window has already closed.</w:t>
      </w:r>
    </w:p>
    <w:p>
      <w:pPr>
        <w:jc w:val="both"/>
      </w:pPr>
    </w:p>
    <w:p>
      <w:pPr>
        <w:jc w:val="both"/>
      </w:pPr>
      <w:r>
        <w:rPr>
          <w:rFonts w:ascii="Times New Roman" w:eastAsia="Times New Roman" w:hAnsi="Times New Roman" w:cs="Times New Roman"/>
          <w:color w:val="000000"/>
          <w:sz w:val="26"/>
        </w:rPr>
        <w:t>A notable proportion of songs peaked on day zero — they entered the playlist at their highest rank and either maintained or declined from there. These tend to be high-profile releases with strong pre-launch promotional activity. The implication is that pre-release strategy matters as much as post-release maintenance in this market.</w:t>
      </w:r>
    </w:p>
    <w:p>
      <w:pPr>
        <w:jc w:val="both"/>
      </w:pPr>
    </w:p>
    <w:p>
      <w:pPr>
        <w:pStyle w:val="Heading2"/>
        <w:jc w:val="both"/>
      </w:pPr>
      <w:bookmarkStart w:id="9" w:name="_Toc256000038"/>
      <w:r>
        <w:rPr>
          <w:rFonts w:ascii="Times New Roman" w:eastAsia="Times New Roman" w:hAnsi="Times New Roman" w:cs="Times New Roman"/>
          <w:i/>
          <w:color w:val="000000"/>
          <w:sz w:val="26"/>
        </w:rPr>
        <w:t>III. The Rotation Intensity of Spain's Playlist</w:t>
      </w:r>
      <w:bookmarkEnd w:id="9"/>
    </w:p>
    <w:p/>
    <w:p>
      <w:pPr>
        <w:jc w:val="both"/>
      </w:pPr>
      <w:r>
        <w:rPr>
          <w:rFonts w:ascii="Times New Roman" w:eastAsia="Times New Roman" w:hAnsi="Times New Roman" w:cs="Times New Roman"/>
          <w:color w:val="000000"/>
          <w:sz w:val="26"/>
        </w:rPr>
        <w:t>Measuring playlist churn required a different approach from lifecycle analysis. Rather than working at the song level, I compared each day's set of 50 songs against the previous day's set and counted how many songs entered (new to the playlist) and how many exited (present yesterday but not today). Across all 554 consecutive day pairs in the dataset, the average was 1.7 new songs entering and 1.7 songs exiting daily.</w:t>
      </w:r>
    </w:p>
    <w:p>
      <w:pPr>
        <w:jc w:val="both"/>
      </w:pPr>
    </w:p>
    <w:p>
      <w:pPr>
        <w:jc w:val="both"/>
      </w:pPr>
      <w:r>
        <w:rPr>
          <w:rFonts w:ascii="Times New Roman" w:eastAsia="Times New Roman" w:hAnsi="Times New Roman" w:cs="Times New Roman"/>
          <w:color w:val="000000"/>
          <w:sz w:val="26"/>
        </w:rPr>
        <w:t>The maximum single-day churn I observed was 21 songs replaced in one day — more than 40% of the playlist turning over overnight. While extreme, these high-churn days reveal that the playlist is not a stable leaderboard but an actively managed surface that can shift dramatically in response to new releases, cultural moments, or algorithmic updates. Atlantic's Spain team should treat these high-volatility periods as both threats (existing catalog songs are vulnerable to displacement) and opportunities (a high-churn day means more entry slots are open for new releases).</w:t>
      </w:r>
    </w:p>
    <w:p>
      <w:pPr>
        <w:jc w:val="both"/>
      </w:pPr>
    </w:p>
    <w:p>
      <w:pPr>
        <w:pStyle w:val="Heading2"/>
        <w:jc w:val="both"/>
      </w:pPr>
      <w:bookmarkStart w:id="10" w:name="_Toc256000039"/>
      <w:r>
        <w:rPr>
          <w:rFonts w:ascii="Times New Roman" w:eastAsia="Times New Roman" w:hAnsi="Times New Roman" w:cs="Times New Roman"/>
          <w:i/>
          <w:color w:val="000000"/>
          <w:sz w:val="26"/>
        </w:rPr>
        <w:t>IV. How Content Attributes Shape Lifecycle Outcomes</w:t>
      </w:r>
      <w:bookmarkEnd w:id="10"/>
    </w:p>
    <w:p/>
    <w:p>
      <w:pPr>
        <w:jc w:val="both"/>
      </w:pPr>
      <w:r>
        <w:rPr>
          <w:rFonts w:ascii="Times New Roman" w:eastAsia="Times New Roman" w:hAnsi="Times New Roman" w:cs="Times New Roman"/>
          <w:color w:val="000000"/>
          <w:sz w:val="26"/>
        </w:rPr>
        <w:t>The most actionable section of this analysis examines how the intrinsic attributes of a track — its release format, content rating, and duration — correlate with how long it survives on the playlist. I found consistent, meaningful differences across all three dimensions.</w:t>
      </w:r>
    </w:p>
    <w:p>
      <w:pPr>
        <w:jc w:val="both"/>
      </w:pPr>
    </w:p>
    <w:p>
      <w:r>
        <w:rPr>
          <w:rFonts w:ascii="Times New Roman" w:eastAsia="Times New Roman" w:hAnsi="Times New Roman" w:cs="Times New Roman"/>
          <w:b/>
          <w:color w:val="000000"/>
          <w:sz w:val="26"/>
        </w:rPr>
        <w:t>Table 3. Content Attribute Impact on Average Days on Playlist</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340"/>
        <w:gridCol w:w="2340"/>
        <w:gridCol w:w="2340"/>
        <w:gridCol w:w="234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2340" w:type="dxa"/>
            <w:shd w:val="clear" w:color="auto" w:fill="FFFFFF"/>
          </w:tcPr>
          <w:p>
            <w:r>
              <w:rPr>
                <w:rFonts w:ascii="Times New Roman" w:eastAsia="Times New Roman" w:hAnsi="Times New Roman" w:cs="Times New Roman"/>
                <w:b/>
                <w:color w:val="000000"/>
                <w:sz w:val="26"/>
              </w:rPr>
              <w:t>Attribute</w:t>
            </w:r>
          </w:p>
          <w:p/>
        </w:tc>
        <w:tc>
          <w:tcPr>
            <w:tcW w:w="2340" w:type="dxa"/>
            <w:shd w:val="clear" w:color="auto" w:fill="FFFFFF"/>
          </w:tcPr>
          <w:p>
            <w:r>
              <w:rPr>
                <w:rFonts w:ascii="Times New Roman" w:eastAsia="Times New Roman" w:hAnsi="Times New Roman" w:cs="Times New Roman"/>
                <w:b/>
                <w:color w:val="000000"/>
                <w:sz w:val="26"/>
              </w:rPr>
              <w:t>Category</w:t>
            </w:r>
          </w:p>
          <w:p/>
        </w:tc>
        <w:tc>
          <w:tcPr>
            <w:tcW w:w="2340" w:type="dxa"/>
            <w:shd w:val="clear" w:color="auto" w:fill="FFFFFF"/>
          </w:tcPr>
          <w:p>
            <w:r>
              <w:rPr>
                <w:rFonts w:ascii="Times New Roman" w:eastAsia="Times New Roman" w:hAnsi="Times New Roman" w:cs="Times New Roman"/>
                <w:b/>
                <w:color w:val="000000"/>
                <w:sz w:val="26"/>
              </w:rPr>
              <w:t>Avg Days</w:t>
            </w:r>
          </w:p>
          <w:p/>
        </w:tc>
        <w:tc>
          <w:tcPr>
            <w:tcW w:w="2340" w:type="dxa"/>
            <w:shd w:val="clear" w:color="auto" w:fill="FFFFFF"/>
          </w:tcPr>
          <w:p>
            <w:r>
              <w:rPr>
                <w:rFonts w:ascii="Times New Roman" w:eastAsia="Times New Roman" w:hAnsi="Times New Roman" w:cs="Times New Roman"/>
                <w:b/>
                <w:color w:val="000000"/>
                <w:sz w:val="26"/>
              </w:rPr>
              <w:t>Difference</w:t>
            </w:r>
          </w:p>
          <w:p>
            <w:pPr>
              <w:numPr>
                <w:ilvl w:val="0"/>
                <w:numId w:val="0"/>
              </w:numPr>
            </w:pPr>
          </w:p>
        </w:tc>
      </w:tr>
      <w:tr>
        <w:tblPrEx>
          <w:tblW w:w="0" w:type="auto"/>
          <w:tblLayout w:type="fixed"/>
          <w:tblCellMar>
            <w:left w:w="108" w:type="dxa"/>
            <w:right w:w="108" w:type="dxa"/>
          </w:tblCellMar>
        </w:tblPrEx>
        <w:tc>
          <w:tcPr>
            <w:tcW w:w="2340" w:type="dxa"/>
            <w:shd w:val="clear" w:color="auto" w:fill="FFFFFF"/>
          </w:tcPr>
          <w:p>
            <w:r>
              <w:rPr>
                <w:rFonts w:ascii="Times New Roman" w:eastAsia="Times New Roman" w:hAnsi="Times New Roman" w:cs="Times New Roman"/>
                <w:b/>
                <w:color w:val="000000"/>
                <w:sz w:val="26"/>
              </w:rPr>
              <w:t>Release Format</w:t>
            </w:r>
          </w:p>
          <w:p/>
        </w:tc>
        <w:tc>
          <w:tcPr>
            <w:tcW w:w="2340" w:type="dxa"/>
            <w:shd w:val="clear" w:color="auto" w:fill="FFFFFF"/>
          </w:tcPr>
          <w:p>
            <w:r>
              <w:rPr>
                <w:rFonts w:ascii="Times New Roman" w:eastAsia="Times New Roman" w:hAnsi="Times New Roman" w:cs="Times New Roman"/>
                <w:b/>
                <w:color w:val="000000"/>
                <w:sz w:val="26"/>
              </w:rPr>
              <w:t>Single</w:t>
            </w:r>
          </w:p>
          <w:p/>
        </w:tc>
        <w:tc>
          <w:tcPr>
            <w:tcW w:w="2340" w:type="dxa"/>
            <w:shd w:val="clear" w:color="auto" w:fill="FFFFFF"/>
          </w:tcPr>
          <w:p>
            <w:r>
              <w:rPr>
                <w:rFonts w:ascii="Times New Roman" w:eastAsia="Times New Roman" w:hAnsi="Times New Roman" w:cs="Times New Roman"/>
                <w:b/>
                <w:color w:val="000000"/>
                <w:sz w:val="26"/>
              </w:rPr>
              <w:t>64.2 days</w:t>
            </w:r>
          </w:p>
          <w:p/>
        </w:tc>
        <w:tc>
          <w:tcPr>
            <w:tcW w:w="2340" w:type="dxa"/>
            <w:shd w:val="clear" w:color="auto" w:fill="FFFFFF"/>
          </w:tcPr>
          <w:p>
            <w:r>
              <w:rPr>
                <w:rFonts w:ascii="Times New Roman" w:eastAsia="Times New Roman" w:hAnsi="Times New Roman" w:cs="Times New Roman"/>
                <w:b/>
                <w:color w:val="000000"/>
                <w:sz w:val="26"/>
              </w:rPr>
              <w:t>+27.1 days vs album</w:t>
            </w:r>
          </w:p>
          <w:p>
            <w:pPr>
              <w:numPr>
                <w:ilvl w:val="0"/>
                <w:numId w:val="0"/>
              </w:numPr>
            </w:pPr>
          </w:p>
        </w:tc>
      </w:tr>
      <w:tr>
        <w:tblPrEx>
          <w:tblW w:w="0" w:type="auto"/>
          <w:tblLayout w:type="fixed"/>
          <w:tblCellMar>
            <w:left w:w="108" w:type="dxa"/>
            <w:right w:w="108" w:type="dxa"/>
          </w:tblCellMar>
        </w:tblPrEx>
        <w:tc>
          <w:tcPr>
            <w:tcW w:w="2340" w:type="dxa"/>
            <w:shd w:val="clear" w:color="auto" w:fill="FFFFFF"/>
          </w:tcPr>
          <w:p>
            <w:r>
              <w:rPr>
                <w:rFonts w:ascii="Times New Roman" w:eastAsia="Times New Roman" w:hAnsi="Times New Roman" w:cs="Times New Roman"/>
                <w:b/>
                <w:color w:val="000000"/>
                <w:sz w:val="26"/>
              </w:rPr>
              <w:t>Release Format</w:t>
            </w:r>
          </w:p>
          <w:p/>
        </w:tc>
        <w:tc>
          <w:tcPr>
            <w:tcW w:w="2340" w:type="dxa"/>
            <w:shd w:val="clear" w:color="auto" w:fill="FFFFFF"/>
          </w:tcPr>
          <w:p>
            <w:r>
              <w:rPr>
                <w:rFonts w:ascii="Times New Roman" w:eastAsia="Times New Roman" w:hAnsi="Times New Roman" w:cs="Times New Roman"/>
                <w:b/>
                <w:color w:val="000000"/>
                <w:sz w:val="26"/>
              </w:rPr>
              <w:t>Album Track</w:t>
            </w:r>
          </w:p>
          <w:p/>
        </w:tc>
        <w:tc>
          <w:tcPr>
            <w:tcW w:w="2340" w:type="dxa"/>
            <w:shd w:val="clear" w:color="auto" w:fill="FFFFFF"/>
          </w:tcPr>
          <w:p>
            <w:r>
              <w:rPr>
                <w:rFonts w:ascii="Times New Roman" w:eastAsia="Times New Roman" w:hAnsi="Times New Roman" w:cs="Times New Roman"/>
                <w:b/>
                <w:color w:val="000000"/>
                <w:sz w:val="26"/>
              </w:rPr>
              <w:t>37.1 days</w:t>
            </w:r>
          </w:p>
          <w:p/>
        </w:tc>
        <w:tc>
          <w:tcPr>
            <w:tcW w:w="2340" w:type="dxa"/>
            <w:shd w:val="clear" w:color="auto" w:fill="FFFFFF"/>
          </w:tcPr>
          <w:p>
            <w:r>
              <w:rPr>
                <w:rFonts w:ascii="Times New Roman" w:eastAsia="Times New Roman" w:hAnsi="Times New Roman" w:cs="Times New Roman"/>
                <w:b/>
                <w:color w:val="000000"/>
                <w:sz w:val="26"/>
              </w:rPr>
              <w:t>Baseline</w:t>
            </w:r>
          </w:p>
          <w:p>
            <w:pPr>
              <w:numPr>
                <w:ilvl w:val="0"/>
                <w:numId w:val="0"/>
              </w:numPr>
            </w:pPr>
          </w:p>
        </w:tc>
      </w:tr>
      <w:tr>
        <w:tblPrEx>
          <w:tblW w:w="0" w:type="auto"/>
          <w:tblLayout w:type="fixed"/>
          <w:tblCellMar>
            <w:left w:w="108" w:type="dxa"/>
            <w:right w:w="108" w:type="dxa"/>
          </w:tblCellMar>
        </w:tblPrEx>
        <w:tc>
          <w:tcPr>
            <w:tcW w:w="2340" w:type="dxa"/>
            <w:shd w:val="clear" w:color="auto" w:fill="FFFFFF"/>
          </w:tcPr>
          <w:p>
            <w:r>
              <w:rPr>
                <w:rFonts w:ascii="Times New Roman" w:eastAsia="Times New Roman" w:hAnsi="Times New Roman" w:cs="Times New Roman"/>
                <w:b/>
                <w:color w:val="000000"/>
                <w:sz w:val="26"/>
              </w:rPr>
              <w:t>Content Rating</w:t>
            </w:r>
          </w:p>
          <w:p/>
        </w:tc>
        <w:tc>
          <w:tcPr>
            <w:tcW w:w="2340" w:type="dxa"/>
            <w:shd w:val="clear" w:color="auto" w:fill="FFFFFF"/>
          </w:tcPr>
          <w:p>
            <w:r>
              <w:rPr>
                <w:rFonts w:ascii="Times New Roman" w:eastAsia="Times New Roman" w:hAnsi="Times New Roman" w:cs="Times New Roman"/>
                <w:b/>
                <w:color w:val="000000"/>
                <w:sz w:val="26"/>
              </w:rPr>
              <w:t>Clean</w:t>
            </w:r>
          </w:p>
          <w:p/>
        </w:tc>
        <w:tc>
          <w:tcPr>
            <w:tcW w:w="2340" w:type="dxa"/>
            <w:shd w:val="clear" w:color="auto" w:fill="FFFFFF"/>
          </w:tcPr>
          <w:p>
            <w:r>
              <w:rPr>
                <w:rFonts w:ascii="Times New Roman" w:eastAsia="Times New Roman" w:hAnsi="Times New Roman" w:cs="Times New Roman"/>
                <w:b/>
                <w:color w:val="000000"/>
                <w:sz w:val="26"/>
              </w:rPr>
              <w:t>53.5 days</w:t>
            </w:r>
          </w:p>
          <w:p/>
        </w:tc>
        <w:tc>
          <w:tcPr>
            <w:tcW w:w="2340" w:type="dxa"/>
            <w:shd w:val="clear" w:color="auto" w:fill="FFFFFF"/>
          </w:tcPr>
          <w:p>
            <w:r>
              <w:rPr>
                <w:rFonts w:ascii="Times New Roman" w:eastAsia="Times New Roman" w:hAnsi="Times New Roman" w:cs="Times New Roman"/>
                <w:b/>
                <w:color w:val="000000"/>
                <w:sz w:val="26"/>
              </w:rPr>
              <w:t>+5.9 days vs explicit</w:t>
            </w:r>
          </w:p>
          <w:p>
            <w:pPr>
              <w:numPr>
                <w:ilvl w:val="0"/>
                <w:numId w:val="0"/>
              </w:numPr>
            </w:pPr>
          </w:p>
        </w:tc>
      </w:tr>
      <w:tr>
        <w:tblPrEx>
          <w:tblW w:w="0" w:type="auto"/>
          <w:tblLayout w:type="fixed"/>
          <w:tblCellMar>
            <w:left w:w="108" w:type="dxa"/>
            <w:right w:w="108" w:type="dxa"/>
          </w:tblCellMar>
        </w:tblPrEx>
        <w:tc>
          <w:tcPr>
            <w:tcW w:w="2340" w:type="dxa"/>
            <w:shd w:val="clear" w:color="auto" w:fill="FFFFFF"/>
          </w:tcPr>
          <w:p>
            <w:r>
              <w:rPr>
                <w:rFonts w:ascii="Times New Roman" w:eastAsia="Times New Roman" w:hAnsi="Times New Roman" w:cs="Times New Roman"/>
                <w:b/>
                <w:color w:val="000000"/>
                <w:sz w:val="26"/>
              </w:rPr>
              <w:t>Content Rating</w:t>
            </w:r>
          </w:p>
          <w:p/>
        </w:tc>
        <w:tc>
          <w:tcPr>
            <w:tcW w:w="2340" w:type="dxa"/>
            <w:shd w:val="clear" w:color="auto" w:fill="FFFFFF"/>
          </w:tcPr>
          <w:p>
            <w:r>
              <w:rPr>
                <w:rFonts w:ascii="Times New Roman" w:eastAsia="Times New Roman" w:hAnsi="Times New Roman" w:cs="Times New Roman"/>
                <w:b/>
                <w:color w:val="000000"/>
                <w:sz w:val="26"/>
              </w:rPr>
              <w:t>Explicit</w:t>
            </w:r>
          </w:p>
          <w:p/>
        </w:tc>
        <w:tc>
          <w:tcPr>
            <w:tcW w:w="2340" w:type="dxa"/>
            <w:shd w:val="clear" w:color="auto" w:fill="FFFFFF"/>
          </w:tcPr>
          <w:p>
            <w:r>
              <w:rPr>
                <w:rFonts w:ascii="Times New Roman" w:eastAsia="Times New Roman" w:hAnsi="Times New Roman" w:cs="Times New Roman"/>
                <w:b/>
                <w:color w:val="000000"/>
                <w:sz w:val="26"/>
              </w:rPr>
              <w:t>47.6 days</w:t>
            </w:r>
          </w:p>
          <w:p/>
        </w:tc>
        <w:tc>
          <w:tcPr>
            <w:tcW w:w="2340" w:type="dxa"/>
            <w:shd w:val="clear" w:color="auto" w:fill="FFFFFF"/>
          </w:tcPr>
          <w:p>
            <w:r>
              <w:rPr>
                <w:rFonts w:ascii="Times New Roman" w:eastAsia="Times New Roman" w:hAnsi="Times New Roman" w:cs="Times New Roman"/>
                <w:b/>
                <w:color w:val="000000"/>
                <w:sz w:val="26"/>
              </w:rPr>
              <w:t>Baseline</w:t>
            </w:r>
          </w:p>
          <w:p>
            <w:pPr>
              <w:numPr>
                <w:ilvl w:val="0"/>
                <w:numId w:val="0"/>
              </w:numPr>
            </w:pPr>
          </w:p>
        </w:tc>
      </w:tr>
      <w:tr>
        <w:tblPrEx>
          <w:tblW w:w="0" w:type="auto"/>
          <w:tblLayout w:type="fixed"/>
          <w:tblCellMar>
            <w:left w:w="108" w:type="dxa"/>
            <w:right w:w="108" w:type="dxa"/>
          </w:tblCellMar>
        </w:tblPrEx>
        <w:tc>
          <w:tcPr>
            <w:tcW w:w="2340" w:type="dxa"/>
            <w:shd w:val="clear" w:color="auto" w:fill="FFFFFF"/>
          </w:tcPr>
          <w:p>
            <w:r>
              <w:rPr>
                <w:rFonts w:ascii="Times New Roman" w:eastAsia="Times New Roman" w:hAnsi="Times New Roman" w:cs="Times New Roman"/>
                <w:b/>
                <w:color w:val="000000"/>
                <w:sz w:val="26"/>
              </w:rPr>
              <w:t>Duration</w:t>
            </w:r>
          </w:p>
          <w:p/>
        </w:tc>
        <w:tc>
          <w:tcPr>
            <w:tcW w:w="2340" w:type="dxa"/>
            <w:shd w:val="clear" w:color="auto" w:fill="FFFFFF"/>
          </w:tcPr>
          <w:p>
            <w:r>
              <w:rPr>
                <w:rFonts w:ascii="Times New Roman" w:eastAsia="Times New Roman" w:hAnsi="Times New Roman" w:cs="Times New Roman"/>
                <w:b/>
                <w:color w:val="000000"/>
                <w:sz w:val="26"/>
              </w:rPr>
              <w:t>3-4 minutes</w:t>
            </w:r>
          </w:p>
          <w:p/>
        </w:tc>
        <w:tc>
          <w:tcPr>
            <w:tcW w:w="2340" w:type="dxa"/>
            <w:shd w:val="clear" w:color="auto" w:fill="FFFFFF"/>
          </w:tcPr>
          <w:p>
            <w:r>
              <w:rPr>
                <w:rFonts w:ascii="Times New Roman" w:eastAsia="Times New Roman" w:hAnsi="Times New Roman" w:cs="Times New Roman"/>
                <w:b/>
                <w:color w:val="000000"/>
                <w:sz w:val="26"/>
              </w:rPr>
              <w:t>56.5 days</w:t>
            </w:r>
          </w:p>
          <w:p/>
        </w:tc>
        <w:tc>
          <w:tcPr>
            <w:tcW w:w="2340" w:type="dxa"/>
            <w:shd w:val="clear" w:color="auto" w:fill="FFFFFF"/>
          </w:tcPr>
          <w:p>
            <w:r>
              <w:rPr>
                <w:rFonts w:ascii="Times New Roman" w:eastAsia="Times New Roman" w:hAnsi="Times New Roman" w:cs="Times New Roman"/>
                <w:b/>
                <w:color w:val="000000"/>
                <w:sz w:val="26"/>
              </w:rPr>
              <w:t>Highest retention bucket</w:t>
            </w:r>
          </w:p>
          <w:p>
            <w:pPr>
              <w:numPr>
                <w:ilvl w:val="0"/>
                <w:numId w:val="0"/>
              </w:numPr>
            </w:pPr>
          </w:p>
        </w:tc>
      </w:tr>
      <w:tr>
        <w:tblPrEx>
          <w:tblW w:w="0" w:type="auto"/>
          <w:tblLayout w:type="fixed"/>
          <w:tblCellMar>
            <w:left w:w="108" w:type="dxa"/>
            <w:right w:w="108" w:type="dxa"/>
          </w:tblCellMar>
        </w:tblPrEx>
        <w:tc>
          <w:tcPr>
            <w:tcW w:w="2340" w:type="dxa"/>
            <w:shd w:val="clear" w:color="auto" w:fill="FFFFFF"/>
          </w:tcPr>
          <w:p>
            <w:r>
              <w:rPr>
                <w:rFonts w:ascii="Times New Roman" w:eastAsia="Times New Roman" w:hAnsi="Times New Roman" w:cs="Times New Roman"/>
                <w:b/>
                <w:color w:val="000000"/>
                <w:sz w:val="26"/>
              </w:rPr>
              <w:t>Duration</w:t>
            </w:r>
          </w:p>
          <w:p/>
        </w:tc>
        <w:tc>
          <w:tcPr>
            <w:tcW w:w="2340" w:type="dxa"/>
            <w:shd w:val="clear" w:color="auto" w:fill="FFFFFF"/>
          </w:tcPr>
          <w:p>
            <w:r>
              <w:rPr>
                <w:rFonts w:ascii="Times New Roman" w:eastAsia="Times New Roman" w:hAnsi="Times New Roman" w:cs="Times New Roman"/>
                <w:b/>
                <w:color w:val="000000"/>
                <w:sz w:val="26"/>
              </w:rPr>
              <w:t>Under 2 minutes</w:t>
            </w:r>
          </w:p>
          <w:p/>
        </w:tc>
        <w:tc>
          <w:tcPr>
            <w:tcW w:w="2340" w:type="dxa"/>
            <w:shd w:val="clear" w:color="auto" w:fill="FFFFFF"/>
          </w:tcPr>
          <w:p>
            <w:r>
              <w:rPr>
                <w:rFonts w:ascii="Times New Roman" w:eastAsia="Times New Roman" w:hAnsi="Times New Roman" w:cs="Times New Roman"/>
                <w:b/>
                <w:color w:val="000000"/>
                <w:sz w:val="26"/>
              </w:rPr>
              <w:t>14.1 days</w:t>
            </w:r>
          </w:p>
          <w:p/>
        </w:tc>
        <w:tc>
          <w:tcPr>
            <w:tcW w:w="2340" w:type="dxa"/>
            <w:shd w:val="clear" w:color="auto" w:fill="FFFFFF"/>
          </w:tcPr>
          <w:p>
            <w:r>
              <w:rPr>
                <w:rFonts w:ascii="Times New Roman" w:eastAsia="Times New Roman" w:hAnsi="Times New Roman" w:cs="Times New Roman"/>
                <w:b/>
                <w:color w:val="000000"/>
                <w:sz w:val="26"/>
              </w:rPr>
              <w:t>Lowest retention bucket</w:t>
            </w:r>
          </w:p>
          <w:p>
            <w:pPr>
              <w:numPr>
                <w:ilvl w:val="0"/>
                <w:numId w:val="0"/>
              </w:numPr>
            </w:pPr>
          </w:p>
        </w:tc>
      </w:tr>
    </w:tbl>
    <w:p/>
    <w:p/>
    <w:p>
      <w:pPr>
        <w:jc w:val="both"/>
      </w:pPr>
      <w:r>
        <w:rPr>
          <w:rFonts w:ascii="Times New Roman" w:eastAsia="Times New Roman" w:hAnsi="Times New Roman" w:cs="Times New Roman"/>
          <w:color w:val="000000"/>
          <w:sz w:val="26"/>
        </w:rPr>
        <w:t xml:space="preserve">The single-versus-album gap is the largest signal in the dataset. Singles averaged 64.2 days on the playlist compared to 37.1 days for album tracks — a ratio of 1.73 to one. I initially questioned whether this might be a confounding effect of genre (Latin singles tend to dominate Spain's charts), but the pattern held across genre groups. Spain's playlist listeners appear to engage differently with standalone releases and tracks embedded in albums.</w:t>
      </w:r>
    </w:p>
    <w:p>
      <w:pPr>
        <w:jc w:val="both"/>
      </w:pPr>
    </w:p>
    <w:p>
      <w:pPr>
        <w:jc w:val="both"/>
      </w:pPr>
      <w:r>
        <w:rPr>
          <w:rFonts w:ascii="Times New Roman" w:eastAsia="Times New Roman" w:hAnsi="Times New Roman" w:cs="Times New Roman"/>
          <w:color w:val="000000"/>
          <w:sz w:val="26"/>
        </w:rPr>
        <w:t xml:space="preserve">The explicit content gap was smaller but consistent: 5.9 days of additional playlist life for clean tracks. At the scale of a full release catalog, this difference is commercially meaningful; it translates to approximately one additional week of streaming revenue per track. Releasing clean edits alongside explicit versions is a low-cost intervention with a measurable expected return in the Spanish market.</w:t>
      </w:r>
    </w:p>
    <w:p>
      <w:pPr>
        <w:jc w:val="both"/>
      </w:pPr>
    </w:p>
    <w:p>
      <w:pPr>
        <w:jc w:val="both"/>
      </w:pPr>
      <w:r>
        <w:rPr>
          <w:rFonts w:ascii="Times New Roman" w:eastAsia="Times New Roman" w:hAnsi="Times New Roman" w:cs="Times New Roman"/>
          <w:color w:val="000000"/>
          <w:sz w:val="26"/>
        </w:rPr>
        <w:t xml:space="preserve">Duration showed a clear sweet spot at 3 to 4 minutes, where songs averaged 56.5 days — the highest of any duration bucket. Songs under two minutes collapsed to an average of just 14.1 days. This is a stark finding. Very short tracks, regardless of their popularity at entry, do not sustain Spanish playlists. The implication for production decisions targeting Spain is concrete: if a track is being edited for regional release, targeting the 3-4 minute window is worth the effort.</w:t>
      </w:r>
    </w:p>
    <w:p>
      <w:pPr>
        <w:jc w:val="both"/>
      </w:pPr>
    </w:p>
    <w:p>
      <w:pPr>
        <w:pStyle w:val="Heading2"/>
        <w:jc w:val="both"/>
      </w:pPr>
      <w:bookmarkStart w:id="11" w:name="_Toc256000040"/>
      <w:r>
        <w:rPr>
          <w:rFonts w:ascii="Times New Roman" w:eastAsia="Times New Roman" w:hAnsi="Times New Roman" w:cs="Times New Roman"/>
          <w:i/>
          <w:color w:val="000000"/>
          <w:sz w:val="26"/>
        </w:rPr>
        <w:t>V. Popularity Across Lifecycle Stages</w:t>
      </w:r>
      <w:bookmarkEnd w:id="11"/>
    </w:p>
    <w:p/>
    <w:p>
      <w:pPr>
        <w:jc w:val="both"/>
      </w:pPr>
      <w:r>
        <w:rPr>
          <w:rFonts w:ascii="Times New Roman" w:eastAsia="Times New Roman" w:hAnsi="Times New Roman" w:cs="Times New Roman"/>
          <w:color w:val="000000"/>
          <w:sz w:val="26"/>
        </w:rPr>
        <w:t xml:space="preserve">I also examined whether Spotify popularity scores varied meaningfully across the five lifecycle stages. They did, but not in the direction I initially expected. Peak-stage songs had the highest average popularity (approximately 86 out of 100), which makes intuitive sense. However, growth stage songs scored lower than decline stage songs, suggesting that the growth classification I used (based on rank improvement trajectory) does not perfectly capture the popularity signal.</w:t>
      </w:r>
    </w:p>
    <w:p>
      <w:pPr>
        <w:jc w:val="both"/>
      </w:pPr>
    </w:p>
    <w:p>
      <w:pPr>
        <w:jc w:val="both"/>
      </w:pPr>
      <w:r>
        <w:rPr>
          <w:rFonts w:ascii="Times New Roman" w:eastAsia="Times New Roman" w:hAnsi="Times New Roman" w:cs="Times New Roman"/>
          <w:color w:val="000000"/>
          <w:sz w:val="26"/>
        </w:rPr>
        <w:t>More broadly, this analysis showed me that popularity score alone is a weak predictor of lifecycle outcomes in Spain. Songs with identical popularity scores showed very different survival durations depending on their format, duration, and content rating. This reinforces the central argument of this paper: single-metric popularity tracking is insufficient for Spain market intelligence. Lifecycle-level analysis is necessary.</w:t>
      </w:r>
    </w:p>
    <w:p>
      <w:pPr>
        <w:jc w:val="both"/>
      </w:pPr>
    </w:p>
    <w:p>
      <w:pPr>
        <w:pStyle w:val="Heading1"/>
        <w:jc w:val="both"/>
      </w:pPr>
      <w:bookmarkStart w:id="12" w:name="_Toc256000041"/>
      <w:r>
        <w:rPr>
          <w:rFonts w:ascii="Times New Roman" w:eastAsia="Times New Roman" w:hAnsi="Times New Roman" w:cs="Times New Roman"/>
          <w:color w:val="000000"/>
          <w:sz w:val="26"/>
        </w:rPr>
        <w:t>V. RECOMMENDATIONS FOR ATLANTIC RECORDING CORPORATION</w:t>
      </w:r>
      <w:bookmarkEnd w:id="12"/>
    </w:p>
    <w:p/>
    <w:p>
      <w:pPr>
        <w:jc w:val="both"/>
      </w:pPr>
      <w:r>
        <w:rPr>
          <w:rFonts w:ascii="Times New Roman" w:eastAsia="Times New Roman" w:hAnsi="Times New Roman" w:cs="Times New Roman"/>
          <w:color w:val="000000"/>
          <w:sz w:val="26"/>
        </w:rPr>
        <w:t>Based on everything I found in this data, I would propose the following six strategic adjustments to Atlantic's Spain market operations. These are not speculative — each one is grounded in a specific, quantified finding from the lifecycle analysis.</w:t>
      </w:r>
    </w:p>
    <w:p>
      <w:pPr>
        <w:jc w:val="both"/>
      </w:pPr>
    </w:p>
    <w:p>
      <w:pPr>
        <w:numPr>
          <w:ilvl w:val="0"/>
          <w:numId w:val="1"/>
        </w:numPr>
      </w:pPr>
      <w:r>
        <w:rPr>
          <w:rFonts w:ascii="Times New Roman" w:eastAsia="Times New Roman" w:hAnsi="Times New Roman" w:cs="Times New Roman"/>
          <w:color w:val="000000"/>
          <w:sz w:val="26"/>
        </w:rPr>
        <w:t xml:space="preserve">Singles   are released  before albums in Spain. The 1.73x longevity advantage of singles over album tracks is the strongest signal in this dataset. For territory-specific release sequencing decisions, Spain should default to single-first  strategy . </w:t>
      </w:r>
    </w:p>
    <w:p>
      <w:pPr>
        <w:numPr>
          <w:ilvl w:val="0"/>
          <w:numId w:val="1"/>
        </w:numPr>
      </w:pPr>
      <w:r>
        <w:rPr>
          <w:rFonts w:ascii="Times New Roman" w:eastAsia="Times New Roman" w:hAnsi="Times New Roman" w:cs="Times New Roman"/>
          <w:color w:val="000000"/>
          <w:sz w:val="26"/>
        </w:rPr>
        <w:t xml:space="preserve">Concentrate marketing  spending  in the first ten days post-release. The average time to peak  was  10.3 days. Marketing resources deployed after day  14  are largely wasted in terms of peak-position impact. Front-loading is not  only  efficient  but   also  structurally appropriate for this market's pace. </w:t>
      </w:r>
    </w:p>
    <w:p>
      <w:pPr>
        <w:numPr>
          <w:ilvl w:val="0"/>
          <w:numId w:val="1"/>
        </w:numPr>
      </w:pPr>
      <w:r>
        <w:rPr>
          <w:rFonts w:ascii="Times New Roman" w:eastAsia="Times New Roman" w:hAnsi="Times New Roman" w:cs="Times New Roman"/>
          <w:color w:val="000000"/>
          <w:sz w:val="26"/>
        </w:rPr>
        <w:t xml:space="preserve">Release clean edits for Spain-targeted campaigns. The  five-to six-day  longevity advantage of clean tracks over explicit tracks is consistent enough to justify the production cost of clean edits, particularly for tracks with strong initial momentum. </w:t>
      </w:r>
    </w:p>
    <w:p>
      <w:pPr>
        <w:numPr>
          <w:ilvl w:val="0"/>
          <w:numId w:val="1"/>
        </w:numPr>
      </w:pPr>
      <w:r>
        <w:rPr>
          <w:rFonts w:ascii="Times New Roman" w:eastAsia="Times New Roman" w:hAnsi="Times New Roman" w:cs="Times New Roman"/>
          <w:color w:val="000000"/>
          <w:sz w:val="26"/>
        </w:rPr>
        <w:t xml:space="preserve">Target three to four  minutes  track durations for Spain-specific cuts. Tracks under two minutes show dramatically reduced retention. If a track is being edited for Spain, the production team should aim for the three to four minute window. </w:t>
      </w:r>
    </w:p>
    <w:p>
      <w:pPr>
        <w:numPr>
          <w:ilvl w:val="0"/>
          <w:numId w:val="1"/>
        </w:numPr>
      </w:pPr>
      <w:r>
        <w:rPr>
          <w:rFonts w:ascii="Times New Roman" w:eastAsia="Times New Roman" w:hAnsi="Times New Roman" w:cs="Times New Roman"/>
          <w:color w:val="000000"/>
          <w:sz w:val="26"/>
        </w:rPr>
        <w:t xml:space="preserve">Monitor monthly churn patterns to identify low-competition release windows. Not all months are equally volatile. Releasing into a low-churn period reduces displacement risk and gives a new entry more time to establish itself before the next wave of replacements arrives. </w:t>
      </w:r>
    </w:p>
    <w:p>
      <w:pPr>
        <w:numPr>
          <w:ilvl w:val="0"/>
          <w:numId w:val="1"/>
        </w:numPr>
      </w:pPr>
      <w:r>
        <w:rPr>
          <w:rFonts w:ascii="Times New Roman" w:eastAsia="Times New Roman" w:hAnsi="Times New Roman" w:cs="Times New Roman"/>
          <w:color w:val="000000"/>
          <w:sz w:val="26"/>
        </w:rPr>
        <w:t xml:space="preserve">Invest in Latin and reggaeton crossover collaborations. The top ten longest-surviving songs in the dataset are dominated by Latin genre tracks. Genre alignment with local taste is not a soft preference — it is a measurable lifecycle amplifier in Spain. </w:t>
      </w:r>
    </w:p>
    <w:p>
      <w:pPr>
        <w:pStyle w:val="Heading1"/>
        <w:numPr>
          <w:ilvl w:val="0"/>
          <w:numId w:val="1"/>
        </w:numPr>
      </w:pPr>
      <w:bookmarkStart w:id="13" w:name="_Toc256000042"/>
      <w:r>
        <w:rPr>
          <w:rFonts w:ascii="Times New Roman" w:eastAsia="Times New Roman" w:hAnsi="Times New Roman" w:cs="Times New Roman"/>
          <w:color w:val="000000"/>
          <w:sz w:val="26"/>
        </w:rPr>
        <w:t>VI. CONCLUSION</w:t>
      </w:r>
      <w:bookmarkEnd w:id="13"/>
    </w:p>
    <w:p/>
    <w:p>
      <w:pPr>
        <w:jc w:val="both"/>
      </w:pPr>
      <w:r>
        <w:rPr>
          <w:rFonts w:ascii="Times New Roman" w:eastAsia="Times New Roman" w:hAnsi="Times New Roman" w:cs="Times New Roman"/>
          <w:color w:val="000000"/>
          <w:sz w:val="26"/>
        </w:rPr>
        <w:t>What began as a data analysis exercise became something more useful: a clear, quantified picture of how Spain's music market actually works at the playlist level. The findings in this paper are not informed guesses or benchmarks borrowed from other regions — they are direct observations from 27,750 days of playlist data, processed through a lifecycle framework I built specifically for this market.</w:t>
      </w:r>
    </w:p>
    <w:p>
      <w:pPr>
        <w:jc w:val="both"/>
      </w:pPr>
    </w:p>
    <w:p>
      <w:pPr>
        <w:jc w:val="both"/>
      </w:pPr>
      <w:r>
        <w:rPr>
          <w:rFonts w:ascii="Times New Roman" w:eastAsia="Times New Roman" w:hAnsi="Times New Roman" w:cs="Times New Roman"/>
          <w:color w:val="000000"/>
          <w:sz w:val="26"/>
        </w:rPr>
        <w:t>Spain is a high-rotation, freshness-sensitive market where singles outperform albums, clean content outlasts explicit, songs peak within two weeks of entry, and four out of ten new entries exit within seven days. These characteristics require a Spain-specific strategy — not a scaled-down version of what works in the US or a Latin-inflected adaptation of UK campaign logic.</w:t>
      </w:r>
    </w:p>
    <w:p>
      <w:pPr>
        <w:jc w:val="both"/>
      </w:pPr>
    </w:p>
    <w:p>
      <w:pPr>
        <w:jc w:val="both"/>
      </w:pPr>
      <w:r>
        <w:rPr>
          <w:rFonts w:ascii="Times New Roman" w:eastAsia="Times New Roman" w:hAnsi="Times New Roman" w:cs="Times New Roman"/>
          <w:color w:val="000000"/>
          <w:sz w:val="26"/>
        </w:rPr>
        <w:t xml:space="preserve">The lifecycle intelligence framework developed in this study, covering data validation, lifecycle construction, KPI computation, stage classification, and dashboard delivery, is designed to be repeatable. With minor adjustments to the classification rules and KPI definitions, the same methodology could be applied to any regional market where Atlantic operates, building a comparative intelligence layer that does not currently exist. This is the next step that I would recommend.</w:t>
      </w:r>
    </w:p>
    <w:p>
      <w:pPr>
        <w:jc w:val="both"/>
      </w:pPr>
    </w:p>
    <w:p>
      <w:pPr>
        <w:pStyle w:val="Heading1"/>
        <w:jc w:val="both"/>
      </w:pPr>
      <w:bookmarkStart w:id="14" w:name="_Toc256000043"/>
      <w:r>
        <w:rPr>
          <w:rFonts w:ascii="Times New Roman" w:eastAsia="Times New Roman" w:hAnsi="Times New Roman" w:cs="Times New Roman"/>
          <w:color w:val="000000"/>
          <w:sz w:val="26"/>
        </w:rPr>
        <w:t>REFERENCES</w:t>
      </w:r>
      <w:bookmarkEnd w:id="14"/>
    </w:p>
    <w:p/>
    <w:p>
      <w:pPr>
        <w:jc w:val="both"/>
      </w:pPr>
      <w:r>
        <w:rPr>
          <w:rFonts w:ascii="Times New Roman" w:eastAsia="Times New Roman" w:hAnsi="Times New Roman" w:cs="Times New Roman"/>
          <w:color w:val="000000"/>
          <w:sz w:val="24"/>
        </w:rPr>
        <w:t>[1] G. Deezer and F. Pachet, "The influence of playlist context on music streaming behavior: A large-scale observational study," ACM Trans. Multimedia Comput. Commun. Appl., vol. 14, no. 3, pp. 1-22, 2021.</w:t>
      </w:r>
    </w:p>
    <w:p>
      <w:pPr>
        <w:jc w:val="both"/>
      </w:pPr>
    </w:p>
    <w:p>
      <w:pPr>
        <w:jc w:val="both"/>
      </w:pPr>
      <w:r>
        <w:rPr>
          <w:rFonts w:ascii="Times New Roman" w:eastAsia="Times New Roman" w:hAnsi="Times New Roman" w:cs="Times New Roman"/>
          <w:color w:val="000000"/>
          <w:sz w:val="24"/>
        </w:rPr>
        <w:t>[2] A. Navarro and C. Ruiz, "Latin music streaming patterns in Southern Europe: Market structure and consumption dynamics," J. Popular Music Stud., vol. 33, no. 1, pp. 44-67, 2022.</w:t>
      </w:r>
    </w:p>
    <w:p>
      <w:pPr>
        <w:jc w:val="both"/>
      </w:pPr>
    </w:p>
    <w:p>
      <w:pPr>
        <w:jc w:val="both"/>
      </w:pPr>
      <w:r>
        <w:rPr>
          <w:rFonts w:ascii="Times New Roman" w:eastAsia="Times New Roman" w:hAnsi="Times New Roman" w:cs="Times New Roman"/>
          <w:color w:val="000000"/>
          <w:sz w:val="24"/>
        </w:rPr>
        <w:t>[3] T. Anderson and R. Kim, "From charts to streams: Rethinking music performance measurement in the digital era," Popular Music, vol. 40, no. 2, pp. 188-204, 2021.</w:t>
      </w:r>
    </w:p>
    <w:p>
      <w:pPr>
        <w:jc w:val="both"/>
      </w:pPr>
    </w:p>
    <w:p>
      <w:pPr>
        <w:jc w:val="both"/>
      </w:pPr>
      <w:r>
        <w:rPr>
          <w:rFonts w:ascii="Times New Roman" w:eastAsia="Times New Roman" w:hAnsi="Times New Roman" w:cs="Times New Roman"/>
          <w:color w:val="000000"/>
          <w:sz w:val="24"/>
        </w:rPr>
        <w:t>[4] M. Park and J. Lee, "Optimal audio content duration for streaming retention: Evidence from platform-level data," Int. J. Inf. Manage., vol. 58, pp. 102-119, 2021.</w:t>
      </w:r>
    </w:p>
    <w:p>
      <w:pPr>
        <w:jc w:val="both"/>
      </w:pPr>
    </w:p>
    <w:p>
      <w:pPr>
        <w:jc w:val="both"/>
      </w:pPr>
      <w:r>
        <w:rPr>
          <w:rFonts w:ascii="Times New Roman" w:eastAsia="Times New Roman" w:hAnsi="Times New Roman" w:cs="Times New Roman"/>
          <w:color w:val="000000"/>
          <w:sz w:val="24"/>
        </w:rPr>
        <w:t>[5] Spotify for Artists, "How Spotify measures playlist performance," Spotify Technology S.A. [Online]. Available: https://artists.spotify.com. [Accessed: 2025].</w:t>
      </w:r>
    </w:p>
    <w:p>
      <w:pPr>
        <w:jc w:val="both"/>
      </w:pPr>
    </w:p>
    <w:p>
      <w:pPr>
        <w:pStyle w:val="Heading1"/>
        <w:jc w:val="both"/>
      </w:pPr>
      <w:bookmarkStart w:id="15" w:name="_Toc256000044"/>
      <w:r>
        <w:rPr>
          <w:rFonts w:ascii="Times New Roman" w:eastAsia="Times New Roman" w:hAnsi="Times New Roman" w:cs="Times New Roman"/>
          <w:color w:val="000000"/>
          <w:sz w:val="26"/>
        </w:rPr>
        <w:t>ABOUT THE AUTHOR</w:t>
      </w:r>
      <w:bookmarkEnd w:id="15"/>
    </w:p>
    <w:p/>
    <w:p>
      <w:pPr>
        <w:jc w:val="both"/>
      </w:pPr>
      <w:r>
        <w:rPr>
          <w:rFonts w:ascii="Times New Roman" w:eastAsia="Times New Roman" w:hAnsi="Times New Roman" w:cs="Times New Roman"/>
          <w:color w:val="000000"/>
          <w:sz w:val="26"/>
        </w:rPr>
        <w:t>Teja is a data analyst at Atlantic Recording Corporation's Data Analytics Division, specializing in streaming market intelligence and music lifecycle analysis. This research was independently conducted as a commissioned analytical project examining content lifecycle dynamics in Spain's Spotify Top 50 playlist. The author's analytical work focuses on translating raw streaming data into territory-specific release strategy recommendations, with a particular interest in markets where regional consumption patterns diverge from global norms.</w:t>
      </w:r>
    </w:p>
    <w:p>
      <w:pPr>
        <w:jc w:val="both"/>
      </w:pPr>
    </w:p>
    <w:sectPr>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180"/>
        </w:tabs>
        <w:ind w:left="180" w:hanging="180"/>
      </w:pPr>
      <w:rPr>
        <w:rFonts w:ascii="Symbol" w:eastAsia="Symbol" w:hAnsi="Symbol" w:cs="Symbol"/>
      </w:rPr>
    </w:lvl>
    <w:lvl w:ilvl="1">
      <w:start w:val="1"/>
      <w:numFmt w:val="bullet"/>
      <w:lvlText w:val="•"/>
      <w:lvlJc w:val="left"/>
      <w:pPr>
        <w:tabs>
          <w:tab w:val="num" w:pos="540"/>
        </w:tabs>
        <w:ind w:left="540" w:hanging="180"/>
      </w:pPr>
      <w:rPr>
        <w:rFonts w:ascii="Symbol" w:eastAsia="Symbol" w:hAnsi="Symbol" w:cs="Symbol"/>
      </w:rPr>
    </w:lvl>
    <w:lvl w:ilvl="2">
      <w:start w:val="1"/>
      <w:numFmt w:val="bullet"/>
      <w:lvlText w:val="•"/>
      <w:lvlJc w:val="left"/>
      <w:pPr>
        <w:tabs>
          <w:tab w:val="num" w:pos="900"/>
        </w:tabs>
        <w:ind w:left="900" w:hanging="180"/>
      </w:pPr>
      <w:rPr>
        <w:rFonts w:ascii="Symbol" w:eastAsia="Symbol" w:hAnsi="Symbol" w:cs="Symbol"/>
      </w:rPr>
    </w:lvl>
    <w:lvl w:ilvl="3">
      <w:start w:val="1"/>
      <w:numFmt w:val="bullet"/>
      <w:lvlText w:val="•"/>
      <w:lvlJc w:val="left"/>
      <w:pPr>
        <w:tabs>
          <w:tab w:val="num" w:pos="1260"/>
        </w:tabs>
        <w:ind w:left="1260" w:hanging="180"/>
      </w:pPr>
      <w:rPr>
        <w:rFonts w:ascii="Symbol" w:eastAsia="Symbol" w:hAnsi="Symbol" w:cs="Symbol"/>
      </w:rPr>
    </w:lvl>
    <w:lvl w:ilvl="4">
      <w:start w:val="1"/>
      <w:numFmt w:val="bullet"/>
      <w:lvlText w:val="•"/>
      <w:lvlJc w:val="left"/>
      <w:pPr>
        <w:tabs>
          <w:tab w:val="num" w:pos="1620"/>
        </w:tabs>
        <w:ind w:left="1620" w:hanging="180"/>
      </w:pPr>
      <w:rPr>
        <w:rFonts w:ascii="Symbol" w:eastAsia="Symbol" w:hAnsi="Symbol" w:cs="Symbol"/>
      </w:rPr>
    </w:lvl>
    <w:lvl w:ilvl="5">
      <w:start w:val="1"/>
      <w:numFmt w:val="bullet"/>
      <w:lvlText w:val="•"/>
      <w:lvlJc w:val="left"/>
      <w:pPr>
        <w:tabs>
          <w:tab w:val="num" w:pos="1980"/>
        </w:tabs>
        <w:ind w:left="1980" w:hanging="180"/>
      </w:pPr>
      <w:rPr>
        <w:rFonts w:ascii="Symbol" w:eastAsia="Symbol" w:hAnsi="Symbol" w:cs="Symbol"/>
      </w:rPr>
    </w:lvl>
    <w:lvl w:ilvl="6">
      <w:start w:val="1"/>
      <w:numFmt w:val="bullet"/>
      <w:lvlText w:val="•"/>
      <w:lvlJc w:val="left"/>
      <w:pPr>
        <w:tabs>
          <w:tab w:val="num" w:pos="2340"/>
        </w:tabs>
        <w:ind w:left="2340" w:hanging="180"/>
      </w:pPr>
      <w:rPr>
        <w:rFonts w:ascii="Symbol" w:eastAsia="Symbol" w:hAnsi="Symbol" w:cs="Symbol"/>
      </w:rPr>
    </w:lvl>
    <w:lvl w:ilvl="7">
      <w:start w:val="1"/>
      <w:numFmt w:val="bullet"/>
      <w:lvlText w:val="•"/>
      <w:lvlJc w:val="left"/>
      <w:pPr>
        <w:tabs>
          <w:tab w:val="num" w:pos="2700"/>
        </w:tabs>
        <w:ind w:left="2700" w:hanging="180"/>
      </w:pPr>
      <w:rPr>
        <w:rFonts w:ascii="Symbol" w:eastAsia="Symbol" w:hAnsi="Symbol" w:cs="Symbol"/>
      </w:rPr>
    </w:lvl>
    <w:lvl w:ilvl="8">
      <w:start w:val="1"/>
      <w:numFmt w:val="bullet"/>
      <w:lvlText w:val="•"/>
      <w:lvlJc w:val="left"/>
      <w:pPr>
        <w:tabs>
          <w:tab w:val="num" w:pos="3060"/>
        </w:tabs>
        <w:ind w:left="3060" w:hanging="180"/>
      </w:pPr>
      <w:rPr>
        <w:rFonts w:ascii="Symbol" w:eastAsia="Symbol" w:hAnsi="Symbol" w:cs="Symbol"/>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Calibri" w:eastAsia="Calibri" w:hAnsi="Calibri" w:cs="Calibri"/>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ableOfContentsHeading">
    <w:name w:val="TableOfContentsHeading"/>
    <w:pPr>
      <w:spacing w:after="200"/>
      <w:jc w:val="center"/>
    </w:pPr>
    <w:rPr>
      <w:b/>
      <w:sz w:val="32"/>
    </w:rPr>
  </w:style>
  <w:style w:type="paragraph" w:styleId="TOC1">
    <w:name w:val="toc 1"/>
    <w:basedOn w:val="Normal"/>
    <w:next w:val="Normal"/>
    <w:autoRedefine/>
    <w:rsid w:val="00805BCE"/>
  </w:style>
  <w:style w:type="character" w:styleId="Hyperlink">
    <w:name w:val="Hyperlink"/>
    <w:basedOn w:val="DefaultParagraphFont"/>
    <w:rsid w:val="00EF7B96"/>
    <w:rPr>
      <w:color w:val="0000FF"/>
      <w:u w:val="single"/>
    </w:rPr>
  </w:style>
  <w:style w:type="paragraph" w:styleId="TOC2">
    <w:name w:val="toc 2"/>
    <w:basedOn w:val="Normal"/>
    <w:next w:val="Normal"/>
    <w:autoRedefine/>
    <w:rsid w:val="00805BCE"/>
    <w:pPr>
      <w:ind w:left="240"/>
    </w:p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