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2E4057" w:val="clear"/>
        <w:spacing w:after="0"/>
        <w:jc w:val="center"/>
      </w:pPr>
      <w:r>
        <w:rPr>
          <w:rFonts w:ascii="Times New Roman" w:cs="Times New Roman" w:eastAsia="Times New Roman" w:hAnsi="Times New Roman"/>
          <w:b/>
          <w:bCs/>
          <w:color w:val="FFFFFF"/>
          <w:sz w:val="28"/>
          <w:szCs w:val="28"/>
        </w:rPr>
        <w:t xml:space="preserve">EXECUTIVE SUMMARY</w:t>
      </w:r>
    </w:p>
    <w:p>
      <w:pPr>
        <w:shd w:fill="2E4057" w:val="clear"/>
        <w:spacing w:after="320"/>
        <w:jc w:val="center"/>
      </w:pPr>
      <w:r>
        <w:rPr>
          <w:rFonts w:ascii="Times New Roman" w:cs="Times New Roman" w:eastAsia="Times New Roman" w:hAnsi="Times New Roman"/>
          <w:color w:val="CCDDEE"/>
          <w:sz w:val="20"/>
          <w:szCs w:val="20"/>
        </w:rPr>
        <w:t xml:space="preserve">Prepared for Atlantic Recording Corporation — Spain Market Intelligence</w:t>
      </w:r>
    </w:p>
    <w:p>
      <w:pPr>
        <w:spacing w:after="80"/>
        <w:jc w:val="center"/>
      </w:pPr>
      <w:r>
        <w:rPr>
          <w:rFonts w:ascii="Times New Roman" w:cs="Times New Roman" w:eastAsia="Times New Roman" w:hAnsi="Times New Roman"/>
          <w:b/>
          <w:bCs/>
          <w:color w:val="1A1A2E"/>
          <w:sz w:val="52"/>
          <w:szCs w:val="52"/>
        </w:rPr>
        <w:t xml:space="preserve">Content Maturity, Release Lifecycle &amp;</w:t>
      </w:r>
    </w:p>
    <w:p>
      <w:pPr>
        <w:spacing w:after="80"/>
        <w:jc w:val="center"/>
      </w:pPr>
      <w:r>
        <w:rPr>
          <w:rFonts w:ascii="Times New Roman" w:cs="Times New Roman" w:eastAsia="Times New Roman" w:hAnsi="Times New Roman"/>
          <w:b/>
          <w:bCs/>
          <w:color w:val="1A1A2E"/>
          <w:sz w:val="52"/>
          <w:szCs w:val="52"/>
        </w:rPr>
        <w:t xml:space="preserve">Playlist Rotation Analysis</w:t>
      </w:r>
    </w:p>
    <w:p>
      <w:pPr>
        <w:spacing w:after="60"/>
        <w:jc w:val="center"/>
      </w:pPr>
      <w:r>
        <w:rPr>
          <w:rFonts w:ascii="Times New Roman" w:cs="Times New Roman" w:eastAsia="Times New Roman" w:hAnsi="Times New Roman"/>
          <w:i/>
          <w:iCs/>
          <w:color w:val="555555"/>
          <w:sz w:val="22"/>
          <w:szCs w:val="22"/>
        </w:rPr>
        <w:t xml:space="preserve">Spain Spotify Top 50  |  May 2024 – November 2025</w:t>
      </w:r>
    </w:p>
    <w:p>
      <w:pPr>
        <w:spacing w:after="360"/>
        <w:jc w:val="center"/>
      </w:pPr>
      <w:r>
        <w:rPr>
          <w:rFonts w:ascii="Times New Roman" w:cs="Times New Roman" w:eastAsia="Times New Roman" w:hAnsi="Times New Roman"/>
          <w:color w:val="777777"/>
          <w:sz w:val="20"/>
          <w:szCs w:val="20"/>
        </w:rPr>
        <w:t xml:space="preserve">Prepared by Teja  |  Data Analytics Division  |  Atlantic Recording Corporation</w:t>
      </w:r>
    </w:p>
    <w:p>
      <w:pPr>
        <w:pBdr>
          <w:bottom w:val="single" w:color="2E4057" w:sz="6"/>
        </w:pBdr>
        <w:spacing w:after="100" w:before="280"/>
      </w:pPr>
      <w:r>
        <w:rPr>
          <w:rFonts w:ascii="Times New Roman" w:cs="Times New Roman" w:eastAsia="Times New Roman" w:hAnsi="Times New Roman"/>
          <w:b/>
          <w:bCs/>
          <w:color w:val="2E4057"/>
          <w:sz w:val="22"/>
          <w:szCs w:val="22"/>
        </w:rPr>
        <w:t xml:space="preserve">PURPOSE OF THIS REPORT</w:t>
      </w:r>
    </w:p>
    <w:p>
      <w:pPr>
        <w:spacing w:after="160" w:line="276"/>
        <w:jc w:val="both"/>
      </w:pPr>
      <w:r>
        <w:rPr>
          <w:rFonts w:ascii="Times New Roman" w:cs="Times New Roman" w:eastAsia="Times New Roman" w:hAnsi="Times New Roman"/>
          <w:sz w:val="22"/>
          <w:szCs w:val="22"/>
        </w:rPr>
        <w:t xml:space="preserve">This report presents the findings of a commissioned data analysis of Spain's Spotify Top 50 playlist, covering 555 days of daily observations from May 2024 through November 2025. The objective was to move beyond surface-level popularity metrics and build a structured understanding of how songs enter, survive, peak, and exit Spain's most visible streaming playlist — intelligence that Atlantic Recording Corporation can use to make better release and marketing decisions in the Spanish market.</w:t>
      </w:r>
    </w:p>
    <w:p>
      <w:pPr>
        <w:pBdr>
          <w:bottom w:val="single" w:color="2E4057" w:sz="6"/>
        </w:pBdr>
        <w:spacing w:after="100" w:before="280"/>
      </w:pPr>
      <w:r>
        <w:rPr>
          <w:rFonts w:ascii="Times New Roman" w:cs="Times New Roman" w:eastAsia="Times New Roman" w:hAnsi="Times New Roman"/>
          <w:b/>
          <w:bCs/>
          <w:color w:val="2E4057"/>
          <w:sz w:val="22"/>
          <w:szCs w:val="22"/>
        </w:rPr>
        <w:t xml:space="preserve">WHAT WAS ANALYZED</w:t>
      </w:r>
    </w:p>
    <w:p>
      <w:pPr>
        <w:spacing w:after="160" w:line="276"/>
        <w:jc w:val="both"/>
      </w:pPr>
      <w:r>
        <w:rPr>
          <w:rFonts w:ascii="Times New Roman" w:cs="Times New Roman" w:eastAsia="Times New Roman" w:hAnsi="Times New Roman"/>
          <w:sz w:val="22"/>
          <w:szCs w:val="22"/>
        </w:rPr>
        <w:t xml:space="preserve">The analysis covered 27,750 daily playlist observations, 545 unique songs, and 306 artists. For each song, a lifecycle profile was constructed capturing when it entered the playlist, when it exited, how long it stayed, how quickly it reached its best rank, and which stage of its lifecycle it occupied. Six key performance indicators were then computed to quantify market behavior at scale.</w:t>
      </w:r>
    </w:p>
    <w:p>
      <w:pPr>
        <w:spacing w:after="120"/>
      </w:pPr>
      <w:r>
        <w:t xml:space="preserve"/>
      </w:r>
    </w:p>
    <w:p>
      <w:pPr>
        <w:spacing w:after="80"/>
      </w:pPr>
      <w:r>
        <w:rPr>
          <w:rFonts w:ascii="Times New Roman" w:cs="Times New Roman" w:eastAsia="Times New Roman" w:hAnsi="Times New Roman"/>
          <w:b/>
          <w:bCs/>
          <w:color w:val="2E4057"/>
          <w:sz w:val="22"/>
          <w:szCs w:val="22"/>
        </w:rPr>
        <w:t xml:space="preserve">Key Performance Indicators at a Glance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5%"/>
            <w:shd w:fill="2E4057" w:val="clear"/>
          </w:tcPr>
          <w:p>
            <w:r>
              <w:rPr>
                <w:rFonts w:ascii="Times New Roman" w:cs="Times New Roman" w:eastAsia="Times New Roman" w:hAnsi="Times New Roman"/>
                <w:b/>
                <w:bCs/>
                <w:color w:val="FFFFFF"/>
                <w:sz w:val="22"/>
                <w:szCs w:val="22"/>
              </w:rPr>
              <w:t xml:space="preserve">Indicator</w:t>
            </w:r>
          </w:p>
        </w:tc>
        <w:tc>
          <w:tcPr>
            <w:tcW w:type="pct" w:w="20%"/>
            <w:shd w:fill="2E4057" w:val="clear"/>
          </w:tcPr>
          <w:p>
            <w:pPr>
              <w:jc w:val="center"/>
            </w:pPr>
            <w:r>
              <w:rPr>
                <w:rFonts w:ascii="Times New Roman" w:cs="Times New Roman" w:eastAsia="Times New Roman" w:hAnsi="Times New Roman"/>
                <w:b/>
                <w:bCs/>
                <w:color w:val="FFFFFF"/>
                <w:sz w:val="22"/>
                <w:szCs w:val="22"/>
              </w:rPr>
              <w:t xml:space="preserve">Value</w:t>
            </w:r>
          </w:p>
        </w:tc>
        <w:tc>
          <w:tcPr>
            <w:tcW w:type="pct" w:w="45%"/>
            <w:shd w:fill="2E4057" w:val="clear"/>
          </w:tcPr>
          <w:p>
            <w:r>
              <w:rPr>
                <w:rFonts w:ascii="Times New Roman" w:cs="Times New Roman" w:eastAsia="Times New Roman" w:hAnsi="Times New Roman"/>
                <w:b/>
                <w:bCs/>
                <w:color w:val="FFFFFF"/>
                <w:sz w:val="22"/>
                <w:szCs w:val="22"/>
              </w:rPr>
              <w:t xml:space="preserve">What It Means</w:t>
            </w:r>
          </w:p>
        </w:tc>
      </w:tr>
      <w:tr>
        <w:tc>
          <w:tcPr>
            <w:tcW w:type="pct" w:w="35%"/>
            <w:shd w:fill="EEF2F7" w:val="clear"/>
          </w:tcPr>
          <w:p>
            <w:r>
              <w:rPr>
                <w:rFonts w:ascii="Times New Roman" w:cs="Times New Roman" w:eastAsia="Times New Roman" w:hAnsi="Times New Roman"/>
                <w:b/>
                <w:bCs/>
                <w:sz w:val="22"/>
                <w:szCs w:val="22"/>
              </w:rPr>
              <w:t xml:space="preserve">Average Days on Playlist</w:t>
            </w:r>
          </w:p>
        </w:tc>
        <w:tc>
          <w:tcPr>
            <w:tcW w:type="pct" w:w="20%"/>
            <w:shd w:fill="FFFFFF" w:val="clear"/>
          </w:tcPr>
          <w:p>
            <w:pPr>
              <w:jc w:val="center"/>
            </w:pPr>
            <w:r>
              <w:rPr>
                <w:rFonts w:ascii="Times New Roman" w:cs="Times New Roman" w:eastAsia="Times New Roman" w:hAnsi="Times New Roman"/>
                <w:b/>
                <w:bCs/>
                <w:color w:val="2E4057"/>
                <w:sz w:val="22"/>
                <w:szCs w:val="22"/>
              </w:rPr>
              <w:t xml:space="preserve">50.9 days</w:t>
            </w:r>
          </w:p>
        </w:tc>
        <w:tc>
          <w:tcPr>
            <w:tcW w:type="pct" w:w="45%"/>
          </w:tcPr>
          <w:p>
            <w:r>
              <w:rPr>
                <w:rFonts w:ascii="Times New Roman" w:cs="Times New Roman" w:eastAsia="Times New Roman" w:hAnsi="Times New Roman"/>
                <w:sz w:val="20"/>
                <w:szCs w:val="20"/>
              </w:rPr>
              <w:t xml:space="preserve">Typical song lifecycle length in Spain</w:t>
            </w:r>
          </w:p>
        </w:tc>
      </w:tr>
      <w:tr>
        <w:tc>
          <w:tcPr>
            <w:tcW w:type="pct" w:w="35%"/>
            <w:shd w:fill="EEF2F7" w:val="clear"/>
          </w:tcPr>
          <w:p>
            <w:r>
              <w:rPr>
                <w:rFonts w:ascii="Times New Roman" w:cs="Times New Roman" w:eastAsia="Times New Roman" w:hAnsi="Times New Roman"/>
                <w:b/>
                <w:bCs/>
                <w:sz w:val="22"/>
                <w:szCs w:val="22"/>
              </w:rPr>
              <w:t xml:space="preserve">Average Time to Peak</w:t>
            </w:r>
          </w:p>
        </w:tc>
        <w:tc>
          <w:tcPr>
            <w:tcW w:type="pct" w:w="20%"/>
            <w:shd w:fill="FFFFFF" w:val="clear"/>
          </w:tcPr>
          <w:p>
            <w:pPr>
              <w:jc w:val="center"/>
            </w:pPr>
            <w:r>
              <w:rPr>
                <w:rFonts w:ascii="Times New Roman" w:cs="Times New Roman" w:eastAsia="Times New Roman" w:hAnsi="Times New Roman"/>
                <w:b/>
                <w:bCs/>
                <w:color w:val="2E4057"/>
                <w:sz w:val="22"/>
                <w:szCs w:val="22"/>
              </w:rPr>
              <w:t xml:space="preserve">10.3 days</w:t>
            </w:r>
          </w:p>
        </w:tc>
        <w:tc>
          <w:tcPr>
            <w:tcW w:type="pct" w:w="45%"/>
          </w:tcPr>
          <w:p>
            <w:r>
              <w:rPr>
                <w:rFonts w:ascii="Times New Roman" w:cs="Times New Roman" w:eastAsia="Times New Roman" w:hAnsi="Times New Roman"/>
                <w:sz w:val="20"/>
                <w:szCs w:val="20"/>
              </w:rPr>
              <w:t xml:space="preserve">Songs reach best rank within ~2 weeks</w:t>
            </w:r>
          </w:p>
        </w:tc>
      </w:tr>
      <w:tr>
        <w:tc>
          <w:tcPr>
            <w:tcW w:type="pct" w:w="35%"/>
            <w:shd w:fill="EEF2F7" w:val="clear"/>
          </w:tcPr>
          <w:p>
            <w:r>
              <w:rPr>
                <w:rFonts w:ascii="Times New Roman" w:cs="Times New Roman" w:eastAsia="Times New Roman" w:hAnsi="Times New Roman"/>
                <w:b/>
                <w:bCs/>
                <w:sz w:val="22"/>
                <w:szCs w:val="22"/>
              </w:rPr>
              <w:t xml:space="preserve">Daily Churn Rate</w:t>
            </w:r>
          </w:p>
        </w:tc>
        <w:tc>
          <w:tcPr>
            <w:tcW w:type="pct" w:w="20%"/>
            <w:shd w:fill="FFFFFF" w:val="clear"/>
          </w:tcPr>
          <w:p>
            <w:pPr>
              <w:jc w:val="center"/>
            </w:pPr>
            <w:r>
              <w:rPr>
                <w:rFonts w:ascii="Times New Roman" w:cs="Times New Roman" w:eastAsia="Times New Roman" w:hAnsi="Times New Roman"/>
                <w:b/>
                <w:bCs/>
                <w:color w:val="2E4057"/>
                <w:sz w:val="22"/>
                <w:szCs w:val="22"/>
              </w:rPr>
              <w:t xml:space="preserve">1.7 songs/day</w:t>
            </w:r>
          </w:p>
        </w:tc>
        <w:tc>
          <w:tcPr>
            <w:tcW w:type="pct" w:w="45%"/>
          </w:tcPr>
          <w:p>
            <w:r>
              <w:rPr>
                <w:rFonts w:ascii="Times New Roman" w:cs="Times New Roman" w:eastAsia="Times New Roman" w:hAnsi="Times New Roman"/>
                <w:sz w:val="20"/>
                <w:szCs w:val="20"/>
              </w:rPr>
              <w:t xml:space="preserve">Spain replaces songs faster than US/UK markets</w:t>
            </w:r>
          </w:p>
        </w:tc>
      </w:tr>
      <w:tr>
        <w:tc>
          <w:tcPr>
            <w:tcW w:type="pct" w:w="35%"/>
            <w:shd w:fill="EEF2F7" w:val="clear"/>
          </w:tcPr>
          <w:p>
            <w:r>
              <w:rPr>
                <w:rFonts w:ascii="Times New Roman" w:cs="Times New Roman" w:eastAsia="Times New Roman" w:hAnsi="Times New Roman"/>
                <w:b/>
                <w:bCs/>
                <w:sz w:val="22"/>
                <w:szCs w:val="22"/>
              </w:rPr>
              <w:t xml:space="preserve">Singles vs Album Tracks</w:t>
            </w:r>
          </w:p>
        </w:tc>
        <w:tc>
          <w:tcPr>
            <w:tcW w:type="pct" w:w="20%"/>
            <w:shd w:fill="FFFFFF" w:val="clear"/>
          </w:tcPr>
          <w:p>
            <w:pPr>
              <w:jc w:val="center"/>
            </w:pPr>
            <w:r>
              <w:rPr>
                <w:rFonts w:ascii="Times New Roman" w:cs="Times New Roman" w:eastAsia="Times New Roman" w:hAnsi="Times New Roman"/>
                <w:b/>
                <w:bCs/>
                <w:color w:val="2E4057"/>
                <w:sz w:val="22"/>
                <w:szCs w:val="22"/>
              </w:rPr>
              <w:t xml:space="preserve">64.2 vs 37.1 days</w:t>
            </w:r>
          </w:p>
        </w:tc>
        <w:tc>
          <w:tcPr>
            <w:tcW w:type="pct" w:w="45%"/>
          </w:tcPr>
          <w:p>
            <w:r>
              <w:rPr>
                <w:rFonts w:ascii="Times New Roman" w:cs="Times New Roman" w:eastAsia="Times New Roman" w:hAnsi="Times New Roman"/>
                <w:sz w:val="20"/>
                <w:szCs w:val="20"/>
              </w:rPr>
              <w:t xml:space="preserve">Singles last nearly twice as long</w:t>
            </w:r>
          </w:p>
        </w:tc>
      </w:tr>
      <w:tr>
        <w:tc>
          <w:tcPr>
            <w:tcW w:type="pct" w:w="35%"/>
            <w:shd w:fill="EEF2F7" w:val="clear"/>
          </w:tcPr>
          <w:p>
            <w:r>
              <w:rPr>
                <w:rFonts w:ascii="Times New Roman" w:cs="Times New Roman" w:eastAsia="Times New Roman" w:hAnsi="Times New Roman"/>
                <w:b/>
                <w:bCs/>
                <w:sz w:val="22"/>
                <w:szCs w:val="22"/>
              </w:rPr>
              <w:t xml:space="preserve">Clean vs Explicit Content</w:t>
            </w:r>
          </w:p>
        </w:tc>
        <w:tc>
          <w:tcPr>
            <w:tcW w:type="pct" w:w="20%"/>
            <w:shd w:fill="FFFFFF" w:val="clear"/>
          </w:tcPr>
          <w:p>
            <w:pPr>
              <w:jc w:val="center"/>
            </w:pPr>
            <w:r>
              <w:rPr>
                <w:rFonts w:ascii="Times New Roman" w:cs="Times New Roman" w:eastAsia="Times New Roman" w:hAnsi="Times New Roman"/>
                <w:b/>
                <w:bCs/>
                <w:color w:val="2E4057"/>
                <w:sz w:val="22"/>
                <w:szCs w:val="22"/>
              </w:rPr>
              <w:t xml:space="preserve">53.5 vs 47.6 days</w:t>
            </w:r>
          </w:p>
        </w:tc>
        <w:tc>
          <w:tcPr>
            <w:tcW w:type="pct" w:w="45%"/>
          </w:tcPr>
          <w:p>
            <w:r>
              <w:rPr>
                <w:rFonts w:ascii="Times New Roman" w:cs="Times New Roman" w:eastAsia="Times New Roman" w:hAnsi="Times New Roman"/>
                <w:sz w:val="20"/>
                <w:szCs w:val="20"/>
              </w:rPr>
              <w:t xml:space="preserve">Clean tracks survive ~6 days longer</w:t>
            </w:r>
          </w:p>
        </w:tc>
      </w:tr>
      <w:tr>
        <w:tc>
          <w:tcPr>
            <w:tcW w:type="pct" w:w="35%"/>
            <w:shd w:fill="EEF2F7" w:val="clear"/>
          </w:tcPr>
          <w:p>
            <w:r>
              <w:rPr>
                <w:rFonts w:ascii="Times New Roman" w:cs="Times New Roman" w:eastAsia="Times New Roman" w:hAnsi="Times New Roman"/>
                <w:b/>
                <w:bCs/>
                <w:sz w:val="22"/>
                <w:szCs w:val="22"/>
              </w:rPr>
              <w:t xml:space="preserve">Optimal Track Duration</w:t>
            </w:r>
          </w:p>
        </w:tc>
        <w:tc>
          <w:tcPr>
            <w:tcW w:type="pct" w:w="20%"/>
            <w:shd w:fill="FFFFFF" w:val="clear"/>
          </w:tcPr>
          <w:p>
            <w:pPr>
              <w:jc w:val="center"/>
            </w:pPr>
            <w:r>
              <w:rPr>
                <w:rFonts w:ascii="Times New Roman" w:cs="Times New Roman" w:eastAsia="Times New Roman" w:hAnsi="Times New Roman"/>
                <w:b/>
                <w:bCs/>
                <w:color w:val="2E4057"/>
                <w:sz w:val="22"/>
                <w:szCs w:val="22"/>
              </w:rPr>
              <w:t xml:space="preserve">3–4 minutes: 56.5 days</w:t>
            </w:r>
          </w:p>
        </w:tc>
        <w:tc>
          <w:tcPr>
            <w:tcW w:type="pct" w:w="45%"/>
          </w:tcPr>
          <w:p>
            <w:r>
              <w:rPr>
                <w:rFonts w:ascii="Times New Roman" w:cs="Times New Roman" w:eastAsia="Times New Roman" w:hAnsi="Times New Roman"/>
                <w:sz w:val="20"/>
                <w:szCs w:val="20"/>
              </w:rPr>
              <w:t xml:space="preserve">Short tracks (&lt;2 min) exit in just 14 days</w:t>
            </w:r>
          </w:p>
        </w:tc>
      </w:tr>
    </w:tbl>
    <w:p>
      <w:pPr>
        <w:spacing w:after="120"/>
      </w:pPr>
      <w:r>
        <w:t xml:space="preserve"/>
      </w:r>
    </w:p>
    <w:p>
      <w:pPr>
        <w:pBdr>
          <w:bottom w:val="single" w:color="2E4057" w:sz="6"/>
        </w:pBdr>
        <w:spacing w:after="100" w:before="280"/>
      </w:pPr>
      <w:r>
        <w:rPr>
          <w:rFonts w:ascii="Times New Roman" w:cs="Times New Roman" w:eastAsia="Times New Roman" w:hAnsi="Times New Roman"/>
          <w:b/>
          <w:bCs/>
          <w:color w:val="2E4057"/>
          <w:sz w:val="22"/>
          <w:szCs w:val="22"/>
        </w:rPr>
        <w:t xml:space="preserve">KEY FINDINGS</w:t>
      </w:r>
    </w:p>
    <w:p>
      <w:pPr>
        <w:spacing w:after="120" w:line="276"/>
        <w:ind w:left="576" w:hanging="288"/>
        <w:jc w:val="both"/>
      </w:pPr>
      <w:r>
        <w:rPr>
          <w:rFonts w:ascii="Times New Roman" w:cs="Times New Roman" w:eastAsia="Times New Roman" w:hAnsi="Times New Roman"/>
          <w:b/>
          <w:bCs/>
          <w:sz w:val="22"/>
          <w:szCs w:val="22"/>
        </w:rPr>
        <w:t xml:space="preserve">01.  </w:t>
      </w:r>
      <w:r>
        <w:rPr>
          <w:rFonts w:ascii="Times New Roman" w:cs="Times New Roman" w:eastAsia="Times New Roman" w:hAnsi="Times New Roman"/>
          <w:sz w:val="22"/>
          <w:szCs w:val="22"/>
        </w:rPr>
        <w:t xml:space="preserve">Spain is a high-rotation market. Nearly 40% of all songs that enter the Top 50 exit within seven days. The playlist is not a stable ranking — it is an actively managed, fast-moving surface where new content constantly displaces older material.</w:t>
      </w:r>
    </w:p>
    <w:p>
      <w:pPr>
        <w:spacing w:after="120" w:line="276"/>
        <w:ind w:left="576" w:hanging="288"/>
        <w:jc w:val="both"/>
      </w:pPr>
      <w:r>
        <w:rPr>
          <w:rFonts w:ascii="Times New Roman" w:cs="Times New Roman" w:eastAsia="Times New Roman" w:hAnsi="Times New Roman"/>
          <w:b/>
          <w:bCs/>
          <w:sz w:val="22"/>
          <w:szCs w:val="22"/>
        </w:rPr>
        <w:t xml:space="preserve">02.  </w:t>
      </w:r>
      <w:r>
        <w:rPr>
          <w:rFonts w:ascii="Times New Roman" w:cs="Times New Roman" w:eastAsia="Times New Roman" w:hAnsi="Times New Roman"/>
          <w:sz w:val="22"/>
          <w:szCs w:val="22"/>
        </w:rPr>
        <w:t xml:space="preserve">Songs peak fast. The average song reaches its best playlist position in just 10.3 days. Marketing campaigns that spread investment evenly over weeks are wasting resources after the critical window has already closed.</w:t>
      </w:r>
    </w:p>
    <w:p>
      <w:pPr>
        <w:spacing w:after="120" w:line="276"/>
        <w:ind w:left="576" w:hanging="288"/>
        <w:jc w:val="both"/>
      </w:pPr>
      <w:r>
        <w:rPr>
          <w:rFonts w:ascii="Times New Roman" w:cs="Times New Roman" w:eastAsia="Times New Roman" w:hAnsi="Times New Roman"/>
          <w:b/>
          <w:bCs/>
          <w:sz w:val="22"/>
          <w:szCs w:val="22"/>
        </w:rPr>
        <w:t xml:space="preserve">03.  </w:t>
      </w:r>
      <w:r>
        <w:rPr>
          <w:rFonts w:ascii="Times New Roman" w:cs="Times New Roman" w:eastAsia="Times New Roman" w:hAnsi="Times New Roman"/>
          <w:sz w:val="22"/>
          <w:szCs w:val="22"/>
        </w:rPr>
        <w:t xml:space="preserve">Singles dramatically outlast album tracks. Songs released as singles stay on the playlist for an average of 64.2 days, compared to 37.1 days for album tracks — a difference of 27 days, or nearly a month of additional streaming exposure.</w:t>
      </w:r>
    </w:p>
    <w:p>
      <w:pPr>
        <w:spacing w:after="120" w:line="276"/>
        <w:ind w:left="576" w:hanging="288"/>
        <w:jc w:val="both"/>
      </w:pPr>
      <w:r>
        <w:rPr>
          <w:rFonts w:ascii="Times New Roman" w:cs="Times New Roman" w:eastAsia="Times New Roman" w:hAnsi="Times New Roman"/>
          <w:b/>
          <w:bCs/>
          <w:sz w:val="22"/>
          <w:szCs w:val="22"/>
        </w:rPr>
        <w:t xml:space="preserve">04.  </w:t>
      </w:r>
      <w:r>
        <w:rPr>
          <w:rFonts w:ascii="Times New Roman" w:cs="Times New Roman" w:eastAsia="Times New Roman" w:hAnsi="Times New Roman"/>
          <w:sz w:val="22"/>
          <w:szCs w:val="22"/>
        </w:rPr>
        <w:t xml:space="preserve">Clean content lasts longer. Tracks without explicit content averaged 53.5 days on the playlist versus 47.6 days for explicit tracks. At catalog scale, this six-day difference translates to measurable additional streaming revenue per release.</w:t>
      </w:r>
    </w:p>
    <w:p>
      <w:pPr>
        <w:spacing w:after="120" w:line="276"/>
        <w:ind w:left="576" w:hanging="288"/>
        <w:jc w:val="both"/>
      </w:pPr>
      <w:r>
        <w:rPr>
          <w:rFonts w:ascii="Times New Roman" w:cs="Times New Roman" w:eastAsia="Times New Roman" w:hAnsi="Times New Roman"/>
          <w:b/>
          <w:bCs/>
          <w:sz w:val="22"/>
          <w:szCs w:val="22"/>
        </w:rPr>
        <w:t xml:space="preserve">05.  </w:t>
      </w:r>
      <w:r>
        <w:rPr>
          <w:rFonts w:ascii="Times New Roman" w:cs="Times New Roman" w:eastAsia="Times New Roman" w:hAnsi="Times New Roman"/>
          <w:sz w:val="22"/>
          <w:szCs w:val="22"/>
        </w:rPr>
        <w:t xml:space="preserve">Track length matters. Songs in the 3 to 4 minute range achieved the highest average retention at 56.5 days. Songs under two minutes collapsed to just 14.1 days — a four-fold difference driven purely by duration.</w:t>
      </w:r>
    </w:p>
    <w:p>
      <w:pPr>
        <w:spacing w:after="120" w:line="276"/>
        <w:ind w:left="576" w:hanging="288"/>
        <w:jc w:val="both"/>
      </w:pPr>
      <w:r>
        <w:rPr>
          <w:rFonts w:ascii="Times New Roman" w:cs="Times New Roman" w:eastAsia="Times New Roman" w:hAnsi="Times New Roman"/>
          <w:b/>
          <w:bCs/>
          <w:sz w:val="22"/>
          <w:szCs w:val="22"/>
        </w:rPr>
        <w:t xml:space="preserve">06.  </w:t>
      </w:r>
      <w:r>
        <w:rPr>
          <w:rFonts w:ascii="Times New Roman" w:cs="Times New Roman" w:eastAsia="Times New Roman" w:hAnsi="Times New Roman"/>
          <w:sz w:val="22"/>
          <w:szCs w:val="22"/>
        </w:rPr>
        <w:t xml:space="preserve">Latin genre tracks dominate long-term survival. The ten longest-surviving songs in the dataset are all Latin or reggaeton genre tracks, with La Bachata by Manuel Turizo holding the record at 538 consecutive days on the playlist.</w:t>
      </w:r>
    </w:p>
    <w:p>
      <w:pPr>
        <w:pBdr>
          <w:bottom w:val="single" w:color="2E4057" w:sz="6"/>
        </w:pBdr>
        <w:spacing w:after="100" w:before="280"/>
      </w:pPr>
      <w:r>
        <w:rPr>
          <w:rFonts w:ascii="Times New Roman" w:cs="Times New Roman" w:eastAsia="Times New Roman" w:hAnsi="Times New Roman"/>
          <w:b/>
          <w:bCs/>
          <w:color w:val="2E4057"/>
          <w:sz w:val="22"/>
          <w:szCs w:val="22"/>
        </w:rPr>
        <w:t xml:space="preserve">STRATEGIC RECOMMENDATIONS</w:t>
      </w:r>
    </w:p>
    <w:p>
      <w:pPr>
        <w:spacing w:after="160" w:line="276"/>
        <w:jc w:val="both"/>
      </w:pPr>
      <w:r>
        <w:rPr>
          <w:rFonts w:ascii="Times New Roman" w:cs="Times New Roman" w:eastAsia="Times New Roman" w:hAnsi="Times New Roman"/>
          <w:sz w:val="22"/>
          <w:szCs w:val="22"/>
        </w:rPr>
        <w:t xml:space="preserve">Based on these findings, the following adjustments are recommended for Atlantic Recording Corporation's Spain market strategy:</w:t>
      </w:r>
    </w:p>
    <w:p>
      <w:pPr>
        <w:spacing w:after="120"/>
      </w:pPr>
      <w:r>
        <w:t xml:space="preserve"/>
      </w:r>
    </w:p>
    <w:p>
      <w:pPr>
        <w:spacing w:after="120" w:line="276"/>
        <w:ind w:left="576" w:hanging="288"/>
        <w:jc w:val="both"/>
      </w:pPr>
      <w:r>
        <w:rPr>
          <w:rFonts w:ascii="Times New Roman" w:cs="Times New Roman" w:eastAsia="Times New Roman" w:hAnsi="Times New Roman"/>
          <w:b/>
          <w:bCs/>
          <w:sz w:val="22"/>
          <w:szCs w:val="22"/>
        </w:rPr>
        <w:t xml:space="preserve">1.  </w:t>
      </w:r>
      <w:r>
        <w:rPr>
          <w:rFonts w:ascii="Times New Roman" w:cs="Times New Roman" w:eastAsia="Times New Roman" w:hAnsi="Times New Roman"/>
          <w:sz w:val="22"/>
          <w:szCs w:val="22"/>
        </w:rPr>
        <w:t xml:space="preserve">Adopt a singles-first release strategy for Spain. Given the 1.73x longevity advantage, standalone singles should precede album releases in Spanish market rollouts.</w:t>
      </w:r>
    </w:p>
    <w:p>
      <w:pPr>
        <w:spacing w:after="120" w:line="276"/>
        <w:ind w:left="576" w:hanging="288"/>
        <w:jc w:val="both"/>
      </w:pPr>
      <w:r>
        <w:rPr>
          <w:rFonts w:ascii="Times New Roman" w:cs="Times New Roman" w:eastAsia="Times New Roman" w:hAnsi="Times New Roman"/>
          <w:b/>
          <w:bCs/>
          <w:sz w:val="22"/>
          <w:szCs w:val="22"/>
        </w:rPr>
        <w:t xml:space="preserve">2.  </w:t>
      </w:r>
      <w:r>
        <w:rPr>
          <w:rFonts w:ascii="Times New Roman" w:cs="Times New Roman" w:eastAsia="Times New Roman" w:hAnsi="Times New Roman"/>
          <w:sz w:val="22"/>
          <w:szCs w:val="22"/>
        </w:rPr>
        <w:t xml:space="preserve">Concentrate promotional spend in the first ten days post-release. The 10.3-day average time to peak defines the critical marketing window. Resources deployed beyond day fourteen have diminishing impact on peak position.</w:t>
      </w:r>
    </w:p>
    <w:p>
      <w:pPr>
        <w:spacing w:after="120" w:line="276"/>
        <w:ind w:left="576" w:hanging="288"/>
        <w:jc w:val="both"/>
      </w:pPr>
      <w:r>
        <w:rPr>
          <w:rFonts w:ascii="Times New Roman" w:cs="Times New Roman" w:eastAsia="Times New Roman" w:hAnsi="Times New Roman"/>
          <w:b/>
          <w:bCs/>
          <w:sz w:val="22"/>
          <w:szCs w:val="22"/>
        </w:rPr>
        <w:t xml:space="preserve">3.  </w:t>
      </w:r>
      <w:r>
        <w:rPr>
          <w:rFonts w:ascii="Times New Roman" w:cs="Times New Roman" w:eastAsia="Times New Roman" w:hAnsi="Times New Roman"/>
          <w:sz w:val="22"/>
          <w:szCs w:val="22"/>
        </w:rPr>
        <w:t xml:space="preserve">Release clean edits alongside explicit versions for Spain-targeted campaigns. The production cost of a clean edit is justified by the consistent six-day retention advantage observed across the dataset.</w:t>
      </w:r>
    </w:p>
    <w:p>
      <w:pPr>
        <w:spacing w:after="120" w:line="276"/>
        <w:ind w:left="576" w:hanging="288"/>
        <w:jc w:val="both"/>
      </w:pPr>
      <w:r>
        <w:rPr>
          <w:rFonts w:ascii="Times New Roman" w:cs="Times New Roman" w:eastAsia="Times New Roman" w:hAnsi="Times New Roman"/>
          <w:b/>
          <w:bCs/>
          <w:sz w:val="22"/>
          <w:szCs w:val="22"/>
        </w:rPr>
        <w:t xml:space="preserve">4.  </w:t>
      </w:r>
      <w:r>
        <w:rPr>
          <w:rFonts w:ascii="Times New Roman" w:cs="Times New Roman" w:eastAsia="Times New Roman" w:hAnsi="Times New Roman"/>
          <w:sz w:val="22"/>
          <w:szCs w:val="22"/>
        </w:rPr>
        <w:t xml:space="preserve">Target 3–4 minute track durations for Spain-specific edits. Tracks under two minutes show a statistically significant drop in retention and should be avoided for the Spanish market where possible.</w:t>
      </w:r>
    </w:p>
    <w:p>
      <w:pPr>
        <w:spacing w:after="120" w:line="276"/>
        <w:ind w:left="576" w:hanging="288"/>
        <w:jc w:val="both"/>
      </w:pPr>
      <w:r>
        <w:rPr>
          <w:rFonts w:ascii="Times New Roman" w:cs="Times New Roman" w:eastAsia="Times New Roman" w:hAnsi="Times New Roman"/>
          <w:b/>
          <w:bCs/>
          <w:sz w:val="22"/>
          <w:szCs w:val="22"/>
        </w:rPr>
        <w:t xml:space="preserve">5.  </w:t>
      </w:r>
      <w:r>
        <w:rPr>
          <w:rFonts w:ascii="Times New Roman" w:cs="Times New Roman" w:eastAsia="Times New Roman" w:hAnsi="Times New Roman"/>
          <w:sz w:val="22"/>
          <w:szCs w:val="22"/>
        </w:rPr>
        <w:t xml:space="preserve">Invest in Latin and reggaeton genre collaborations. Genre alignment with local taste is the strongest predictor of long-term playlist survival in Spain and should be a deliberate strategic lever, not an incidental outcome.</w:t>
      </w:r>
    </w:p>
    <w:p>
      <w:pPr>
        <w:pBdr>
          <w:bottom w:val="single" w:color="2E4057" w:sz="6"/>
        </w:pBdr>
        <w:spacing w:after="100" w:before="280"/>
      </w:pPr>
      <w:r>
        <w:rPr>
          <w:rFonts w:ascii="Times New Roman" w:cs="Times New Roman" w:eastAsia="Times New Roman" w:hAnsi="Times New Roman"/>
          <w:b/>
          <w:bCs/>
          <w:color w:val="2E4057"/>
          <w:sz w:val="22"/>
          <w:szCs w:val="22"/>
        </w:rPr>
        <w:t xml:space="preserve">CLOSING NOTE</w:t>
      </w:r>
    </w:p>
    <w:p>
      <w:pPr>
        <w:spacing w:after="160" w:line="276"/>
        <w:jc w:val="both"/>
      </w:pPr>
      <w:r>
        <w:rPr>
          <w:rFonts w:ascii="Times New Roman" w:cs="Times New Roman" w:eastAsia="Times New Roman" w:hAnsi="Times New Roman"/>
          <w:sz w:val="22"/>
          <w:szCs w:val="22"/>
        </w:rPr>
        <w:t xml:space="preserve">The findings in this report are derived entirely from observed playlist data — not estimates, not benchmarks from other markets, and not assumptions about listener behavior. Every recommendation above is grounded in a specific, measurable finding from 27,750 days of Spain's Spotify Top 50 data. This report is accompanied by an interactive Power BI dashboard that allows Atlantic's team to explore these findings by lifecycle stage, date range, and content type.</w:t>
      </w:r>
    </w:p>
    <w:p>
      <w:pPr>
        <w:spacing w:after="120"/>
      </w:pPr>
      <w:r>
        <w:t xml:space="preserve"/>
      </w:r>
    </w:p>
    <w:p>
      <w:pPr>
        <w:shd w:fill="F0F4F8" w:val="clear"/>
        <w:spacing w:after="0" w:before="200"/>
        <w:jc w:val="center"/>
      </w:pPr>
      <w:r>
        <w:rPr>
          <w:rFonts w:ascii="Times New Roman" w:cs="Times New Roman" w:eastAsia="Times New Roman" w:hAnsi="Times New Roman"/>
          <w:i/>
          <w:iCs/>
          <w:color w:val="555555"/>
          <w:sz w:val="18"/>
          <w:szCs w:val="18"/>
        </w:rPr>
        <w:t xml:space="preserve">For questions or further analysis, contact the Data Analytics Division — Atlantic Recording Corporation</w:t>
      </w:r>
    </w:p>
    <w:sectPr>
      <w:pgSz w:w="12240" w:h="15840" w:orient="portrait"/>
      <w:pgMar w:top="1440" w:right="1584" w:bottom="1440" w:left="158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2026-07-07T10:00:37.097Z</dcterms:created>
  <dcterms:modified xsi:type="dcterms:W3CDTF">2026-07-07T10:00:37.113Z</dcterms:modified>
</cp:coreProperties>
</file>

<file path=docProps/custom.xml><?xml version="1.0" encoding="utf-8"?>
<Properties xmlns="http://schemas.openxmlformats.org/officeDocument/2006/custom-properties" xmlns:vt="http://schemas.openxmlformats.org/officeDocument/2006/docPropsVTypes"/>
</file>