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C7A4" w14:textId="77777777" w:rsidR="00B21495" w:rsidRDefault="00000000">
      <w:pPr>
        <w:pStyle w:val="Heading1"/>
        <w:jc w:val="center"/>
      </w:pPr>
      <w:r>
        <w:t>Data Analyst Intern Assessment – Analysis &amp; Insights</w:t>
      </w:r>
    </w:p>
    <w:p w14:paraId="2075CED3" w14:textId="77777777" w:rsidR="00B21495" w:rsidRDefault="00000000">
      <w:pPr>
        <w:jc w:val="center"/>
      </w:pPr>
      <w:r>
        <w:t>Candidate Submission</w:t>
      </w:r>
      <w:r>
        <w:br/>
      </w:r>
    </w:p>
    <w:p w14:paraId="628C2BDF" w14:textId="77777777" w:rsidR="00B21495" w:rsidRDefault="00000000">
      <w:pPr>
        <w:pStyle w:val="Heading2"/>
      </w:pPr>
      <w:r>
        <w:t>1. Data Cleaning &amp; Preparation</w:t>
      </w:r>
    </w:p>
    <w:p w14:paraId="367C0532" w14:textId="77777777" w:rsidR="00B21495" w:rsidRDefault="00000000">
      <w:r>
        <w:t>The raw dataset was preserved in its original form and a separate working copy was created for all cleaning and analysis tasks. Missing values were analyzed to distinguish between expected and unexpected gaps. Expected blanks (such as return_reason when no return was initiated) were left unchanged, while unexpected inconsistencies were flagged for review rather than overwritten.</w:t>
      </w:r>
      <w:r>
        <w:br/>
      </w:r>
      <w:r>
        <w:br/>
        <w:t>Duplicate order IDs were examined and confirmed to represent multi-item orders rather than true duplicates. Text and format inconsistencies (for example, delivery status variations) were standardized for accurate grouping. Outliers in quantity and pricing were flagged using logical thresholds. A key issue identified was that discounts were not consistently reflected in the order_total field; therefore, a calculated_order_total was derived and used for revenue-related analysis to preserve data integrity.</w:t>
      </w:r>
    </w:p>
    <w:p w14:paraId="4EE01A51" w14:textId="77777777" w:rsidR="00B21495" w:rsidRDefault="00000000">
      <w:pPr>
        <w:pStyle w:val="Heading2"/>
      </w:pPr>
      <w:r>
        <w:t>2. Data Validation &amp; Quality Checks</w:t>
      </w:r>
    </w:p>
    <w:p w14:paraId="065E7663" w14:textId="77777777" w:rsidR="00B21495" w:rsidRDefault="00000000">
      <w:r>
        <w:t>A structured validation framework was applied to ensure data quality and logical consistency. Order ID formats, customer type values, discount ranges, order date ranges (Q4 2024), payment methods, and warehouse origins were validated against predefined rules.</w:t>
      </w:r>
      <w:r>
        <w:br/>
      </w:r>
      <w:r>
        <w:br/>
        <w:t>Most validation checks passed successfully. Two notable exceptions were identified: (1) a negative quantity value, which was flagged as invalid, and (2) a customer marked as 'New' appearing multiple times in the dataset, indicating an internal consistency issue. In line with best practices, these records were flagged but not reclassified due to the absence of historical customer data.</w:t>
      </w:r>
    </w:p>
    <w:p w14:paraId="70F06916" w14:textId="77777777" w:rsidR="00B21495" w:rsidRDefault="00000000">
      <w:pPr>
        <w:pStyle w:val="Heading2"/>
      </w:pPr>
      <w:r>
        <w:t>3. Data Analysis</w:t>
      </w:r>
    </w:p>
    <w:p w14:paraId="51FC68E0" w14:textId="77777777" w:rsidR="00B21495" w:rsidRDefault="00000000">
      <w:pPr>
        <w:pStyle w:val="Heading3"/>
      </w:pPr>
      <w:r>
        <w:t>3.1 Descriptive Analysis</w:t>
      </w:r>
    </w:p>
    <w:p w14:paraId="5B504B31" w14:textId="77777777" w:rsidR="00B21495" w:rsidRDefault="00000000">
      <w:r>
        <w:t>During Q4 2024, the dataset contains a total of 346 orders and 409 units sold. The Gross Merchandise Value (GMV) is ₹1,023,789, while Net Revenue after discounts is ₹899,609. The Average Order Value (AOV) is ₹2,600. The overall return rate is relatively high at 55%, indicating a significant post-purchase friction.</w:t>
      </w:r>
      <w:r>
        <w:br/>
      </w:r>
      <w:r>
        <w:br/>
        <w:t>Monthly order distribution shows steady demand across October (132 orders), November (93 orders), and December (121 orders), with noticeable seasonality around the festive period.</w:t>
      </w:r>
    </w:p>
    <w:p w14:paraId="32616D45" w14:textId="77777777" w:rsidR="00B21495" w:rsidRDefault="00000000">
      <w:pPr>
        <w:pStyle w:val="Heading3"/>
      </w:pPr>
      <w:r>
        <w:t>3.2 Trend Identification</w:t>
      </w:r>
    </w:p>
    <w:p w14:paraId="5EA9BB11" w14:textId="1F1BA0CD" w:rsidR="00B21495" w:rsidRDefault="00000000">
      <w:r>
        <w:t>Weekly trend analysis reveals a clear increase in order volume during the Diwali period, followed by a rise in return rates approximately 2–3 weeks later. This lag aligns with delivery and customer return timelines.</w:t>
      </w:r>
      <w:r>
        <w:br/>
      </w:r>
      <w:r w:rsidRPr="0024550D">
        <w:rPr>
          <w:b/>
          <w:bCs/>
        </w:rPr>
        <w:lastRenderedPageBreak/>
        <w:br/>
      </w:r>
      <w:r w:rsidR="0024550D" w:rsidRPr="0024550D">
        <w:rPr>
          <w:b/>
          <w:bCs/>
        </w:rPr>
        <w:t>Chart 1: Weekly Orders vs Weekly Return Rate</w:t>
      </w:r>
      <w:r>
        <w:br/>
      </w:r>
      <w:r w:rsidR="00CB1F5C">
        <w:rPr>
          <w:noProof/>
        </w:rPr>
        <w:drawing>
          <wp:inline distT="0" distB="0" distL="0" distR="0" wp14:anchorId="121D4F71" wp14:editId="097D5ED2">
            <wp:extent cx="5486400" cy="3141980"/>
            <wp:effectExtent l="0" t="0" r="0" b="1270"/>
            <wp:docPr id="1504937093" name="Chart 1">
              <a:extLst xmlns:a="http://schemas.openxmlformats.org/drawingml/2006/main">
                <a:ext uri="{FF2B5EF4-FFF2-40B4-BE49-F238E27FC236}">
                  <a16:creationId xmlns:a16="http://schemas.microsoft.com/office/drawing/2014/main" id="{545DEB63-6840-4CC7-A02F-1AAA8E8212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00CB1F5C">
        <w:t xml:space="preserve"> </w:t>
      </w:r>
    </w:p>
    <w:p w14:paraId="13314D30" w14:textId="77777777" w:rsidR="00702EF7" w:rsidRPr="00702EF7" w:rsidRDefault="00702EF7" w:rsidP="00702EF7">
      <w:pPr>
        <w:rPr>
          <w:b/>
          <w:bCs/>
        </w:rPr>
      </w:pPr>
      <w:r w:rsidRPr="00702EF7">
        <w:rPr>
          <w:b/>
          <w:bCs/>
        </w:rPr>
        <w:t>Displays weekly order volumes alongside return rates to observe trends and lag patterns over time.</w:t>
      </w:r>
    </w:p>
    <w:p w14:paraId="389D3804" w14:textId="77777777" w:rsidR="00702EF7" w:rsidRDefault="00702EF7"/>
    <w:p w14:paraId="307A7490" w14:textId="77777777" w:rsidR="00B21495" w:rsidRDefault="00000000">
      <w:pPr>
        <w:pStyle w:val="Heading3"/>
      </w:pPr>
      <w:r>
        <w:t>3.3 Segmentation Analysis</w:t>
      </w:r>
    </w:p>
    <w:p w14:paraId="3419150D" w14:textId="77777777" w:rsidR="0024550D" w:rsidRDefault="00000000">
      <w:r>
        <w:t>Customer Type:</w:t>
      </w:r>
      <w:r>
        <w:br/>
        <w:t>New customers account for 270 orders with a return rate of 58%, while returning customers place 76 orders with a lower return rate of 44%. Although new customers contribute higher volume, returning customers generate more stable demand with fewer returns.</w:t>
      </w:r>
      <w:r>
        <w:br/>
      </w:r>
      <w:r>
        <w:br/>
        <w:t>Order Source:</w:t>
      </w:r>
      <w:r>
        <w:br/>
        <w:t>Instagram Shop shows the highest return rate at 68%, compared to Mobile App (56%) and Website (42%). This suggests that discovery-driven channels may attract customers with lower purchase intent.</w:t>
      </w:r>
      <w:r>
        <w:br/>
      </w:r>
      <w:r>
        <w:br/>
        <w:t>Payment Mode:</w:t>
      </w:r>
      <w:r>
        <w:br/>
        <w:t>COD orders exhibit significantly higher return (83%) and RTO (25%) rates compared to prepaid orders, which show lower operational risk.</w:t>
      </w:r>
      <w:r>
        <w:br/>
      </w:r>
      <w:r>
        <w:br/>
        <w:t>Product Category:</w:t>
      </w:r>
      <w:r>
        <w:br/>
        <w:t xml:space="preserve">Order volumes are evenly distributed across categories; however, return rates vary sharply. Outerwear has the highest return rate (80%) with substantial order volume, making it the largest </w:t>
      </w:r>
      <w:r>
        <w:lastRenderedPageBreak/>
        <w:t>contributor to overall returns. Dresses (67%) and Tops (64%) also show elevated return behavior, while Accessories have a relatively low return rate (25%).</w:t>
      </w:r>
    </w:p>
    <w:p w14:paraId="7052ECB9" w14:textId="50C1C115" w:rsidR="00702EF7" w:rsidRDefault="00000000">
      <w:r w:rsidRPr="0024550D">
        <w:rPr>
          <w:b/>
          <w:bCs/>
        </w:rPr>
        <w:br/>
      </w:r>
      <w:r w:rsidR="0024550D" w:rsidRPr="0024550D">
        <w:rPr>
          <w:b/>
          <w:bCs/>
        </w:rPr>
        <w:t>Chart 2: Return Rate by Product Category</w:t>
      </w:r>
      <w:r>
        <w:br/>
      </w:r>
      <w:r w:rsidR="00CB1F5C">
        <w:rPr>
          <w:noProof/>
        </w:rPr>
        <w:drawing>
          <wp:inline distT="0" distB="0" distL="0" distR="0" wp14:anchorId="03A52716" wp14:editId="593ED0AE">
            <wp:extent cx="5814060" cy="3161665"/>
            <wp:effectExtent l="0" t="0" r="15240" b="635"/>
            <wp:docPr id="1317678068" name="Chart 1">
              <a:extLst xmlns:a="http://schemas.openxmlformats.org/drawingml/2006/main">
                <a:ext uri="{FF2B5EF4-FFF2-40B4-BE49-F238E27FC236}">
                  <a16:creationId xmlns:a16="http://schemas.microsoft.com/office/drawing/2014/main" id="{C06CA531-F37E-445C-B151-3F6D89B09D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49907F0" w14:textId="106C6BAB" w:rsidR="00702EF7" w:rsidRPr="00702EF7" w:rsidRDefault="00702EF7">
      <w:pPr>
        <w:rPr>
          <w:b/>
          <w:bCs/>
        </w:rPr>
      </w:pPr>
      <w:r w:rsidRPr="00702EF7">
        <w:rPr>
          <w:b/>
          <w:bCs/>
        </w:rPr>
        <w:t>Compares return rates across different product categories to identify categories with higher return risk.</w:t>
      </w:r>
    </w:p>
    <w:p w14:paraId="2BC5972B" w14:textId="55CBCB03" w:rsidR="00702EF7" w:rsidRDefault="00702EF7">
      <w:r w:rsidRPr="00702EF7">
        <w:t>Return rates vary significantly across product categories despite similar order volumes. Outerwear exhibits the highest return rate, making it the largest contributor to overall returns, while Accessories show comparatively stable post-purchase behavior.</w:t>
      </w:r>
    </w:p>
    <w:p w14:paraId="286679BF" w14:textId="0C809665" w:rsidR="00702EF7" w:rsidRDefault="0024550D">
      <w:r>
        <w:rPr>
          <w:noProof/>
        </w:rPr>
        <w:lastRenderedPageBreak/>
        <w:t xml:space="preserve"> </w:t>
      </w:r>
      <w:r w:rsidRPr="0024550D">
        <w:rPr>
          <w:b/>
          <w:bCs/>
          <w:noProof/>
        </w:rPr>
        <w:t>Chart 3: Return Reasons Breakdown</w:t>
      </w:r>
      <w:r w:rsidR="00702EF7">
        <w:rPr>
          <w:noProof/>
        </w:rPr>
        <w:drawing>
          <wp:inline distT="0" distB="0" distL="0" distR="0" wp14:anchorId="10AA00B5" wp14:editId="5246D164">
            <wp:extent cx="5486400" cy="2680970"/>
            <wp:effectExtent l="0" t="0" r="0" b="5080"/>
            <wp:docPr id="1969590708" name="Chart 1">
              <a:extLst xmlns:a="http://schemas.openxmlformats.org/drawingml/2006/main">
                <a:ext uri="{FF2B5EF4-FFF2-40B4-BE49-F238E27FC236}">
                  <a16:creationId xmlns:a16="http://schemas.microsoft.com/office/drawing/2014/main" id="{8FCDB8FA-71CC-42E4-AB04-2A107A36EBB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5F17D0E" w14:textId="516CE564" w:rsidR="00702EF7" w:rsidRDefault="00702EF7">
      <w:pPr>
        <w:rPr>
          <w:b/>
          <w:bCs/>
        </w:rPr>
      </w:pPr>
      <w:r w:rsidRPr="00702EF7">
        <w:rPr>
          <w:b/>
          <w:bCs/>
        </w:rPr>
        <w:t>Shows the distribution of return reasons to understand the primary causes behind customer returns.</w:t>
      </w:r>
    </w:p>
    <w:p w14:paraId="27EF383A" w14:textId="77777777" w:rsidR="00702EF7" w:rsidRDefault="00702EF7">
      <w:pPr>
        <w:rPr>
          <w:b/>
          <w:bCs/>
        </w:rPr>
      </w:pPr>
    </w:p>
    <w:p w14:paraId="62598572" w14:textId="674CFEFE" w:rsidR="00702EF7" w:rsidRPr="00702EF7" w:rsidRDefault="0024550D">
      <w:pPr>
        <w:rPr>
          <w:b/>
          <w:bCs/>
        </w:rPr>
      </w:pPr>
      <w:r w:rsidRPr="0024550D">
        <w:rPr>
          <w:b/>
          <w:bCs/>
        </w:rPr>
        <w:t>Chart 4: Customer Type × Order Source</w:t>
      </w:r>
    </w:p>
    <w:p w14:paraId="68CA4AE2" w14:textId="77777777" w:rsidR="00CB1F5C" w:rsidRDefault="00CB1F5C">
      <w:r>
        <w:rPr>
          <w:noProof/>
        </w:rPr>
        <w:drawing>
          <wp:inline distT="0" distB="0" distL="0" distR="0" wp14:anchorId="553A8C13" wp14:editId="0D2933C7">
            <wp:extent cx="5486400" cy="2802835"/>
            <wp:effectExtent l="0" t="0" r="0" b="17145"/>
            <wp:docPr id="1856168676" name="Chart 1">
              <a:extLst xmlns:a="http://schemas.openxmlformats.org/drawingml/2006/main">
                <a:ext uri="{FF2B5EF4-FFF2-40B4-BE49-F238E27FC236}">
                  <a16:creationId xmlns:a16="http://schemas.microsoft.com/office/drawing/2014/main" id="{13953D9E-987A-4D9F-9351-95B00D4BD9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351A36D" w14:textId="71BA6B9B" w:rsidR="00702EF7" w:rsidRPr="00702EF7" w:rsidRDefault="00702EF7">
      <w:pPr>
        <w:rPr>
          <w:b/>
          <w:bCs/>
        </w:rPr>
      </w:pPr>
      <w:r w:rsidRPr="00702EF7">
        <w:rPr>
          <w:b/>
          <w:bCs/>
        </w:rPr>
        <w:t>Analyzes return behavior across combinations of customer type and order source.</w:t>
      </w:r>
    </w:p>
    <w:p w14:paraId="64D675AD" w14:textId="18264239" w:rsidR="00B21495" w:rsidRDefault="0024550D">
      <w:r w:rsidRPr="0024550D">
        <w:rPr>
          <w:b/>
          <w:bCs/>
        </w:rPr>
        <w:lastRenderedPageBreak/>
        <w:t>C</w:t>
      </w:r>
      <w:r w:rsidRPr="0024550D">
        <w:rPr>
          <w:b/>
          <w:bCs/>
        </w:rPr>
        <w:t>hart 5: COD vs Prepaid – Return &amp; RTO Rates</w:t>
      </w:r>
      <w:r w:rsidR="00000000">
        <w:br/>
      </w:r>
      <w:r w:rsidR="00CB1F5C">
        <w:rPr>
          <w:noProof/>
        </w:rPr>
        <w:drawing>
          <wp:inline distT="0" distB="0" distL="0" distR="0" wp14:anchorId="42B02ACD" wp14:editId="24A6928D">
            <wp:extent cx="5486400" cy="1904365"/>
            <wp:effectExtent l="0" t="0" r="0" b="635"/>
            <wp:docPr id="1571267854" name="Chart 1">
              <a:extLst xmlns:a="http://schemas.openxmlformats.org/drawingml/2006/main">
                <a:ext uri="{FF2B5EF4-FFF2-40B4-BE49-F238E27FC236}">
                  <a16:creationId xmlns:a16="http://schemas.microsoft.com/office/drawing/2014/main" id="{787C1A21-37E8-410F-B8BE-2626C05E62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AB70FBF" w14:textId="6874E6D3" w:rsidR="00702EF7" w:rsidRPr="00702EF7" w:rsidRDefault="00702EF7">
      <w:pPr>
        <w:rPr>
          <w:b/>
          <w:bCs/>
        </w:rPr>
      </w:pPr>
      <w:r w:rsidRPr="00702EF7">
        <w:rPr>
          <w:b/>
          <w:bCs/>
        </w:rPr>
        <w:t>Compares return and RTO rates between COD and prepaid payment modes.</w:t>
      </w:r>
    </w:p>
    <w:p w14:paraId="126D64FD" w14:textId="77777777" w:rsidR="00B21495" w:rsidRDefault="00000000">
      <w:pPr>
        <w:pStyle w:val="Heading3"/>
      </w:pPr>
      <w:r>
        <w:t>3.4 Key Performance Indicators (KPIs)</w:t>
      </w:r>
    </w:p>
    <w:p w14:paraId="09C7EA0C" w14:textId="77777777" w:rsidR="00B21495" w:rsidRDefault="00000000">
      <w:r>
        <w:t>• Gross Merchandise Value (GMV): ₹1,023,789</w:t>
      </w:r>
      <w:r>
        <w:br/>
        <w:t>• Net Revenue: ₹899,609</w:t>
      </w:r>
      <w:r>
        <w:br/>
        <w:t>• Overall Return Rate: 55%</w:t>
      </w:r>
      <w:r>
        <w:br/>
        <w:t>• RTO Rate: 5%</w:t>
      </w:r>
      <w:r>
        <w:br/>
        <w:t>• Refund Processing Rate: 96%</w:t>
      </w:r>
      <w:r>
        <w:br/>
        <w:t>• First-Time Buyer Return Rate: 58%</w:t>
      </w:r>
      <w:r>
        <w:br/>
        <w:t>• Repeat Buyer Return Rate: 44%</w:t>
      </w:r>
      <w:r>
        <w:br/>
        <w:t>• Fulfillment Split: Mumbai 35%, Delhi 38%, Bangalore 27%</w:t>
      </w:r>
    </w:p>
    <w:p w14:paraId="556A814F" w14:textId="77777777" w:rsidR="00B21495" w:rsidRDefault="00000000">
      <w:pPr>
        <w:pStyle w:val="Heading2"/>
      </w:pPr>
      <w:r>
        <w:t>4. Business Interpretation &amp; Recommendations</w:t>
      </w:r>
    </w:p>
    <w:p w14:paraId="71EFA151" w14:textId="77777777" w:rsidR="00B21495" w:rsidRDefault="00000000">
      <w:r>
        <w:t>The elevated overall return rate is primarily driven by new customers, COD orders, and apparel-heavy categories such as Outerwear, Dresses, and Tops. High discount periods further amplify low-intent purchases, leading to increased returns.</w:t>
      </w:r>
      <w:r>
        <w:br/>
      </w:r>
      <w:r>
        <w:br/>
        <w:t>Recommended actions include improving size and fit guidance for high-return categories, optimizing product presentation and targeting on Instagram Shop, and encouraging prepaid payments through incentives to reduce RTO risk.</w:t>
      </w:r>
      <w:r>
        <w:br/>
      </w:r>
      <w:r>
        <w:br/>
        <w:t>To validate these findings, controlled experiments such as A/B testing enhanced size charts or reduced discounts for high-risk segments should be conducted. Limitations of this analysis include the absence of historical customer data and SKU-level cost information.</w:t>
      </w:r>
    </w:p>
    <w:sectPr w:rsidR="00B21495" w:rsidSect="00FA3A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6193472">
    <w:abstractNumId w:val="8"/>
  </w:num>
  <w:num w:numId="2" w16cid:durableId="235091613">
    <w:abstractNumId w:val="6"/>
  </w:num>
  <w:num w:numId="3" w16cid:durableId="38602022">
    <w:abstractNumId w:val="5"/>
  </w:num>
  <w:num w:numId="4" w16cid:durableId="237178291">
    <w:abstractNumId w:val="4"/>
  </w:num>
  <w:num w:numId="5" w16cid:durableId="1722361411">
    <w:abstractNumId w:val="7"/>
  </w:num>
  <w:num w:numId="6" w16cid:durableId="606735456">
    <w:abstractNumId w:val="3"/>
  </w:num>
  <w:num w:numId="7" w16cid:durableId="1407723352">
    <w:abstractNumId w:val="2"/>
  </w:num>
  <w:num w:numId="8" w16cid:durableId="1530028443">
    <w:abstractNumId w:val="1"/>
  </w:num>
  <w:num w:numId="9" w16cid:durableId="144010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50D"/>
    <w:rsid w:val="0029639D"/>
    <w:rsid w:val="00326F90"/>
    <w:rsid w:val="00702EF7"/>
    <w:rsid w:val="007139EA"/>
    <w:rsid w:val="00AA1D8D"/>
    <w:rsid w:val="00B21495"/>
    <w:rsid w:val="00B47730"/>
    <w:rsid w:val="00CB0664"/>
    <w:rsid w:val="00CB1F5C"/>
    <w:rsid w:val="00FA3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44F8F"/>
  <w14:defaultImageDpi w14:val="300"/>
  <w15:docId w15:val="{52A75BA5-B03C-4130-A83A-E74BA2EE2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purple_merit%20_Assessment\Data%20Analyst%20Intern_SAI_TEJA_CHANDAKA%20_February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ELL\Desktop\purple_merit%20_Assessment\Data%20Analyst%20Intern_SAI_TEJA_CHANDAKA%20_February202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ELL\Desktop\purple_merit%20_Assessment\Data%20Analyst%20Intern_SAI_TEJA_CHANDAKA%20_February2026.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ELL\Desktop\purple_merit%20_Assessment\Data%20Analyst%20Intern_SAI_TEJA_CHANDAKA%20_February2026.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ELL\Desktop\purple_merit%20_Assessment\Data%20Analyst%20Intern_SAI_TEJA_CHANDAKA%20_February2026.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t>Return Rates increased 2-3 weeks after Diwali sales</a:t>
            </a:r>
            <a:r>
              <a:rPr lang="en-US" b="1" baseline="0"/>
              <a:t> Spike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dLbls>
          <c:showLegendKey val="0"/>
          <c:showVal val="0"/>
          <c:showCatName val="0"/>
          <c:showSerName val="0"/>
          <c:showPercent val="0"/>
          <c:showBubbleSize val="0"/>
        </c:dLbls>
        <c:gapWidth val="219"/>
        <c:overlap val="-27"/>
        <c:axId val="477794528"/>
        <c:axId val="477795008"/>
        <c:extLst>
          <c:ext xmlns:c15="http://schemas.microsoft.com/office/drawing/2012/chart" uri="{02D57815-91ED-43cb-92C2-25804820EDAC}">
            <c15:filteredBarSeries>
              <c15:ser>
                <c:idx val="1"/>
                <c:order val="1"/>
                <c:tx>
                  <c:strRef>
                    <c:extLst>
                      <c:ext uri="{02D57815-91ED-43cb-92C2-25804820EDAC}">
                        <c15:formulaRef>
                          <c15:sqref>Analysis_1!$C$25</c15:sqref>
                        </c15:formulaRef>
                      </c:ext>
                    </c:extLst>
                    <c:strCache>
                      <c:ptCount val="1"/>
                      <c:pt idx="0">
                        <c:v>Avg Discount %</c:v>
                      </c:pt>
                    </c:strCache>
                  </c:strRef>
                </c:tx>
                <c:spPr>
                  <a:solidFill>
                    <a:schemeClr val="accent2"/>
                  </a:solidFill>
                  <a:ln>
                    <a:noFill/>
                  </a:ln>
                  <a:effectLst/>
                </c:spPr>
                <c:invertIfNegative val="0"/>
                <c:cat>
                  <c:strRef>
                    <c:extLst>
                      <c:ext uri="{02D57815-91ED-43cb-92C2-25804820EDAC}">
                        <c15:formulaRef>
                          <c15:sqref>Analysis_1!$A$26:$A$39</c15:sqref>
                        </c15:formulaRef>
                      </c:ext>
                    </c:extLst>
                    <c:strCache>
                      <c:ptCount val="14"/>
                      <c:pt idx="0">
                        <c:v>2024-40</c:v>
                      </c:pt>
                      <c:pt idx="1">
                        <c:v>2024-41</c:v>
                      </c:pt>
                      <c:pt idx="2">
                        <c:v>2024-42</c:v>
                      </c:pt>
                      <c:pt idx="3">
                        <c:v>2024-43</c:v>
                      </c:pt>
                      <c:pt idx="4">
                        <c:v>2024-44</c:v>
                      </c:pt>
                      <c:pt idx="5">
                        <c:v>2024-45</c:v>
                      </c:pt>
                      <c:pt idx="6">
                        <c:v>2024-46</c:v>
                      </c:pt>
                      <c:pt idx="7">
                        <c:v>2024-47</c:v>
                      </c:pt>
                      <c:pt idx="8">
                        <c:v>2024-48</c:v>
                      </c:pt>
                      <c:pt idx="9">
                        <c:v>2024-49</c:v>
                      </c:pt>
                      <c:pt idx="10">
                        <c:v>2024-50</c:v>
                      </c:pt>
                      <c:pt idx="11">
                        <c:v>2024-51</c:v>
                      </c:pt>
                      <c:pt idx="12">
                        <c:v>2024-52</c:v>
                      </c:pt>
                      <c:pt idx="13">
                        <c:v>2024-53</c:v>
                      </c:pt>
                    </c:strCache>
                  </c:strRef>
                </c:cat>
                <c:val>
                  <c:numRef>
                    <c:extLst>
                      <c:ext uri="{02D57815-91ED-43cb-92C2-25804820EDAC}">
                        <c15:formulaRef>
                          <c15:sqref>Analysis_1!$C$26:$C$39</c15:sqref>
                        </c15:formulaRef>
                      </c:ext>
                    </c:extLst>
                    <c:numCache>
                      <c:formatCode>0.0</c:formatCode>
                      <c:ptCount val="14"/>
                      <c:pt idx="0">
                        <c:v>5.6521739130434785</c:v>
                      </c:pt>
                      <c:pt idx="1">
                        <c:v>4.4827586206896548</c:v>
                      </c:pt>
                      <c:pt idx="2">
                        <c:v>5</c:v>
                      </c:pt>
                      <c:pt idx="3">
                        <c:v>5.8928571428571432</c:v>
                      </c:pt>
                      <c:pt idx="4">
                        <c:v>36.875</c:v>
                      </c:pt>
                      <c:pt idx="5">
                        <c:v>21.739130434782609</c:v>
                      </c:pt>
                      <c:pt idx="6">
                        <c:v>3.75</c:v>
                      </c:pt>
                      <c:pt idx="7">
                        <c:v>3.5714285714285716</c:v>
                      </c:pt>
                      <c:pt idx="8">
                        <c:v>3.5714285714285716</c:v>
                      </c:pt>
                      <c:pt idx="9">
                        <c:v>10</c:v>
                      </c:pt>
                      <c:pt idx="10">
                        <c:v>6.4285714285714288</c:v>
                      </c:pt>
                      <c:pt idx="11">
                        <c:v>6.4285714285714288</c:v>
                      </c:pt>
                      <c:pt idx="12">
                        <c:v>7.1428571428571432</c:v>
                      </c:pt>
                      <c:pt idx="13">
                        <c:v>6.666666666666667</c:v>
                      </c:pt>
                    </c:numCache>
                  </c:numRef>
                </c:val>
                <c:extLst>
                  <c:ext xmlns:c16="http://schemas.microsoft.com/office/drawing/2014/chart" uri="{C3380CC4-5D6E-409C-BE32-E72D297353CC}">
                    <c16:uniqueId val="{00000002-73BD-4147-86F3-0A80599515EB}"/>
                  </c:ext>
                </c:extLst>
              </c15:ser>
            </c15:filteredBarSeries>
          </c:ext>
        </c:extLst>
      </c:barChart>
      <c:lineChart>
        <c:grouping val="standard"/>
        <c:varyColors val="0"/>
        <c:ser>
          <c:idx val="0"/>
          <c:order val="0"/>
          <c:tx>
            <c:strRef>
              <c:f>Analysis_1!$B$25</c:f>
              <c:strCache>
                <c:ptCount val="1"/>
                <c:pt idx="0">
                  <c:v>Weekly Orders</c:v>
                </c:pt>
              </c:strCache>
            </c:strRef>
          </c:tx>
          <c:spPr>
            <a:ln w="28575" cap="rnd">
              <a:solidFill>
                <a:schemeClr val="accent1">
                  <a:lumMod val="75000"/>
                </a:schemeClr>
              </a:solidFill>
              <a:round/>
            </a:ln>
            <a:effectLst/>
          </c:spPr>
          <c:marker>
            <c:symbol val="none"/>
          </c:marker>
          <c:cat>
            <c:strRef>
              <c:f>Analysis_1!$A$26:$A$39</c:f>
              <c:strCache>
                <c:ptCount val="14"/>
                <c:pt idx="0">
                  <c:v>2024-40</c:v>
                </c:pt>
                <c:pt idx="1">
                  <c:v>2024-41</c:v>
                </c:pt>
                <c:pt idx="2">
                  <c:v>2024-42</c:v>
                </c:pt>
                <c:pt idx="3">
                  <c:v>2024-43</c:v>
                </c:pt>
                <c:pt idx="4">
                  <c:v>2024-44</c:v>
                </c:pt>
                <c:pt idx="5">
                  <c:v>2024-45</c:v>
                </c:pt>
                <c:pt idx="6">
                  <c:v>2024-46</c:v>
                </c:pt>
                <c:pt idx="7">
                  <c:v>2024-47</c:v>
                </c:pt>
                <c:pt idx="8">
                  <c:v>2024-48</c:v>
                </c:pt>
                <c:pt idx="9">
                  <c:v>2024-49</c:v>
                </c:pt>
                <c:pt idx="10">
                  <c:v>2024-50</c:v>
                </c:pt>
                <c:pt idx="11">
                  <c:v>2024-51</c:v>
                </c:pt>
                <c:pt idx="12">
                  <c:v>2024-52</c:v>
                </c:pt>
                <c:pt idx="13">
                  <c:v>2024-53</c:v>
                </c:pt>
              </c:strCache>
            </c:strRef>
          </c:cat>
          <c:val>
            <c:numRef>
              <c:f>Analysis_1!$B$26:$B$39</c:f>
              <c:numCache>
                <c:formatCode>General</c:formatCode>
                <c:ptCount val="14"/>
                <c:pt idx="0">
                  <c:v>23</c:v>
                </c:pt>
                <c:pt idx="1">
                  <c:v>29</c:v>
                </c:pt>
                <c:pt idx="2">
                  <c:v>28</c:v>
                </c:pt>
                <c:pt idx="3">
                  <c:v>28</c:v>
                </c:pt>
                <c:pt idx="4">
                  <c:v>32</c:v>
                </c:pt>
                <c:pt idx="5">
                  <c:v>23</c:v>
                </c:pt>
                <c:pt idx="6">
                  <c:v>20</c:v>
                </c:pt>
                <c:pt idx="7">
                  <c:v>21</c:v>
                </c:pt>
                <c:pt idx="8">
                  <c:v>21</c:v>
                </c:pt>
                <c:pt idx="9">
                  <c:v>28</c:v>
                </c:pt>
                <c:pt idx="10">
                  <c:v>28</c:v>
                </c:pt>
                <c:pt idx="11">
                  <c:v>28</c:v>
                </c:pt>
                <c:pt idx="12">
                  <c:v>28</c:v>
                </c:pt>
                <c:pt idx="13">
                  <c:v>9</c:v>
                </c:pt>
              </c:numCache>
            </c:numRef>
          </c:val>
          <c:smooth val="0"/>
          <c:extLst>
            <c:ext xmlns:c16="http://schemas.microsoft.com/office/drawing/2014/chart" uri="{C3380CC4-5D6E-409C-BE32-E72D297353CC}">
              <c16:uniqueId val="{00000000-73BD-4147-86F3-0A80599515EB}"/>
            </c:ext>
          </c:extLst>
        </c:ser>
        <c:dLbls>
          <c:showLegendKey val="0"/>
          <c:showVal val="0"/>
          <c:showCatName val="0"/>
          <c:showSerName val="0"/>
          <c:showPercent val="0"/>
          <c:showBubbleSize val="0"/>
        </c:dLbls>
        <c:marker val="1"/>
        <c:smooth val="0"/>
        <c:axId val="477794528"/>
        <c:axId val="477795008"/>
      </c:lineChart>
      <c:lineChart>
        <c:grouping val="standard"/>
        <c:varyColors val="0"/>
        <c:ser>
          <c:idx val="2"/>
          <c:order val="2"/>
          <c:tx>
            <c:strRef>
              <c:f>Analysis_1!$D$25</c:f>
              <c:strCache>
                <c:ptCount val="1"/>
                <c:pt idx="0">
                  <c:v>Weekly Return Rate</c:v>
                </c:pt>
              </c:strCache>
            </c:strRef>
          </c:tx>
          <c:spPr>
            <a:ln w="28575" cap="rnd">
              <a:solidFill>
                <a:schemeClr val="accent1">
                  <a:lumMod val="40000"/>
                  <a:lumOff val="60000"/>
                </a:schemeClr>
              </a:solidFill>
              <a:round/>
            </a:ln>
            <a:effectLst>
              <a:softEdge rad="0"/>
            </a:effectLst>
          </c:spPr>
          <c:marker>
            <c:symbol val="none"/>
          </c:marker>
          <c:cat>
            <c:strRef>
              <c:f>Analysis_1!$A$26:$A$39</c:f>
              <c:strCache>
                <c:ptCount val="14"/>
                <c:pt idx="0">
                  <c:v>2024-40</c:v>
                </c:pt>
                <c:pt idx="1">
                  <c:v>2024-41</c:v>
                </c:pt>
                <c:pt idx="2">
                  <c:v>2024-42</c:v>
                </c:pt>
                <c:pt idx="3">
                  <c:v>2024-43</c:v>
                </c:pt>
                <c:pt idx="4">
                  <c:v>2024-44</c:v>
                </c:pt>
                <c:pt idx="5">
                  <c:v>2024-45</c:v>
                </c:pt>
                <c:pt idx="6">
                  <c:v>2024-46</c:v>
                </c:pt>
                <c:pt idx="7">
                  <c:v>2024-47</c:v>
                </c:pt>
                <c:pt idx="8">
                  <c:v>2024-48</c:v>
                </c:pt>
                <c:pt idx="9">
                  <c:v>2024-49</c:v>
                </c:pt>
                <c:pt idx="10">
                  <c:v>2024-50</c:v>
                </c:pt>
                <c:pt idx="11">
                  <c:v>2024-51</c:v>
                </c:pt>
                <c:pt idx="12">
                  <c:v>2024-52</c:v>
                </c:pt>
                <c:pt idx="13">
                  <c:v>2024-53</c:v>
                </c:pt>
              </c:strCache>
            </c:strRef>
          </c:cat>
          <c:val>
            <c:numRef>
              <c:f>Analysis_1!$D$26:$D$39</c:f>
              <c:numCache>
                <c:formatCode>0%</c:formatCode>
                <c:ptCount val="14"/>
                <c:pt idx="0">
                  <c:v>0.24574669187145559</c:v>
                </c:pt>
                <c:pt idx="1">
                  <c:v>0.15457788347205706</c:v>
                </c:pt>
                <c:pt idx="2">
                  <c:v>0.17857142857142858</c:v>
                </c:pt>
                <c:pt idx="3">
                  <c:v>0.21045918367346941</c:v>
                </c:pt>
                <c:pt idx="4">
                  <c:v>1.15234375</c:v>
                </c:pt>
                <c:pt idx="5">
                  <c:v>0.94517958412098302</c:v>
                </c:pt>
                <c:pt idx="6">
                  <c:v>0.1875</c:v>
                </c:pt>
                <c:pt idx="7">
                  <c:v>0.17006802721088438</c:v>
                </c:pt>
                <c:pt idx="8">
                  <c:v>0.17006802721088438</c:v>
                </c:pt>
                <c:pt idx="9">
                  <c:v>0.35714285714285715</c:v>
                </c:pt>
                <c:pt idx="10">
                  <c:v>0.22959183673469388</c:v>
                </c:pt>
                <c:pt idx="11">
                  <c:v>0.22959183673469388</c:v>
                </c:pt>
                <c:pt idx="12">
                  <c:v>0.25510204081632654</c:v>
                </c:pt>
                <c:pt idx="13">
                  <c:v>0.74074074074074081</c:v>
                </c:pt>
              </c:numCache>
            </c:numRef>
          </c:val>
          <c:smooth val="0"/>
          <c:extLst>
            <c:ext xmlns:c16="http://schemas.microsoft.com/office/drawing/2014/chart" uri="{C3380CC4-5D6E-409C-BE32-E72D297353CC}">
              <c16:uniqueId val="{00000001-73BD-4147-86F3-0A80599515EB}"/>
            </c:ext>
          </c:extLst>
        </c:ser>
        <c:dLbls>
          <c:showLegendKey val="0"/>
          <c:showVal val="0"/>
          <c:showCatName val="0"/>
          <c:showSerName val="0"/>
          <c:showPercent val="0"/>
          <c:showBubbleSize val="0"/>
        </c:dLbls>
        <c:marker val="1"/>
        <c:smooth val="0"/>
        <c:axId val="215036400"/>
        <c:axId val="215034960"/>
      </c:lineChart>
      <c:dateAx>
        <c:axId val="4777945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Order week</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795008"/>
        <c:crosses val="autoZero"/>
        <c:auto val="0"/>
        <c:lblOffset val="100"/>
        <c:baseTimeUnit val="days"/>
        <c:majorUnit val="2"/>
      </c:dateAx>
      <c:valAx>
        <c:axId val="4777950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Orders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7794528"/>
        <c:crosses val="autoZero"/>
        <c:crossBetween val="between"/>
      </c:valAx>
      <c:valAx>
        <c:axId val="215034960"/>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 Retrn</a:t>
                </a:r>
                <a:r>
                  <a:rPr lang="en-US" b="1" baseline="0"/>
                  <a:t> Rate</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5036400"/>
        <c:crosses val="max"/>
        <c:crossBetween val="between"/>
      </c:valAx>
      <c:catAx>
        <c:axId val="215036400"/>
        <c:scaling>
          <c:orientation val="minMax"/>
        </c:scaling>
        <c:delete val="1"/>
        <c:axPos val="b"/>
        <c:numFmt formatCode="General" sourceLinked="1"/>
        <c:majorTickMark val="out"/>
        <c:minorTickMark val="none"/>
        <c:tickLblPos val="nextTo"/>
        <c:crossAx val="215034960"/>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Analyst Intern_SAI_TEJA_CHANDAKA _February2026.xlsx]Analysis_2!PivotTable9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Which category</a:t>
            </a:r>
            <a:r>
              <a:rPr lang="en-US" baseline="0"/>
              <a:t> has the highest Return Rate?</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Analysis_2!$Q$4</c:f>
              <c:strCache>
                <c:ptCount val="1"/>
                <c:pt idx="0">
                  <c:v>Total</c:v>
                </c:pt>
              </c:strCache>
            </c:strRef>
          </c:tx>
          <c:spPr>
            <a:solidFill>
              <a:schemeClr val="accent1"/>
            </a:solidFill>
            <a:ln>
              <a:noFill/>
            </a:ln>
            <a:effectLst/>
          </c:spPr>
          <c:invertIfNegative val="0"/>
          <c:cat>
            <c:strRef>
              <c:f>Analysis_2!$P$5:$P$10</c:f>
              <c:strCache>
                <c:ptCount val="5"/>
                <c:pt idx="0">
                  <c:v>Accessories</c:v>
                </c:pt>
                <c:pt idx="1">
                  <c:v>Bottoms</c:v>
                </c:pt>
                <c:pt idx="2">
                  <c:v>Outerwear</c:v>
                </c:pt>
                <c:pt idx="3">
                  <c:v>Dresses</c:v>
                </c:pt>
                <c:pt idx="4">
                  <c:v>Tops</c:v>
                </c:pt>
              </c:strCache>
            </c:strRef>
          </c:cat>
          <c:val>
            <c:numRef>
              <c:f>Analysis_2!$Q$5:$Q$10</c:f>
              <c:numCache>
                <c:formatCode>General</c:formatCode>
                <c:ptCount val="5"/>
                <c:pt idx="0">
                  <c:v>68</c:v>
                </c:pt>
                <c:pt idx="1">
                  <c:v>67</c:v>
                </c:pt>
                <c:pt idx="2">
                  <c:v>68</c:v>
                </c:pt>
                <c:pt idx="3">
                  <c:v>70</c:v>
                </c:pt>
                <c:pt idx="4">
                  <c:v>73</c:v>
                </c:pt>
              </c:numCache>
            </c:numRef>
          </c:val>
          <c:extLst>
            <c:ext xmlns:c16="http://schemas.microsoft.com/office/drawing/2014/chart" uri="{C3380CC4-5D6E-409C-BE32-E72D297353CC}">
              <c16:uniqueId val="{00000000-20E1-46B9-BF15-C063CD27B3A5}"/>
            </c:ext>
          </c:extLst>
        </c:ser>
        <c:dLbls>
          <c:showLegendKey val="0"/>
          <c:showVal val="0"/>
          <c:showCatName val="0"/>
          <c:showSerName val="0"/>
          <c:showPercent val="0"/>
          <c:showBubbleSize val="0"/>
        </c:dLbls>
        <c:gapWidth val="219"/>
        <c:overlap val="-27"/>
        <c:axId val="298668640"/>
        <c:axId val="298670080"/>
      </c:barChart>
      <c:catAx>
        <c:axId val="298668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Product</a:t>
                </a:r>
                <a:r>
                  <a:rPr lang="en-US" b="1" baseline="0"/>
                  <a:t> Category</a:t>
                </a:r>
                <a:endParaRPr lang="en-US"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670080"/>
        <c:crosses val="autoZero"/>
        <c:auto val="1"/>
        <c:lblAlgn val="ctr"/>
        <c:lblOffset val="100"/>
        <c:noMultiLvlLbl val="0"/>
      </c:catAx>
      <c:valAx>
        <c:axId val="29867008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Return Rate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986686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Analyst Intern_SAI_TEJA_CHANDAKA _February2026.xlsx]CHARTS!PivotTable14</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What</a:t>
            </a:r>
            <a:r>
              <a:rPr lang="en-US" b="1" baseline="0"/>
              <a:t> is the Reason orders are getting returned?</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CHARTS!$AK$3</c:f>
              <c:strCache>
                <c:ptCount val="1"/>
                <c:pt idx="0">
                  <c:v>Total</c:v>
                </c:pt>
              </c:strCache>
            </c:strRef>
          </c:tx>
          <c:spPr>
            <a:solidFill>
              <a:schemeClr val="accent1"/>
            </a:solidFill>
            <a:ln w="19050">
              <a:solidFill>
                <a:schemeClr val="lt1"/>
              </a:solidFill>
            </a:ln>
            <a:effectLst/>
          </c:spPr>
          <c:invertIfNegative val="0"/>
          <c:cat>
            <c:strRef>
              <c:f>CHARTS!$AJ$4:$AJ$10</c:f>
              <c:strCache>
                <c:ptCount val="6"/>
                <c:pt idx="0">
                  <c:v>Changed Mind</c:v>
                </c:pt>
                <c:pt idx="1">
                  <c:v>Damaged in Transit</c:v>
                </c:pt>
                <c:pt idx="2">
                  <c:v>Quality Defect</c:v>
                </c:pt>
                <c:pt idx="3">
                  <c:v>Size Issue</c:v>
                </c:pt>
                <c:pt idx="4">
                  <c:v>Wrong Item</c:v>
                </c:pt>
                <c:pt idx="5">
                  <c:v>(blank)</c:v>
                </c:pt>
              </c:strCache>
            </c:strRef>
          </c:cat>
          <c:val>
            <c:numRef>
              <c:f>CHARTS!$AK$4:$AK$10</c:f>
              <c:numCache>
                <c:formatCode>General</c:formatCode>
                <c:ptCount val="6"/>
                <c:pt idx="0">
                  <c:v>29</c:v>
                </c:pt>
                <c:pt idx="1">
                  <c:v>24</c:v>
                </c:pt>
                <c:pt idx="2">
                  <c:v>32</c:v>
                </c:pt>
                <c:pt idx="3">
                  <c:v>67</c:v>
                </c:pt>
                <c:pt idx="4">
                  <c:v>28</c:v>
                </c:pt>
                <c:pt idx="5">
                  <c:v>166</c:v>
                </c:pt>
              </c:numCache>
            </c:numRef>
          </c:val>
          <c:extLst>
            <c:ext xmlns:c16="http://schemas.microsoft.com/office/drawing/2014/chart" uri="{C3380CC4-5D6E-409C-BE32-E72D297353CC}">
              <c16:uniqueId val="{00000000-DD04-4104-9C72-DBA0E3504DC3}"/>
            </c:ext>
          </c:extLst>
        </c:ser>
        <c:dLbls>
          <c:showLegendKey val="0"/>
          <c:showVal val="0"/>
          <c:showCatName val="0"/>
          <c:showSerName val="0"/>
          <c:showPercent val="0"/>
          <c:showBubbleSize val="0"/>
        </c:dLbls>
        <c:gapWidth val="150"/>
        <c:axId val="1152991984"/>
        <c:axId val="1152992464"/>
      </c:barChart>
      <c:catAx>
        <c:axId val="1152991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Return Reason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2992464"/>
        <c:crosses val="autoZero"/>
        <c:auto val="1"/>
        <c:lblAlgn val="ctr"/>
        <c:lblOffset val="100"/>
        <c:noMultiLvlLbl val="0"/>
      </c:catAx>
      <c:valAx>
        <c:axId val="1152992464"/>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Orders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529919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[Data Analyst Intern_SAI_TEJA_CHANDAKA _February2026.xlsx]CHARTS!PivotTable31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t>New Customers from Instagram Have the Highest Return Risk</a:t>
            </a:r>
            <a:r>
              <a:rPr lang="en-US" b="1"/>
              <a:t> Title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lumMod val="7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lumMod val="40000"/>
              <a:lumOff val="6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CHARTS!$AQ$15:$AQ$16</c:f>
              <c:strCache>
                <c:ptCount val="1"/>
                <c:pt idx="0">
                  <c:v>Instagram</c:v>
                </c:pt>
              </c:strCache>
            </c:strRef>
          </c:tx>
          <c:spPr>
            <a:solidFill>
              <a:schemeClr val="accent1"/>
            </a:solidFill>
            <a:ln>
              <a:noFill/>
            </a:ln>
            <a:effectLst/>
          </c:spPr>
          <c:invertIfNegative val="0"/>
          <c:cat>
            <c:strRef>
              <c:f>CHARTS!$AP$17:$AP$19</c:f>
              <c:strCache>
                <c:ptCount val="2"/>
                <c:pt idx="0">
                  <c:v>New </c:v>
                </c:pt>
                <c:pt idx="1">
                  <c:v>Returning </c:v>
                </c:pt>
              </c:strCache>
            </c:strRef>
          </c:cat>
          <c:val>
            <c:numRef>
              <c:f>CHARTS!$AQ$17:$AQ$19</c:f>
              <c:numCache>
                <c:formatCode>0%</c:formatCode>
                <c:ptCount val="2"/>
                <c:pt idx="0">
                  <c:v>0.74117647058823533</c:v>
                </c:pt>
                <c:pt idx="1">
                  <c:v>0.4</c:v>
                </c:pt>
              </c:numCache>
            </c:numRef>
          </c:val>
          <c:extLst>
            <c:ext xmlns:c16="http://schemas.microsoft.com/office/drawing/2014/chart" uri="{C3380CC4-5D6E-409C-BE32-E72D297353CC}">
              <c16:uniqueId val="{00000000-3A1E-46D0-9ECE-176790FA7893}"/>
            </c:ext>
          </c:extLst>
        </c:ser>
        <c:ser>
          <c:idx val="1"/>
          <c:order val="1"/>
          <c:tx>
            <c:strRef>
              <c:f>CHARTS!$AR$15:$AR$16</c:f>
              <c:strCache>
                <c:ptCount val="1"/>
                <c:pt idx="0">
                  <c:v>Mobile app</c:v>
                </c:pt>
              </c:strCache>
            </c:strRef>
          </c:tx>
          <c:spPr>
            <a:solidFill>
              <a:schemeClr val="accent1">
                <a:lumMod val="75000"/>
              </a:schemeClr>
            </a:solidFill>
            <a:ln>
              <a:noFill/>
            </a:ln>
            <a:effectLst/>
          </c:spPr>
          <c:invertIfNegative val="0"/>
          <c:cat>
            <c:strRef>
              <c:f>CHARTS!$AP$17:$AP$19</c:f>
              <c:strCache>
                <c:ptCount val="2"/>
                <c:pt idx="0">
                  <c:v>New </c:v>
                </c:pt>
                <c:pt idx="1">
                  <c:v>Returning </c:v>
                </c:pt>
              </c:strCache>
            </c:strRef>
          </c:cat>
          <c:val>
            <c:numRef>
              <c:f>CHARTS!$AR$17:$AR$19</c:f>
              <c:numCache>
                <c:formatCode>0%</c:formatCode>
                <c:ptCount val="2"/>
                <c:pt idx="0">
                  <c:v>0.5679012345679012</c:v>
                </c:pt>
                <c:pt idx="1">
                  <c:v>0.55555555555555558</c:v>
                </c:pt>
              </c:numCache>
            </c:numRef>
          </c:val>
          <c:extLst>
            <c:ext xmlns:c16="http://schemas.microsoft.com/office/drawing/2014/chart" uri="{C3380CC4-5D6E-409C-BE32-E72D297353CC}">
              <c16:uniqueId val="{00000001-3A1E-46D0-9ECE-176790FA7893}"/>
            </c:ext>
          </c:extLst>
        </c:ser>
        <c:ser>
          <c:idx val="2"/>
          <c:order val="2"/>
          <c:tx>
            <c:strRef>
              <c:f>CHARTS!$AS$15:$AS$16</c:f>
              <c:strCache>
                <c:ptCount val="1"/>
                <c:pt idx="0">
                  <c:v>Website</c:v>
                </c:pt>
              </c:strCache>
            </c:strRef>
          </c:tx>
          <c:spPr>
            <a:solidFill>
              <a:schemeClr val="accent1">
                <a:lumMod val="40000"/>
                <a:lumOff val="60000"/>
              </a:schemeClr>
            </a:solidFill>
            <a:ln>
              <a:noFill/>
            </a:ln>
            <a:effectLst/>
          </c:spPr>
          <c:invertIfNegative val="0"/>
          <c:cat>
            <c:strRef>
              <c:f>CHARTS!$AP$17:$AP$19</c:f>
              <c:strCache>
                <c:ptCount val="2"/>
                <c:pt idx="0">
                  <c:v>New </c:v>
                </c:pt>
                <c:pt idx="1">
                  <c:v>Returning </c:v>
                </c:pt>
              </c:strCache>
            </c:strRef>
          </c:cat>
          <c:val>
            <c:numRef>
              <c:f>CHARTS!$AS$17:$AS$19</c:f>
              <c:numCache>
                <c:formatCode>0%</c:formatCode>
                <c:ptCount val="2"/>
                <c:pt idx="0">
                  <c:v>0.43678160919540232</c:v>
                </c:pt>
                <c:pt idx="1">
                  <c:v>0.35714285714285715</c:v>
                </c:pt>
              </c:numCache>
            </c:numRef>
          </c:val>
          <c:extLst>
            <c:ext xmlns:c16="http://schemas.microsoft.com/office/drawing/2014/chart" uri="{C3380CC4-5D6E-409C-BE32-E72D297353CC}">
              <c16:uniqueId val="{00000002-3A1E-46D0-9ECE-176790FA7893}"/>
            </c:ext>
          </c:extLst>
        </c:ser>
        <c:dLbls>
          <c:showLegendKey val="0"/>
          <c:showVal val="0"/>
          <c:showCatName val="0"/>
          <c:showSerName val="0"/>
          <c:showPercent val="0"/>
          <c:showBubbleSize val="0"/>
        </c:dLbls>
        <c:gapWidth val="219"/>
        <c:overlap val="-27"/>
        <c:axId val="215041200"/>
        <c:axId val="215037840"/>
      </c:barChart>
      <c:catAx>
        <c:axId val="2150412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Customer</a:t>
                </a:r>
                <a:r>
                  <a:rPr lang="en-US" b="1" baseline="0"/>
                  <a:t> Type</a:t>
                </a:r>
                <a:endParaRPr lang="en-US"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5037840"/>
        <c:crosses val="autoZero"/>
        <c:auto val="1"/>
        <c:lblAlgn val="ctr"/>
        <c:lblOffset val="100"/>
        <c:noMultiLvlLbl val="0"/>
      </c:catAx>
      <c:valAx>
        <c:axId val="21503784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b="1"/>
                  <a:t>Return Rate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5041200"/>
        <c:crosses val="autoZero"/>
        <c:crossBetween val="between"/>
      </c:valAx>
      <c:spPr>
        <a:noFill/>
        <a:ln>
          <a:noFill/>
        </a:ln>
        <a:effectLst/>
      </c:spPr>
    </c:plotArea>
    <c:legend>
      <c:legendPos val="r"/>
      <c:layout>
        <c:manualLayout>
          <c:xMode val="edge"/>
          <c:yMode val="edge"/>
          <c:x val="0.84540814653096685"/>
          <c:y val="0.46153931605153437"/>
          <c:w val="0.14386521371844319"/>
          <c:h val="0.15871623272910398"/>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t>COD Orders Have Significantly Higher Return and RTO Rates</a:t>
            </a:r>
            <a:endParaRPr lang="en-US"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Analysis_2!$L$11</c:f>
              <c:strCache>
                <c:ptCount val="1"/>
                <c:pt idx="0">
                  <c:v>COD</c:v>
                </c:pt>
              </c:strCache>
            </c:strRef>
          </c:tx>
          <c:spPr>
            <a:solidFill>
              <a:schemeClr val="accent1"/>
            </a:solidFill>
            <a:ln>
              <a:noFill/>
            </a:ln>
            <a:effectLst/>
          </c:spPr>
          <c:invertIfNegative val="0"/>
          <c:cat>
            <c:strRef>
              <c:f>Analysis_2!$M$10:$N$10</c:f>
              <c:strCache>
                <c:ptCount val="2"/>
                <c:pt idx="0">
                  <c:v>Return Rate (%)</c:v>
                </c:pt>
                <c:pt idx="1">
                  <c:v>RTO Rate</c:v>
                </c:pt>
              </c:strCache>
            </c:strRef>
          </c:cat>
          <c:val>
            <c:numRef>
              <c:f>Analysis_2!$M$11:$N$11</c:f>
              <c:numCache>
                <c:formatCode>0%</c:formatCode>
                <c:ptCount val="2"/>
                <c:pt idx="0">
                  <c:v>0.82608695652173914</c:v>
                </c:pt>
                <c:pt idx="1">
                  <c:v>0.25396825396825395</c:v>
                </c:pt>
              </c:numCache>
            </c:numRef>
          </c:val>
          <c:extLst>
            <c:ext xmlns:c16="http://schemas.microsoft.com/office/drawing/2014/chart" uri="{C3380CC4-5D6E-409C-BE32-E72D297353CC}">
              <c16:uniqueId val="{00000000-F78F-49B7-B40E-073EA0C994C2}"/>
            </c:ext>
          </c:extLst>
        </c:ser>
        <c:ser>
          <c:idx val="1"/>
          <c:order val="1"/>
          <c:tx>
            <c:strRef>
              <c:f>Analysis_2!$L$12</c:f>
              <c:strCache>
                <c:ptCount val="1"/>
                <c:pt idx="0">
                  <c:v>Prepaid</c:v>
                </c:pt>
              </c:strCache>
            </c:strRef>
          </c:tx>
          <c:spPr>
            <a:solidFill>
              <a:schemeClr val="accent1">
                <a:lumMod val="40000"/>
                <a:lumOff val="60000"/>
              </a:schemeClr>
            </a:solidFill>
            <a:ln>
              <a:noFill/>
            </a:ln>
            <a:effectLst/>
          </c:spPr>
          <c:invertIfNegative val="0"/>
          <c:cat>
            <c:strRef>
              <c:f>Analysis_2!$M$10:$N$10</c:f>
              <c:strCache>
                <c:ptCount val="2"/>
                <c:pt idx="0">
                  <c:v>Return Rate (%)</c:v>
                </c:pt>
                <c:pt idx="1">
                  <c:v>RTO Rate</c:v>
                </c:pt>
              </c:strCache>
            </c:strRef>
          </c:cat>
          <c:val>
            <c:numRef>
              <c:f>Analysis_2!$M$12:$N$12</c:f>
              <c:numCache>
                <c:formatCode>0.0%</c:formatCode>
                <c:ptCount val="2"/>
                <c:pt idx="0" formatCode="0%">
                  <c:v>0.50354609929078009</c:v>
                </c:pt>
                <c:pt idx="1">
                  <c:v>3.5335689045936395E-3</c:v>
                </c:pt>
              </c:numCache>
            </c:numRef>
          </c:val>
          <c:extLst>
            <c:ext xmlns:c16="http://schemas.microsoft.com/office/drawing/2014/chart" uri="{C3380CC4-5D6E-409C-BE32-E72D297353CC}">
              <c16:uniqueId val="{00000001-F78F-49B7-B40E-073EA0C994C2}"/>
            </c:ext>
          </c:extLst>
        </c:ser>
        <c:dLbls>
          <c:showLegendKey val="0"/>
          <c:showVal val="0"/>
          <c:showCatName val="0"/>
          <c:showSerName val="0"/>
          <c:showPercent val="0"/>
          <c:showBubbleSize val="0"/>
        </c:dLbls>
        <c:gapWidth val="182"/>
        <c:axId val="1317000000"/>
        <c:axId val="265797584"/>
      </c:barChart>
      <c:catAx>
        <c:axId val="131700000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5797584"/>
        <c:crosses val="autoZero"/>
        <c:auto val="1"/>
        <c:lblAlgn val="ctr"/>
        <c:lblOffset val="100"/>
        <c:noMultiLvlLbl val="0"/>
      </c:catAx>
      <c:valAx>
        <c:axId val="265797584"/>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170000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sai teja</cp:lastModifiedBy>
  <cp:revision>5</cp:revision>
  <dcterms:created xsi:type="dcterms:W3CDTF">2013-12-23T23:15:00Z</dcterms:created>
  <dcterms:modified xsi:type="dcterms:W3CDTF">2026-02-05T04:40:00Z</dcterms:modified>
  <cp:category/>
</cp:coreProperties>
</file>