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80"/>
        <w:jc w:val="center"/>
      </w:pPr>
      <w:r>
        <w:rPr>
          <w:b/>
          <w:color w:val="F97316"/>
          <w:sz w:val="52"/>
        </w:rPr>
        <w:t>INDIAN FOOD TRUCK</w:t>
      </w:r>
    </w:p>
    <w:p>
      <w:pPr>
        <w:spacing w:after="40"/>
        <w:jc w:val="center"/>
      </w:pPr>
      <w:r>
        <w:rPr>
          <w:b/>
          <w:color w:val="1F2A37"/>
          <w:sz w:val="32"/>
        </w:rPr>
        <w:t>Project Handover Document</w:t>
      </w:r>
    </w:p>
    <w:p>
      <w:pPr>
        <w:spacing w:after="960"/>
        <w:jc w:val="center"/>
      </w:pPr>
      <w:r>
        <w:rPr>
          <w:i/>
          <w:color w:val="6B7280"/>
          <w:sz w:val="22"/>
        </w:rPr>
        <w:t>Account Transfer Checklist &amp; Environment Variables</w:t>
      </w:r>
    </w:p>
    <w:p>
      <w:pPr>
        <w:pBdr>
          <w:bottom w:val="single" w:sz="16" w:space="1" w:color="F97316"/>
        </w:pBdr>
        <w:spacing w:before="0"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7ED"/>
            <w:tcBorders>
              <w:top w:val="single" w:sz="4" w:space="0" w:color="F97316"/>
              <w:bottom w:val="single" w:sz="4" w:space="0" w:color="F97316"/>
              <w:left w:val="single" w:sz="12" w:space="0" w:color="F97316"/>
              <w:right w:val="single" w:sz="4" w:space="0" w:color="F97316"/>
            </w:tcBorders>
          </w:tcPr>
          <w:p>
            <w:pPr>
              <w:spacing w:before="80" w:after="80"/>
            </w:pPr>
            <w:r>
              <w:rPr>
                <w:color w:val="924007"/>
                <w:sz w:val="19"/>
              </w:rPr>
              <w:t>IMPORTANT: Complete all transfers in the order listed. Update Vercel environment variables AFTER each account transfer. Test the live site after every change to confirm nothing is broken.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b/>
          <w:color w:val="F97316"/>
          <w:sz w:val="26"/>
        </w:rPr>
        <w:t>PROJECT OVERVIEW</w:t>
      </w:r>
    </w:p>
    <w:p>
      <w:pPr>
        <w:pBdr>
          <w:bottom w:val="single" w:sz="8" w:space="1" w:color="F97316"/>
        </w:pBdr>
        <w:spacing w:before="0"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504"/>
        </w:trPr>
        <w:tc>
          <w:tcPr>
            <w:tcW w:type="dxa" w:w="3024"/>
            <w:shd w:val="clear" w:color="auto" w:fill="1F2A37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024"/>
            <w:shd w:val="clear" w:color="auto" w:fill="1F2A37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024"/>
            <w:shd w:val="clear" w:color="auto" w:fill="1F2A37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Transfer Required?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1F2A37"/>
                <w:sz w:val="19"/>
              </w:rPr>
              <w:t>GitHub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</w:pPr>
            <w:r>
              <w:rPr>
                <w:color w:val="1F2A37"/>
                <w:sz w:val="19"/>
              </w:rPr>
              <w:t>Source code repository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59669"/>
                <w:sz w:val="19"/>
              </w:rPr>
              <w:t>Yes</w:t>
            </w:r>
          </w:p>
        </w:tc>
      </w:tr>
      <w:tr>
        <w:tc>
          <w:tcPr>
            <w:tcW w:type="dxa" w:w="2016"/>
            <w:shd w:val="clear" w:color="auto" w:fill="FFF7ED"/>
          </w:tcPr>
          <w:p>
            <w:pPr>
              <w:spacing w:before="60" w:after="60"/>
            </w:pPr>
            <w:r>
              <w:rPr>
                <w:b/>
                <w:color w:val="1F2A37"/>
                <w:sz w:val="19"/>
              </w:rPr>
              <w:t>Vercel</w:t>
            </w:r>
          </w:p>
        </w:tc>
        <w:tc>
          <w:tcPr>
            <w:tcW w:type="dxa" w:w="4320"/>
            <w:shd w:val="clear" w:color="auto" w:fill="FFF7ED"/>
          </w:tcPr>
          <w:p>
            <w:pPr>
              <w:spacing w:before="60" w:after="60"/>
            </w:pPr>
            <w:r>
              <w:rPr>
                <w:color w:val="1F2A37"/>
                <w:sz w:val="19"/>
              </w:rPr>
              <w:t>Hosting &amp; deployment</w:t>
            </w:r>
          </w:p>
        </w:tc>
        <w:tc>
          <w:tcPr>
            <w:tcW w:type="dxa" w:w="2736"/>
            <w:shd w:val="clear" w:color="auto" w:fill="FFF7ED"/>
          </w:tcPr>
          <w:p>
            <w:pPr>
              <w:spacing w:before="60" w:after="60"/>
            </w:pPr>
            <w:r>
              <w:rPr>
                <w:b/>
                <w:color w:val="059669"/>
                <w:sz w:val="19"/>
              </w:rPr>
              <w:t>Yes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1F2A37"/>
                <w:sz w:val="19"/>
              </w:rPr>
              <w:t>GoDaddy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</w:pPr>
            <w:r>
              <w:rPr>
                <w:color w:val="1F2A37"/>
                <w:sz w:val="19"/>
              </w:rPr>
              <w:t>Domain name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59669"/>
                <w:sz w:val="19"/>
              </w:rPr>
              <w:t>Yes</w:t>
            </w:r>
          </w:p>
        </w:tc>
      </w:tr>
      <w:tr>
        <w:tc>
          <w:tcPr>
            <w:tcW w:type="dxa" w:w="2016"/>
            <w:shd w:val="clear" w:color="auto" w:fill="FFF7ED"/>
          </w:tcPr>
          <w:p>
            <w:pPr>
              <w:spacing w:before="60" w:after="60"/>
            </w:pPr>
            <w:r>
              <w:rPr>
                <w:b/>
                <w:color w:val="1F2A37"/>
                <w:sz w:val="19"/>
              </w:rPr>
              <w:t>Supabase</w:t>
            </w:r>
          </w:p>
        </w:tc>
        <w:tc>
          <w:tcPr>
            <w:tcW w:type="dxa" w:w="4320"/>
            <w:shd w:val="clear" w:color="auto" w:fill="FFF7ED"/>
          </w:tcPr>
          <w:p>
            <w:pPr>
              <w:spacing w:before="60" w:after="60"/>
            </w:pPr>
            <w:r>
              <w:rPr>
                <w:color w:val="1F2A37"/>
                <w:sz w:val="19"/>
              </w:rPr>
              <w:t>PostgreSQL database</w:t>
            </w:r>
          </w:p>
        </w:tc>
        <w:tc>
          <w:tcPr>
            <w:tcW w:type="dxa" w:w="2736"/>
            <w:shd w:val="clear" w:color="auto" w:fill="FFF7ED"/>
          </w:tcPr>
          <w:p>
            <w:pPr>
              <w:spacing w:before="60" w:after="60"/>
            </w:pPr>
            <w:r>
              <w:rPr>
                <w:b/>
                <w:color w:val="059669"/>
                <w:sz w:val="19"/>
              </w:rPr>
              <w:t>Yes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1F2A37"/>
                <w:sz w:val="19"/>
              </w:rPr>
              <w:t>Stripe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</w:pPr>
            <w:r>
              <w:rPr>
                <w:color w:val="1F2A37"/>
                <w:sz w:val="19"/>
              </w:rPr>
              <w:t>Payment processing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59669"/>
                <w:sz w:val="19"/>
              </w:rPr>
              <w:t>Yes — new keys needed</w:t>
            </w:r>
          </w:p>
        </w:tc>
      </w:tr>
      <w:tr>
        <w:tc>
          <w:tcPr>
            <w:tcW w:type="dxa" w:w="2016"/>
            <w:shd w:val="clear" w:color="auto" w:fill="FFF7ED"/>
          </w:tcPr>
          <w:p>
            <w:pPr>
              <w:spacing w:before="60" w:after="60"/>
            </w:pPr>
            <w:r>
              <w:rPr>
                <w:b/>
                <w:color w:val="1F2A37"/>
                <w:sz w:val="19"/>
              </w:rPr>
              <w:t>Resend</w:t>
            </w:r>
          </w:p>
        </w:tc>
        <w:tc>
          <w:tcPr>
            <w:tcW w:type="dxa" w:w="4320"/>
            <w:shd w:val="clear" w:color="auto" w:fill="FFF7ED"/>
          </w:tcPr>
          <w:p>
            <w:pPr>
              <w:spacing w:before="60" w:after="60"/>
            </w:pPr>
            <w:r>
              <w:rPr>
                <w:color w:val="1F2A37"/>
                <w:sz w:val="19"/>
              </w:rPr>
              <w:t>Transactional email</w:t>
            </w:r>
          </w:p>
        </w:tc>
        <w:tc>
          <w:tcPr>
            <w:tcW w:type="dxa" w:w="2736"/>
            <w:shd w:val="clear" w:color="auto" w:fill="FFF7ED"/>
          </w:tcPr>
          <w:p>
            <w:pPr>
              <w:spacing w:before="60" w:after="60"/>
            </w:pPr>
            <w:r>
              <w:rPr>
                <w:b/>
                <w:color w:val="059669"/>
                <w:sz w:val="19"/>
              </w:rPr>
              <w:t>Yes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1F2A37"/>
                <w:sz w:val="19"/>
              </w:rPr>
              <w:t>Cloudinary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</w:pPr>
            <w:r>
              <w:rPr>
                <w:color w:val="1F2A37"/>
                <w:sz w:val="19"/>
              </w:rPr>
              <w:t>Menu image storage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59669"/>
                <w:sz w:val="19"/>
              </w:rPr>
              <w:t>Yes</w:t>
            </w:r>
          </w:p>
        </w:tc>
      </w:tr>
    </w:tbl>
    <w:p/>
    <w:p>
      <w:pPr>
        <w:spacing w:before="360" w:after="80"/>
      </w:pPr>
      <w:r>
        <w:rPr>
          <w:b/>
          <w:color w:val="F97316"/>
          <w:sz w:val="26"/>
        </w:rPr>
        <w:t>ACCOUNT TRANSFERS</w:t>
      </w:r>
    </w:p>
    <w:p>
      <w:pPr>
        <w:pBdr>
          <w:bottom w:val="single" w:sz="8" w:space="1" w:color="F97316"/>
        </w:pBdr>
        <w:spacing w:before="0" w:after="120"/>
      </w:pPr>
    </w:p>
    <w:p>
      <w:pPr>
        <w:spacing w:before="240" w:after="40"/>
      </w:pPr>
      <w:r>
        <w:rPr>
          <w:b/>
          <w:color w:val="1F2A37"/>
          <w:sz w:val="22"/>
        </w:rPr>
        <w:t>1.  GitHub — Source Code Repository</w:t>
      </w:r>
    </w:p>
    <w:p>
      <w:pPr>
        <w:spacing w:before="40" w:after="40"/>
      </w:pPr>
      <w:r>
        <w:rPr>
          <w:i w:val="0"/>
          <w:color w:val="1F2A37"/>
          <w:sz w:val="20"/>
        </w:rPr>
        <w:t>The entire codebase, commit history, and branches transfer to the client's GitHub account.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Client creates a free GitHub account at github.com if they don't have one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Open the repository on GitHub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Settings → Danger Zone → "Transfer repository"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Enter the client's GitHub username or organisation name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Type the repository name to confirm and click Transfer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Client accepts the transfer invitation from their GitHub email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7ED"/>
            <w:tcBorders>
              <w:top w:val="single" w:sz="4" w:space="0" w:color="F97316"/>
              <w:bottom w:val="single" w:sz="4" w:space="0" w:color="F97316"/>
              <w:left w:val="single" w:sz="12" w:space="0" w:color="F97316"/>
              <w:right w:val="single" w:sz="4" w:space="0" w:color="F97316"/>
            </w:tcBorders>
          </w:tcPr>
          <w:p>
            <w:pPr>
              <w:spacing w:before="80" w:after="80"/>
            </w:pPr>
            <w:r>
              <w:rPr>
                <w:color w:val="924007"/>
                <w:sz w:val="19"/>
              </w:rPr>
              <w:t>Tip: The repository URL will change after transfer. Update any CI/CD webhook URLs if configured.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1F2A37"/>
          <w:sz w:val="22"/>
        </w:rPr>
        <w:t>2.  Vercel — Hosting &amp; Deployment</w:t>
      </w:r>
    </w:p>
    <w:p>
      <w:pPr>
        <w:spacing w:before="40" w:after="40"/>
      </w:pPr>
      <w:r>
        <w:rPr>
          <w:i w:val="0"/>
          <w:color w:val="1F2A37"/>
          <w:sz w:val="20"/>
        </w:rPr>
        <w:t>All environment variables, domains, and deployment settings transfer with the project.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Client creates a Vercel account at vercel.com if they don't have one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Open the project in Vercel dashboard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Settings → General → scroll to "Transfer Project"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Enter the client's Vercel account email and confirm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Client accepts the transfer invitation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Reconnect GitHub repository in the new Vercel account (if prompted)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Verify automatic deployments still work by pushing a test commit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7ED"/>
            <w:tcBorders>
              <w:top w:val="single" w:sz="4" w:space="0" w:color="F97316"/>
              <w:bottom w:val="single" w:sz="4" w:space="0" w:color="F97316"/>
              <w:left w:val="single" w:sz="12" w:space="0" w:color="F97316"/>
              <w:right w:val="single" w:sz="4" w:space="0" w:color="F97316"/>
            </w:tcBorders>
          </w:tcPr>
          <w:p>
            <w:pPr>
              <w:spacing w:before="80" w:after="80"/>
            </w:pPr>
            <w:r>
              <w:rPr>
                <w:color w:val="924007"/>
                <w:sz w:val="19"/>
              </w:rPr>
              <w:t>Note: All environment variables transfer automatically with the project.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1F2A37"/>
          <w:sz w:val="22"/>
        </w:rPr>
        <w:t>3.  GoDaddy — Domain Name</w:t>
      </w:r>
    </w:p>
    <w:p>
      <w:pPr>
        <w:spacing w:before="40" w:after="40"/>
      </w:pPr>
      <w:r>
        <w:rPr>
          <w:i w:val="0"/>
          <w:color w:val="1F2A37"/>
          <w:sz w:val="20"/>
        </w:rPr>
        <w:t>Choose ONE of the two options below based on what the client prefers:</w:t>
      </w:r>
    </w:p>
    <w:p>
      <w:pPr>
        <w:spacing w:before="80"/>
      </w:pPr>
      <w:r>
        <w:rPr>
          <w:b/>
          <w:color w:val="1F2A37"/>
          <w:sz w:val="20"/>
        </w:rPr>
        <w:t>Option A — Transfer to client's GoDaddy account (recommended):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Client creates a GoDaddy account and provides their Customer Number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Go to GoDaddy → My Products → select the domain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Click "Transfer domain to another GoDaddy account"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Enter the client's Customer Number and confirm</w:t>
      </w:r>
    </w:p>
    <w:p>
      <w:pPr>
        <w:spacing w:before="120"/>
      </w:pPr>
      <w:r>
        <w:rPr>
          <w:b/>
          <w:color w:val="1F2A37"/>
          <w:sz w:val="20"/>
        </w:rPr>
        <w:t>Option B — Transfer to a different registrar: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Unlock the domain in GoDaddy → My Products → Domain Settings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Request the EPP/Auth Code from GoDaddy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Provide Auth Code to client for transfer at their chosen registrar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7ED"/>
            <w:tcBorders>
              <w:top w:val="single" w:sz="4" w:space="0" w:color="F97316"/>
              <w:bottom w:val="single" w:sz="4" w:space="0" w:color="F97316"/>
              <w:left w:val="single" w:sz="12" w:space="0" w:color="F97316"/>
              <w:right w:val="single" w:sz="4" w:space="0" w:color="F97316"/>
            </w:tcBorders>
          </w:tcPr>
          <w:p>
            <w:pPr>
              <w:spacing w:before="80" w:after="80"/>
            </w:pPr>
            <w:r>
              <w:rPr>
                <w:color w:val="924007"/>
                <w:sz w:val="19"/>
              </w:rPr>
              <w:t>Important: Ensure DNS records (A/CNAME pointing to Vercel) are recreated at the new registrar after transfer.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1F2A37"/>
          <w:sz w:val="22"/>
        </w:rPr>
        <w:t>4.  Supabase — PostgreSQL Database</w:t>
      </w:r>
    </w:p>
    <w:p>
      <w:pPr>
        <w:spacing w:before="40" w:after="40"/>
      </w:pPr>
      <w:r>
        <w:rPr>
          <w:i w:val="0"/>
          <w:color w:val="1F2A37"/>
          <w:sz w:val="20"/>
        </w:rPr>
        <w:t>All tables, data, storage buckets, and RLS policies transfer with the project.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Client creates a Supabase account at supabase.com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Client must be on the Pro plan ($25/month) to receive a project transfer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Go to Supabase → Project Settings → General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Click "Transfer project" and enter the client's Supabase account email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Client accepts the transfer invitation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After transfer: go to Settings → API and copy the new DATABASE_URL and DIRECT_URL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Update DATABASE_URL and DIRECT_URL in Vercel environment variables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Redeploy on Vercel and verify the site loads correctly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7ED"/>
            <w:tcBorders>
              <w:top w:val="single" w:sz="4" w:space="0" w:color="F97316"/>
              <w:bottom w:val="single" w:sz="4" w:space="0" w:color="F97316"/>
              <w:left w:val="single" w:sz="12" w:space="0" w:color="F97316"/>
              <w:right w:val="single" w:sz="4" w:space="0" w:color="F97316"/>
            </w:tcBorders>
          </w:tcPr>
          <w:p>
            <w:pPr>
              <w:spacing w:before="80" w:after="80"/>
            </w:pPr>
            <w:r>
              <w:rPr>
                <w:color w:val="924007"/>
                <w:sz w:val="19"/>
              </w:rPr>
              <w:t>The database connection strings change after transfer. Vercel env vars must be updated before the next deployment.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1F2A37"/>
          <w:sz w:val="22"/>
        </w:rPr>
        <w:t>5.  Stripe — Payment Processing</w:t>
      </w:r>
    </w:p>
    <w:p>
      <w:pPr>
        <w:spacing w:before="40" w:after="40"/>
      </w:pPr>
      <w:r>
        <w:rPr>
          <w:i w:val="0"/>
          <w:color w:val="1F2A37"/>
          <w:sz w:val="20"/>
        </w:rPr>
        <w:t>Stripe accounts cannot be transferred directly. The client creates a new Stripe account and new API keys are generated.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Client creates a Stripe account at stripe.com and completes business verification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In Stripe dashboard: Developers → API keys → copy Publishable Key and Secret Key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Update STRIPE_PUBLISHABLE_KEY in Vercel environment variables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Update STRIPE_SECRET_KEY in Vercel environment variables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In Stripe: Developers → Webhooks → "Add endpoint"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Set endpoint URL to: https://your-domain.com/api/webhooks/stripe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Select events: payment_intent.succeeded, payment_intent.payment_failed, checkout.session.completed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Copy the Webhook Signing Secret and update STRIPE_WEBHOOK_SECRET in Vercel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Make a test purchase to confirm payments and webhook work end-to-end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7ED"/>
            <w:tcBorders>
              <w:top w:val="single" w:sz="4" w:space="0" w:color="F97316"/>
              <w:bottom w:val="single" w:sz="4" w:space="0" w:color="F97316"/>
              <w:left w:val="single" w:sz="12" w:space="0" w:color="F97316"/>
              <w:right w:val="single" w:sz="4" w:space="0" w:color="F97316"/>
            </w:tcBorders>
          </w:tcPr>
          <w:p>
            <w:pPr>
              <w:spacing w:before="80" w:after="80"/>
            </w:pPr>
            <w:r>
              <w:rPr>
                <w:color w:val="924007"/>
                <w:sz w:val="19"/>
              </w:rPr>
              <w:t>Warning: Existing order payment data and customer records live in the old Stripe account. Export any needed reports before switching.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1F2A37"/>
          <w:sz w:val="22"/>
        </w:rPr>
        <w:t>6.  Resend — Transactional Email</w:t>
      </w:r>
    </w:p>
    <w:p>
      <w:pPr>
        <w:spacing w:before="40" w:after="40"/>
      </w:pPr>
      <w:r>
        <w:rPr>
          <w:i w:val="0"/>
          <w:color w:val="1F2A37"/>
          <w:sz w:val="20"/>
        </w:rPr>
        <w:t>Used for order confirmation emails, catering request notifications, and contact form replies.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Client creates a Resend account at resend.com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In Resend: Add the domain (same domain as the website) and verify it via DNS records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Generate a new API key in Resend → API Keys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Update RESEND_API_KEY in Vercel environment variables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Redeploy and send a test catering request to confirm emails are delivered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7ED"/>
            <w:tcBorders>
              <w:top w:val="single" w:sz="4" w:space="0" w:color="F97316"/>
              <w:bottom w:val="single" w:sz="4" w:space="0" w:color="F97316"/>
              <w:left w:val="single" w:sz="12" w:space="0" w:color="F97316"/>
              <w:right w:val="single" w:sz="4" w:space="0" w:color="F97316"/>
            </w:tcBorders>
          </w:tcPr>
          <w:p>
            <w:pPr>
              <w:spacing w:before="80" w:after="80"/>
            </w:pPr>
            <w:r>
              <w:rPr>
                <w:color w:val="924007"/>
                <w:sz w:val="19"/>
              </w:rPr>
              <w:t>DNS verification for Resend adds MX/TXT/DKIM records. These are separate from domain transfer — add them at the new registrar or Cloudflare if DNS is managed there.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b/>
          <w:color w:val="1F2A37"/>
          <w:sz w:val="22"/>
        </w:rPr>
        <w:t>7.  Cloudinary — Menu Image Storage</w:t>
      </w:r>
    </w:p>
    <w:p>
      <w:pPr>
        <w:spacing w:before="40" w:after="40"/>
      </w:pPr>
      <w:r>
        <w:rPr>
          <w:i w:val="0"/>
          <w:color w:val="1F2A37"/>
          <w:sz w:val="20"/>
        </w:rPr>
        <w:t>Stores and serves all menu item images via CDN.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Client creates a Cloudinary account at cloudinary.com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In Cloudinary: Settings → Account → invite client email as Owner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Transfer ownership in Cloudinary dashboard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Copy new CLOUDINARY_CLOUD_NAME, CLOUDINARY_API_KEY, CLOUDINARY_API_SECRET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Update all three CLOUDINARY_* variables in Vercel environment variables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Verify menu images still load on the live site after redeployment</w:t>
      </w:r>
    </w:p>
    <w:p>
      <w:r>
        <w:br w:type="page"/>
      </w:r>
    </w:p>
    <w:p>
      <w:pPr>
        <w:spacing w:before="360" w:after="80"/>
      </w:pPr>
      <w:r>
        <w:rPr>
          <w:b/>
          <w:color w:val="F97316"/>
          <w:sz w:val="26"/>
        </w:rPr>
        <w:t>VERCEL ENVIRONMENT VARIABLES</w:t>
      </w:r>
    </w:p>
    <w:p>
      <w:pPr>
        <w:pBdr>
          <w:bottom w:val="single" w:sz="8" w:space="1" w:color="F97316"/>
        </w:pBdr>
        <w:spacing w:before="0" w:after="120"/>
      </w:pPr>
    </w:p>
    <w:p>
      <w:pPr>
        <w:spacing w:before="40" w:after="40"/>
      </w:pPr>
      <w:r>
        <w:rPr>
          <w:i w:val="0"/>
          <w:color w:val="1F2A37"/>
          <w:sz w:val="20"/>
        </w:rPr>
        <w:t>After all account transfers, the client must update these variables in:</w:t>
        <w:br/>
        <w:t>Vercel Dashboard → Project → Settings → Environment Variables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2A37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Environment Variable</w:t>
            </w:r>
          </w:p>
        </w:tc>
        <w:tc>
          <w:tcPr>
            <w:tcW w:type="dxa" w:w="3024"/>
            <w:shd w:val="clear" w:color="auto" w:fill="1F2A37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When to Update</w:t>
            </w:r>
          </w:p>
        </w:tc>
        <w:tc>
          <w:tcPr>
            <w:tcW w:type="dxa" w:w="3024"/>
            <w:shd w:val="clear" w:color="auto" w:fill="1F2A37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C2410C"/>
                <w:sz w:val="18"/>
              </w:rPr>
              <w:t>DATABASE_URL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Supabase transferred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No — copy from Supabase dashboard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C2410C"/>
                <w:sz w:val="18"/>
              </w:rPr>
              <w:t>DIRECT_URL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Supabase transferred</w:t>
            </w:r>
          </w:p>
        </w:tc>
        <w:tc>
          <w:tcPr>
            <w:tcW w:type="dxa" w:w="3168"/>
            <w:shd w:val="clear" w:color="auto" w:fill="F9FAFB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No — copy from Supabase dashboard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C2410C"/>
                <w:sz w:val="18"/>
              </w:rPr>
              <w:t>RESEND_API_KEY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Resend account switched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No — generate in Resend dashboard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C2410C"/>
                <w:sz w:val="18"/>
              </w:rPr>
              <w:t>STRIPE_SECRET_KEY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Stripe account switched</w:t>
            </w:r>
          </w:p>
        </w:tc>
        <w:tc>
          <w:tcPr>
            <w:tcW w:type="dxa" w:w="3168"/>
            <w:shd w:val="clear" w:color="auto" w:fill="F9FAFB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No — copy from Stripe dashboard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C2410C"/>
                <w:sz w:val="18"/>
              </w:rPr>
              <w:t>STRIPE_PUBLISHABLE_KEY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Stripe account switched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No — copy from Stripe dashboard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C2410C"/>
                <w:sz w:val="18"/>
              </w:rPr>
              <w:t>STRIPE_WEBHOOK_SECRET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Webhook re-registered</w:t>
            </w:r>
          </w:p>
        </w:tc>
        <w:tc>
          <w:tcPr>
            <w:tcW w:type="dxa" w:w="3168"/>
            <w:shd w:val="clear" w:color="auto" w:fill="F9FAFB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No — copy from Stripe webhook page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C2410C"/>
                <w:sz w:val="18"/>
              </w:rPr>
              <w:t>CLOUDINARY_CLOUD_NAME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Cloudinary transferred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No — copy from Cloudinary dashboard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C2410C"/>
                <w:sz w:val="18"/>
              </w:rPr>
              <w:t>CLOUDINARY_API_KEY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Cloudinary transferred</w:t>
            </w:r>
          </w:p>
        </w:tc>
        <w:tc>
          <w:tcPr>
            <w:tcW w:type="dxa" w:w="3168"/>
            <w:shd w:val="clear" w:color="auto" w:fill="F9FAFB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No — copy from Cloudinary dashboard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C2410C"/>
                <w:sz w:val="18"/>
              </w:rPr>
              <w:t>CLOUDINARY_API_SECRET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Cloudinary transferred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No — copy from Cloudinary dashboard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C2410C"/>
                <w:sz w:val="18"/>
              </w:rPr>
              <w:t>NEXTAUTH_SECRET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Always generate a fresh one</w:t>
            </w:r>
          </w:p>
        </w:tc>
        <w:tc>
          <w:tcPr>
            <w:tcW w:type="dxa" w:w="3168"/>
            <w:shd w:val="clear" w:color="auto" w:fill="F9FAFB"/>
          </w:tcPr>
          <w:p>
            <w:pPr>
              <w:spacing w:before="60" w:after="60"/>
            </w:pPr>
            <w:r>
              <w:rPr>
                <w:b/>
                <w:color w:val="DC2626"/>
                <w:sz w:val="18"/>
              </w:rPr>
              <w:t>YES — run: openssl rand -base64 32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C2410C"/>
                <w:sz w:val="18"/>
              </w:rPr>
              <w:t>JWT_SECRET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Always generate a fresh one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DC2626"/>
                <w:sz w:val="18"/>
              </w:rPr>
              <w:t>YES — run: openssl rand -base64 32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C2410C"/>
                <w:sz w:val="18"/>
              </w:rPr>
              <w:t>NEXTAUTH_URL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Domain changes</w:t>
            </w:r>
          </w:p>
        </w:tc>
        <w:tc>
          <w:tcPr>
            <w:tcW w:type="dxa" w:w="3168"/>
            <w:shd w:val="clear" w:color="auto" w:fill="F9FAFB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No — set to https://your-domain.com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C2410C"/>
                <w:sz w:val="18"/>
              </w:rPr>
              <w:t>ADMIN_PASSWORD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Client sets their own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DC2626"/>
                <w:sz w:val="18"/>
              </w:rPr>
              <w:t>YES — client chooses a strong password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C2410C"/>
                <w:sz w:val="18"/>
              </w:rPr>
              <w:t>ADMIN_ACCESS_PIN</w:t>
            </w:r>
          </w:p>
        </w:tc>
        <w:tc>
          <w:tcPr>
            <w:tcW w:type="dxa" w:w="2880"/>
            <w:shd w:val="clear" w:color="auto" w:fill="F9FAFB"/>
          </w:tcPr>
          <w:p>
            <w:pPr>
              <w:spacing w:before="60" w:after="60"/>
            </w:pPr>
            <w:r>
              <w:rPr>
                <w:color w:val="1F2A37"/>
                <w:sz w:val="18"/>
              </w:rPr>
              <w:t>Client sets their own</w:t>
            </w:r>
          </w:p>
        </w:tc>
        <w:tc>
          <w:tcPr>
            <w:tcW w:type="dxa" w:w="3168"/>
            <w:shd w:val="clear" w:color="auto" w:fill="F9FAFB"/>
          </w:tcPr>
          <w:p>
            <w:pPr>
              <w:spacing w:before="60" w:after="60"/>
            </w:pPr>
            <w:r>
              <w:rPr>
                <w:b/>
                <w:color w:val="DC2626"/>
                <w:sz w:val="18"/>
              </w:rPr>
              <w:t>YES — client chooses a 6-digit PIN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7ED"/>
            <w:tcBorders>
              <w:top w:val="single" w:sz="4" w:space="0" w:color="F97316"/>
              <w:bottom w:val="single" w:sz="4" w:space="0" w:color="F97316"/>
              <w:left w:val="single" w:sz="12" w:space="0" w:color="F97316"/>
              <w:right w:val="single" w:sz="4" w:space="0" w:color="F97316"/>
            </w:tcBorders>
          </w:tcPr>
          <w:p>
            <w:pPr>
              <w:spacing w:before="80" w:after="80"/>
            </w:pPr>
            <w:r>
              <w:rPr>
                <w:color w:val="924007"/>
                <w:sz w:val="19"/>
              </w:rPr>
              <w:t>Generate new secrets with:  openssl rand -base64 32</w:t>
              <w:br/>
              <w:t>Run this command twice — once for NEXTAUTH_SECRET, once for JWT_SECRET. Never reuse secrets between environments or clients.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b/>
          <w:color w:val="F97316"/>
          <w:sz w:val="26"/>
        </w:rPr>
        <w:t>POST-HANDOVER VERIFICATION CHECKLIST</w:t>
      </w:r>
    </w:p>
    <w:p>
      <w:pPr>
        <w:pBdr>
          <w:bottom w:val="single" w:sz="8" w:space="1" w:color="F97316"/>
        </w:pBdr>
        <w:spacing w:before="0" w:after="120"/>
      </w:pPr>
    </w:p>
    <w:p>
      <w:pPr>
        <w:spacing w:before="40" w:after="40"/>
      </w:pPr>
      <w:r>
        <w:rPr>
          <w:i w:val="0"/>
          <w:color w:val="1F2A37"/>
          <w:sz w:val="20"/>
        </w:rPr>
        <w:t>Run through these checks after all transfers and env var updates are complete:</w:t>
      </w:r>
    </w:p>
    <w:p>
      <w:pPr>
        <w:spacing w:before="240" w:after="40"/>
      </w:pPr>
      <w:r>
        <w:rPr>
          <w:b/>
          <w:color w:val="1F2A37"/>
          <w:sz w:val="22"/>
        </w:rPr>
        <w:t>Site &amp; App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Home page loads correctly on desktop and mobile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Menu page shows all items with images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Cart and checkout flow works end-to-end (use Stripe test mode first)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Catering form submits and sends email notification to the client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Order confirmation email is received after a test purchase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PWA install prompt appears on Android Chrome (Add to Home Screen)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Offline page shows when device has no connection</w:t>
      </w:r>
    </w:p>
    <w:p>
      <w:pPr>
        <w:spacing w:before="240" w:after="40"/>
      </w:pPr>
      <w:r>
        <w:rPr>
          <w:b/>
          <w:color w:val="1F2A37"/>
          <w:sz w:val="22"/>
        </w:rPr>
        <w:t>Admin Panel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Admin login works with new PIN and password at /truckadmin/login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Menu items can be added, edited, and deleted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Truck schedule / location can be updated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Catering requests are visible in the inbox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Site settings (branding, contact info) can be updated</w:t>
      </w:r>
    </w:p>
    <w:p>
      <w:pPr>
        <w:spacing w:before="240" w:after="40"/>
      </w:pPr>
      <w:r>
        <w:rPr>
          <w:b/>
          <w:color w:val="1F2A37"/>
          <w:sz w:val="22"/>
        </w:rPr>
        <w:t>Domain &amp; Email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Custom domain resolves correctly (no Vercel subdomain)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SSL certificate is active (green padlock / HTTPS)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Confirmation emails arrive from the correct sender domain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SPF / DKIM / DMARC DNS records are set for the email domain</w:t>
      </w:r>
    </w:p>
    <w:p>
      <w:pPr>
        <w:spacing w:before="240" w:after="40"/>
      </w:pPr>
      <w:r>
        <w:rPr>
          <w:b/>
          <w:color w:val="1F2A37"/>
          <w:sz w:val="22"/>
        </w:rPr>
        <w:t>Final Step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Remove developer (your) access from all transferred accounts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Provide client with this document and all new login credentials securely</w:t>
      </w:r>
    </w:p>
    <w:p>
      <w:pPr>
        <w:pStyle w:val="ListBullet"/>
        <w:spacing w:before="20" w:after="20"/>
        <w:ind w:left="432"/>
      </w:pPr>
      <w:r>
        <w:rPr>
          <w:color w:val="6B7280"/>
          <w:sz w:val="22"/>
        </w:rPr>
        <w:t xml:space="preserve">☐  </w:t>
      </w:r>
      <w:r>
        <w:rPr>
          <w:color w:val="1F2A37"/>
          <w:sz w:val="20"/>
        </w:rPr>
        <w:t>Confirm client has access to billing for each paid service</w:t>
      </w:r>
    </w:p>
    <w:p/>
    <w:p>
      <w:pPr>
        <w:pBdr>
          <w:bottom w:val="single" w:sz="8" w:space="1" w:color="F97316"/>
        </w:pBdr>
        <w:spacing w:before="0" w:after="120"/>
      </w:pPr>
    </w:p>
    <w:p>
      <w:pPr>
        <w:jc w:val="center"/>
      </w:pPr>
      <w:r>
        <w:rPr>
          <w:i/>
          <w:color w:val="6B7280"/>
          <w:sz w:val="16"/>
        </w:rPr>
        <w:t>Indian Food Truck — Confidential Handover Document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