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Satyam Computer Services Accounting Fraud</w:t>
      </w:r>
    </w:p>
    <w:p>
      <w:pPr>
        <w:pStyle w:val="Subtitle"/>
        <w:jc w:val="center"/>
      </w:pPr>
      <w:r>
        <w:t>An Academic Case Study on Corporate Fraud, Recovery, and Forensic Response</w:t>
      </w:r>
    </w:p>
    <w:p>
      <w:pPr>
        <w:pStyle w:val="Meta"/>
        <w:jc w:val="center"/>
      </w:pPr>
      <w:r>
        <w:t>MBA Data Science and Data Analytics  |  SCIT Pune  |  October 2026</w:t>
      </w:r>
    </w:p>
    <w:p>
      <w:pPr>
        <w:pStyle w:val="Heading1"/>
      </w:pPr>
      <w:r>
        <w:t>1. Company Background and Executive Summary</w:t>
      </w:r>
    </w:p>
    <w:p>
      <w:pPr>
        <w:jc w:val="both"/>
      </w:pPr>
      <w:r>
        <w:rPr>
          <w:b/>
        </w:rPr>
        <w:t>Satyam Computer Services</w:t>
      </w:r>
      <w:r>
        <w:t xml:space="preserve"> was an Indian information technology and business process services company founded by B. Ramalinga Raju in 1987. It sold software development, consulting and outsourcing to clients worldwide. Its real operations gave credibility to published accounts that increasingly included fabricated revenue, profit and cash. The fraud was an accounting deception sustained through privileged access to the billing system, forged banking records and failures of independent verification [1–3].</w:t>
      </w:r>
    </w:p>
    <w:p>
      <w:pPr>
        <w:jc w:val="both"/>
      </w:pPr>
      <w:r>
        <w:t>On 7 January 2009, Raju admitted that the 30 September 2008 balance sheet contained ₹5,040 crore of nonexistent cash and bank balances, ₹376 crore of fictitious interest, ₹490 crore of overstated receivables and ₹1,230 crore of understated liabilities. Those are different misstatement categories; they should not be added up as cash stolen. The SEC later alleged that false revenue alone exceeded $1.1 billion from fiscal 2004 through the first half of fiscal 2009 [1, 2].</w:t>
      </w:r>
    </w:p>
    <w:p>
      <w:pPr>
        <w:pStyle w:val="Heading1"/>
      </w:pPr>
      <w:r>
        <w:t>2. How the Fraud Happened</w:t>
      </w:r>
    </w:p>
    <w:p>
      <w:pPr>
        <w:pStyle w:val="Heading2"/>
      </w:pPr>
      <w:r>
        <w:t>2.1 Inception and Escalation</w:t>
      </w:r>
    </w:p>
    <w:p>
      <w:pPr>
        <w:jc w:val="both"/>
      </w:pPr>
      <w:r>
        <w:t>The documented false-invoice scheme ran from 2003 to September 2008. Senior managers directed staff to manufacture 6,603 invoices, often 100 to 200 in a month, for services never delivered and sometimes for customers that did not exist. A privileged “super user” account inserted these invoices into the invoice system while hiding them from business-unit heads who would have recognized the missing work. The invoices then flowed to the general ledger and into reported sales, profits and earnings per share [2].</w:t>
      </w:r>
    </w:p>
    <w:p>
      <w:pPr>
        <w:pStyle w:val="Heading2"/>
      </w:pPr>
      <w:r>
        <w:t>2.2 Revenue, Profit and Cash Illusions</w:t>
      </w:r>
    </w:p>
    <w:p>
      <w:pPr>
        <w:jc w:val="both"/>
      </w:pPr>
      <w:r>
        <w:t>Fictitious invoices made the business appear to earn more than it did. Fabricated bank statements portrayed the invented receivables as cash collected; false fixed-deposit balances and interest income made that imaginary cash seem invested. Raju’s letter provides a striking quarter-level comparison: for July–September 2008, Satyam reported ₹2,700 crore of revenue and ₹649 crore of operating margin against actual amounts of ₹2,112 crore and ₹61 crore. The inflated operating margin was about 24% instead of 3% [1, 2].</w:t>
      </w:r>
    </w:p>
    <w:p>
      <w:pPr>
        <w:pStyle w:val="Heading2"/>
      </w:pPr>
      <w:r>
        <w:t>2.3 The Maytas Tipping Point and Disclosure</w:t>
      </w:r>
    </w:p>
    <w:p>
      <w:pPr>
        <w:jc w:val="both"/>
      </w:pPr>
      <w:r>
        <w:t>Raju stated that promoter-arranged financing of ₹1,230 crore kept operations running but was omitted from liabilities. On 16 December 2008, Satyam announced acquisitions of Maytas businesses linked to the promoters. Investors objected and the board reversed course. Raju later characterized the deal as an attempt to replace nonexistent assets with real businesses. On 7 January 2009 he confessed and resigned; the government replaced the board, regulators investigated, and a supervised sale to Tech Mahindra followed in April 2009 [1, 3].</w:t>
      </w:r>
    </w:p>
    <w:p>
      <w:pPr>
        <w:pStyle w:val="Heading2"/>
      </w:pPr>
      <w:r>
        <w:t>2.4 Why the Safeguards Failed</w:t>
      </w:r>
    </w:p>
    <w:p>
      <w:pPr>
        <w:jc w:val="both"/>
      </w:pPr>
      <w:r>
        <w:t>The first line of defence failed when executive-level access bypassed normal billing review. The board approved a related-party deal without resolving the obvious question of why a cash-rich IT company would buy promoter-linked property businesses. Price Waterhouse affiliates issued audit opinions without adequately verifying cash and receivables: the SEC found that staff routinely ceded control of bank confirmations to the client. This allowed company-supplied documents to substitute for independent bank evidence. These facts show weak controls and oversight; they do not prove that every director knew about the false invoices [2, 4].</w:t>
      </w:r>
    </w:p>
    <w:p>
      <w:pPr>
        <w:pStyle w:val="Heading1"/>
      </w:pPr>
      <w:r>
        <w:t>3. Did Satyam Recover?</w:t>
      </w:r>
    </w:p>
    <w:p>
      <w:pPr>
        <w:jc w:val="both"/>
      </w:pPr>
      <w:r>
        <w:rPr>
          <w:b/>
        </w:rPr>
        <w:t>The operating business survived</w:t>
      </w:r>
      <w:r>
        <w:t>, although the original financial statements and shareholder value could not be restored. A government-appointed board stabilized service delivery and oversaw a competitive sale. Tech Mahindra supplied a new owner and leadership, used the Mahindra Satyam identity during the turnaround, and consummated the merger into Tech Mahindra on 24 June 2013. This was recovery of clients, people and viable operations under new governance, not recovery of the fictitious cash [3, 5].</w:t>
      </w:r>
    </w:p>
    <w:p>
      <w:pPr>
        <w:pStyle w:val="ListBullet"/>
        <w:spacing w:after="60"/>
        <w:jc w:val="both"/>
      </w:pPr>
      <w:r>
        <w:rPr>
          <w:b/>
        </w:rPr>
        <w:t>Legal consequences:</w:t>
      </w:r>
      <w:r>
        <w:t xml:space="preserve"> In 2015 an Indian special CBI court sentenced Raju and nine others to seven years; this records the sentence, not time actually served. SEBI barred Raju and others from the securities market for 14 years in a 2014 order. The reorganized company settled US civil charges for $10 million, and PwC India affiliates agreed to $6 million in SEC penalties [3, 4, 6, 7].</w:t>
      </w:r>
    </w:p>
    <w:p>
      <w:pPr>
        <w:pStyle w:val="ListBullet"/>
        <w:spacing w:after="60"/>
        <w:jc w:val="both"/>
      </w:pPr>
      <w:r>
        <w:rPr>
          <w:b/>
        </w:rPr>
        <w:t>Stakeholder damage:</w:t>
      </w:r>
      <w:r>
        <w:t xml:space="preserve"> Shares collapsed after the confession. The SEC complaint estimated over $450 million in realized losses for institutional investors in American depositary shares, a defined subset rather than a total shareholder-loss figure. Employees and clients faced immediate uncertainty even though the services business continued [2, 3].</w:t>
      </w:r>
    </w:p>
    <w:p>
      <w:pPr>
        <w:pStyle w:val="ListBullet"/>
        <w:spacing w:after="60"/>
        <w:jc w:val="both"/>
      </w:pPr>
      <w:r>
        <w:rPr>
          <w:b/>
        </w:rPr>
        <w:t>Regulatory legacy:</w:t>
      </w:r>
      <w:r>
        <w:t xml:space="preserve"> The case sharpened scrutiny of audit confirmations, related-party transactions, audit committees and internal financial controls. India’s Companies Act 2013 strengthened the wider governance framework, but attributing that entire statute solely to this case would overstate causation.</w:t>
      </w:r>
    </w:p>
    <w:p>
      <w:pPr>
        <w:pStyle w:val="Heading1"/>
      </w:pPr>
      <w:r>
        <w:t>4. If I Had Been There My Approach</w:t>
      </w:r>
    </w:p>
    <w:p>
      <w:pPr>
        <w:jc w:val="both"/>
      </w:pPr>
      <w:r>
        <w:t>As a data analytics practitioner on the audit committee’s investigation team, I would act in three stages. The priority is independently verified evidence and preservation of a real business that still has clients, employees and obligations.</w:t>
      </w:r>
    </w:p>
    <w:p>
      <w:pPr>
        <w:pStyle w:val="Heading2"/>
      </w:pPr>
      <w:r>
        <w:t>4.1 Immediate Containment and Verification</w:t>
      </w:r>
    </w:p>
    <w:p>
      <w:pPr>
        <w:jc w:val="both"/>
      </w:pPr>
      <w:r>
        <w:t>I would stop the Maytas deal, preserve invoice-system logs and ledger backups, restrict privileged accounts, and commission bank confirmations sent directly to an independent auditor. A verified liquidity schedule would compare actual cash with payroll, vendor and tax payments due. Material discrepancies would go to regulators and the board immediately; public statements would use only figures that had been independently checked.</w:t>
      </w:r>
    </w:p>
    <w:p>
      <w:pPr>
        <w:pStyle w:val="Heading2"/>
      </w:pPr>
      <w:r>
        <w:t>4.2 Transaction-Level Forensic Analytics</w:t>
      </w:r>
    </w:p>
    <w:p>
      <w:pPr>
        <w:jc w:val="both"/>
      </w:pPr>
      <w:r>
        <w:t>I would join every invoice to customer identity, signed contract, project delivery, client acceptance, receivables ageing and bank-origin credit. The highest-risk population would be invoices entered by privileged accounts but absent from normal unit reports. Rules could flag unusual month-end bursts, repeated amounts, missing delivery evidence and collections inconsistent with direct bank records. A graph of users, customers and bank accounts could identify concentrated creation patterns. Algorithms would prioritize investigation; confirmation from clients and banks would establish whether transactions were real.</w:t>
      </w:r>
    </w:p>
    <w:p>
      <w:pPr>
        <w:pStyle w:val="Heading2"/>
      </w:pPr>
      <w:r>
        <w:t>4.3 Escalation and Business Rescue</w:t>
      </w:r>
    </w:p>
    <w:p>
      <w:pPr>
        <w:jc w:val="both"/>
      </w:pPr>
      <w:r>
        <w:t>The forensic team would report to an independent board committee, with a protected whistleblower channel and explicit authority to challenge executives. Once exposure was measured, I would restate accounts, replace implicated managers and communicate a verified cash plan to clients and employees. I would track client renewals, staff departures and payment timeliness weekly, then support a supervised strategic sale if it offered the best chance of preserving genuine contracts and jobs.</w:t>
      </w:r>
    </w:p>
    <w:p>
      <w:r>
        <w:br w:type="page"/>
      </w:r>
    </w:p>
    <w:p>
      <w:pPr>
        <w:pStyle w:val="Heading2"/>
      </w:pPr>
      <w:r>
        <w:t>4.4 Control Design After the Crisis</w:t>
      </w:r>
    </w:p>
    <w:p>
      <w:pPr>
        <w:jc w:val="both"/>
      </w:pPr>
      <w:r>
        <w:t>The rebuilt process would require each customer invoice to carry a valid contract, approved delivery record, customer identity and named business owner before entering revenue. No administrator could both create a billing record and approve its posting. The controller would reconcile the invoice ledger to bank-origin cash data daily, while the audit committee would receive a monthly exception report covering privileged-user activity, aged receivables, override counts and unsupported balances. External auditors would obtain their own bank and major-customer confirmations without company staff handling the responses. The board would also review related-party transactions through a committee of independent directors with a documented conflict assessment and valuation. These checks would create multiple opportunities to stop a similar scheme before a false balance accumulated for years.</w:t>
      </w:r>
    </w:p>
    <w:p>
      <w:pPr>
        <w:pStyle w:val="Heading1"/>
      </w:pPr>
      <w:r>
        <w:t>5. Conclusion and Strategic Lessons</w:t>
      </w:r>
    </w:p>
    <w:p>
      <w:pPr>
        <w:jc w:val="both"/>
      </w:pPr>
      <w:r>
        <w:t>Satyam shows that a real company can conceal false performance when the source of accounting evidence is controlled by the same managers who benefit from it. Four practical lessons follow: confirm cash directly with banks; segregate system privileges and retain tamper-evident logs; reconcile sales to delivery and actual receipts; and give the audit committee the independence and authority to act on exceptions. Data analytics can expose suspicious patterns earlier, but it must be paired with external evidence and decisive governance.</w:t>
      </w:r>
    </w:p>
    <w:p>
      <w:pPr>
        <w:jc w:val="both"/>
      </w:pPr>
      <w:r>
        <w:t>For discussion, the strongest warning signal was the combination of apparently abundant cash, a need for promoter-arranged operating funds, and a proposal to buy promoter-linked businesses. Each could have an innocent explanation in isolation. Together they demanded independent confirmation before the company committed capital or issued another assurance to investors. The case therefore tests whether decision makers act on contradictory evidence, not simply whether they own an audit dashboard.</w:t>
      </w:r>
    </w:p>
    <w:p>
      <w:pPr>
        <w:pStyle w:val="Heading1"/>
      </w:pPr>
      <w:r>
        <w:t>References</w:t>
      </w:r>
    </w:p>
    <w:p>
      <w:pPr>
        <w:spacing w:after="40" w:line="240" w:lineRule="auto"/>
      </w:pPr>
      <w:r>
        <w:rPr>
          <w:sz w:val="16"/>
        </w:rPr>
        <w:t>[1] Raju, B. R. (2009, January 7). Resignation letter, US SEC Form 6-K exhibit. https://www.sec.gov/Archives/edgar/data/1106056/000114554909000025/u00107exv99w2.htm</w:t>
      </w:r>
    </w:p>
    <w:p>
      <w:pPr>
        <w:spacing w:after="40" w:line="240" w:lineRule="auto"/>
      </w:pPr>
      <w:r>
        <w:rPr>
          <w:sz w:val="16"/>
        </w:rPr>
        <w:t>[2] US SEC. (2011). Complaint in SEC v. Satyam Computer Services. https://www.sec.gov/files/litigation/complaints/2011/comp21915.pdf</w:t>
      </w:r>
    </w:p>
    <w:p>
      <w:pPr>
        <w:spacing w:after="40" w:line="240" w:lineRule="auto"/>
      </w:pPr>
      <w:r>
        <w:rPr>
          <w:sz w:val="16"/>
        </w:rPr>
        <w:t>[3] US SEC. (2011, April 5). SEC charges Satyam Computer Services with financial fraud. https://www.sec.gov/news/press/2011/2011-81.htm</w:t>
      </w:r>
    </w:p>
    <w:p>
      <w:pPr>
        <w:spacing w:after="40" w:line="240" w:lineRule="auto"/>
      </w:pPr>
      <w:r>
        <w:rPr>
          <w:sz w:val="16"/>
        </w:rPr>
        <w:t>[4] US SEC. (2011, April 5). SEC charges India-based affiliates of PwC. https://www.sec.gov/news/press/2011/2011-82.htm</w:t>
      </w:r>
    </w:p>
    <w:p>
      <w:pPr>
        <w:spacing w:after="40" w:line="240" w:lineRule="auto"/>
      </w:pPr>
      <w:r>
        <w:rPr>
          <w:sz w:val="16"/>
        </w:rPr>
        <w:t>[5] Tech Mahindra. (2014). Annual report FY 2013–14. https://insights.techmahindra.com/investors/Annual-Report-FY13-14.pdf</w:t>
      </w:r>
    </w:p>
    <w:p>
      <w:pPr>
        <w:spacing w:after="40" w:line="240" w:lineRule="auto"/>
      </w:pPr>
      <w:r>
        <w:rPr>
          <w:sz w:val="16"/>
        </w:rPr>
        <w:t>[6] SEBI. (2014, July 15). Order in the matter of Satyam Computer Services. https://www.sebi.gov.in/sebi_data/docfiles/28591_t.html</w:t>
      </w:r>
    </w:p>
    <w:p>
      <w:pPr>
        <w:spacing w:after="40" w:line="240" w:lineRule="auto"/>
      </w:pPr>
      <w:r>
        <w:rPr>
          <w:sz w:val="16"/>
        </w:rPr>
        <w:t>[7] Central Bureau of Investigation. (2015, April 9). Satyam trial sentencing press release. https://cbi.gov.in/press-detail/MjE0MA%3D%3D</w:t>
      </w:r>
    </w:p>
    <w:sectPr w:rsidR="00FC693F" w:rsidRPr="0006063C" w:rsidSect="00034616">
      <w:footerReference w:type="default" r:id="rId9"/>
      <w:pgSz w:w="11909" w:h="16834"/>
      <w:pgMar w:top="1123" w:right="1368" w:bottom="1037" w:left="1368" w:header="432"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Page </w:t>
    </w:r>
    <w:fldSimple w:instr="PAGE"/>
    <w:r>
      <w:rPr>
        <w:color w:val="666666"/>
        <w:sz w:val="16"/>
      </w:rPr>
      <w:t xml:space="preserve"> of 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8"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60"/>
      <w:outlineLvl w:val="0"/>
    </w:pPr>
    <w:rPr>
      <w:rFonts w:asciiTheme="majorHAnsi" w:eastAsiaTheme="majorEastAsia" w:hAnsiTheme="majorHAnsi" w:cstheme="majorBidi" w:ascii="Calibri" w:hAnsi="Calibri"/>
      <w:b/>
      <w:bCs/>
      <w:color w:val="233D69"/>
      <w:sz w:val="26"/>
      <w:szCs w:val="28"/>
    </w:rPr>
  </w:style>
  <w:style w:type="paragraph" w:styleId="Heading2">
    <w:name w:val="heading 2"/>
    <w:basedOn w:val="Normal"/>
    <w:next w:val="Normal"/>
    <w:link w:val="Heading2Char"/>
    <w:uiPriority w:val="9"/>
    <w:unhideWhenUsed/>
    <w:qFormat/>
    <w:rsid w:val="00FC693F"/>
    <w:pPr>
      <w:keepNext/>
      <w:keepLines/>
      <w:spacing w:before="140" w:after="40"/>
      <w:outlineLvl w:val="1"/>
    </w:pPr>
    <w:rPr>
      <w:rFonts w:asciiTheme="majorHAnsi" w:eastAsiaTheme="majorEastAsia" w:hAnsiTheme="majorHAnsi" w:cstheme="majorBidi" w:ascii="Calibri" w:hAnsi="Calibri"/>
      <w:b/>
      <w:bCs/>
      <w:color w:val="2A77B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240" w:lineRule="auto" w:before="0"/>
      <w:contextualSpacing/>
    </w:pPr>
    <w:rPr>
      <w:rFonts w:asciiTheme="majorHAnsi" w:eastAsiaTheme="majorEastAsia" w:hAnsiTheme="majorHAnsi" w:cstheme="majorBidi" w:ascii="Calibri" w:hAnsi="Calibri"/>
      <w:b/>
      <w:color w:val="233D69"/>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40"/>
    </w:pPr>
    <w:rPr>
      <w:rFonts w:asciiTheme="majorHAnsi" w:eastAsiaTheme="majorEastAsia" w:hAnsiTheme="majorHAnsi" w:cstheme="majorBidi" w:ascii="Calibri" w:hAnsi="Calibri"/>
      <w:i/>
      <w:iCs/>
      <w:color w:val="666666"/>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basedOn w:val="Normal"/>
    <w:pPr>
      <w:spacing w:after="240"/>
    </w:pPr>
    <w:rPr>
      <w:rFonts w:ascii="Calibri" w:hAnsi="Calibri"/>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