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19A" w:rsidRDefault="008D419A" w:rsidP="008D419A">
      <w:pPr>
        <w:spacing w:line="240" w:lineRule="auto"/>
      </w:pPr>
      <w:r w:rsidRPr="008D419A">
        <w:rPr>
          <w:b/>
        </w:rPr>
        <w:t xml:space="preserve"> Explore the DVM instructions and prepare a summary of the same </w:t>
      </w:r>
      <w:proofErr w:type="spellStart"/>
      <w:r w:rsidRPr="008D419A">
        <w:rPr>
          <w:b/>
        </w:rPr>
        <w:t>atleast</w:t>
      </w:r>
      <w:proofErr w:type="spellEnd"/>
      <w:r w:rsidRPr="008D419A">
        <w:rPr>
          <w:b/>
        </w:rPr>
        <w:t xml:space="preserve"> for 5 instructions in a detailed format</w:t>
      </w:r>
    </w:p>
    <w:p w:rsidR="008D419A" w:rsidRDefault="008D419A" w:rsidP="008D419A">
      <w:pPr>
        <w:spacing w:line="240" w:lineRule="auto"/>
      </w:pPr>
    </w:p>
    <w:tbl>
      <w:tblPr>
        <w:tblStyle w:val="TableGrid"/>
        <w:tblW w:w="0" w:type="auto"/>
        <w:tblLook w:val="04A0"/>
      </w:tblPr>
      <w:tblGrid>
        <w:gridCol w:w="2310"/>
        <w:gridCol w:w="2310"/>
        <w:gridCol w:w="2311"/>
        <w:gridCol w:w="2311"/>
      </w:tblGrid>
      <w:tr w:rsidR="008D419A" w:rsidTr="008D419A">
        <w:tc>
          <w:tcPr>
            <w:tcW w:w="2310" w:type="dxa"/>
          </w:tcPr>
          <w:p w:rsidR="008D419A" w:rsidRPr="008D419A" w:rsidRDefault="008D419A" w:rsidP="008D419A">
            <w:pPr>
              <w:jc w:val="center"/>
              <w:rPr>
                <w:b/>
                <w:u w:val="single"/>
              </w:rPr>
            </w:pPr>
            <w:r w:rsidRPr="008D419A">
              <w:rPr>
                <w:b/>
                <w:u w:val="single"/>
              </w:rPr>
              <w:t>Instruction</w:t>
            </w:r>
          </w:p>
        </w:tc>
        <w:tc>
          <w:tcPr>
            <w:tcW w:w="2310" w:type="dxa"/>
          </w:tcPr>
          <w:p w:rsidR="008D419A" w:rsidRPr="008D419A" w:rsidRDefault="008D419A" w:rsidP="008D419A">
            <w:pPr>
              <w:jc w:val="center"/>
              <w:rPr>
                <w:b/>
                <w:u w:val="single"/>
              </w:rPr>
            </w:pPr>
            <w:r w:rsidRPr="008D419A">
              <w:rPr>
                <w:b/>
                <w:u w:val="single"/>
              </w:rPr>
              <w:t>Syntax</w:t>
            </w:r>
          </w:p>
        </w:tc>
        <w:tc>
          <w:tcPr>
            <w:tcW w:w="2311" w:type="dxa"/>
          </w:tcPr>
          <w:p w:rsidR="008D419A" w:rsidRPr="008D419A" w:rsidRDefault="008D419A" w:rsidP="008D419A">
            <w:pPr>
              <w:jc w:val="center"/>
              <w:rPr>
                <w:b/>
                <w:u w:val="single"/>
              </w:rPr>
            </w:pPr>
            <w:r w:rsidRPr="008D419A">
              <w:rPr>
                <w:b/>
                <w:u w:val="single"/>
              </w:rPr>
              <w:t>Description</w:t>
            </w:r>
          </w:p>
        </w:tc>
        <w:tc>
          <w:tcPr>
            <w:tcW w:w="2311" w:type="dxa"/>
          </w:tcPr>
          <w:p w:rsidR="008D419A" w:rsidRPr="008D419A" w:rsidRDefault="008D419A" w:rsidP="008D419A">
            <w:pPr>
              <w:jc w:val="center"/>
              <w:rPr>
                <w:b/>
                <w:u w:val="single"/>
              </w:rPr>
            </w:pPr>
            <w:r w:rsidRPr="008D419A">
              <w:rPr>
                <w:b/>
                <w:u w:val="single"/>
              </w:rPr>
              <w:t>Example</w:t>
            </w:r>
          </w:p>
        </w:tc>
      </w:tr>
      <w:tr w:rsidR="008D419A" w:rsidTr="008D419A">
        <w:tc>
          <w:tcPr>
            <w:tcW w:w="2310" w:type="dxa"/>
          </w:tcPr>
          <w:p w:rsidR="008D419A" w:rsidRDefault="008D419A" w:rsidP="008D419A">
            <w:r>
              <w:t>move</w:t>
            </w:r>
          </w:p>
        </w:tc>
        <w:tc>
          <w:tcPr>
            <w:tcW w:w="2310" w:type="dxa"/>
          </w:tcPr>
          <w:p w:rsidR="008D419A" w:rsidRDefault="008D419A" w:rsidP="008D419A">
            <w:r>
              <w:t xml:space="preserve">move/16 </w:t>
            </w:r>
            <w:proofErr w:type="spellStart"/>
            <w:r>
              <w:t>vAAAA,vBBBB</w:t>
            </w:r>
            <w:proofErr w:type="spellEnd"/>
          </w:p>
        </w:tc>
        <w:tc>
          <w:tcPr>
            <w:tcW w:w="2311" w:type="dxa"/>
          </w:tcPr>
          <w:p w:rsidR="008D419A" w:rsidRDefault="008D419A" w:rsidP="008D419A">
            <w:proofErr w:type="gramStart"/>
            <w:r>
              <w:t>moves</w:t>
            </w:r>
            <w:proofErr w:type="gramEnd"/>
            <w:r>
              <w:t xml:space="preserve"> the contents of a 16-bit register B to another 16-bit register A.</w:t>
            </w:r>
          </w:p>
          <w:p w:rsidR="008D419A" w:rsidRDefault="008D419A" w:rsidP="008D419A">
            <w:r>
              <w:t xml:space="preserve">Similar instructions: </w:t>
            </w:r>
            <w:proofErr w:type="spellStart"/>
            <w:r>
              <w:t>move,move</w:t>
            </w:r>
            <w:proofErr w:type="spellEnd"/>
            <w:r>
              <w:t>-</w:t>
            </w:r>
            <w:proofErr w:type="spellStart"/>
            <w:r>
              <w:t>wide,move</w:t>
            </w:r>
            <w:proofErr w:type="spellEnd"/>
            <w:r>
              <w:t>-object</w:t>
            </w:r>
          </w:p>
          <w:p w:rsidR="008D419A" w:rsidRDefault="008D419A" w:rsidP="008D419A"/>
        </w:tc>
        <w:tc>
          <w:tcPr>
            <w:tcW w:w="2311" w:type="dxa"/>
          </w:tcPr>
          <w:p w:rsidR="008D419A" w:rsidRDefault="008D419A" w:rsidP="008D419A">
            <w:r>
              <w:t>move/16 v1,v2</w:t>
            </w:r>
          </w:p>
          <w:p w:rsidR="008D419A" w:rsidRDefault="008D419A" w:rsidP="008D419A"/>
        </w:tc>
      </w:tr>
      <w:tr w:rsidR="008D419A" w:rsidTr="008D419A">
        <w:tc>
          <w:tcPr>
            <w:tcW w:w="2310" w:type="dxa"/>
          </w:tcPr>
          <w:p w:rsidR="008D419A" w:rsidRDefault="008D419A" w:rsidP="008D419A">
            <w:r>
              <w:t>return</w:t>
            </w:r>
          </w:p>
        </w:tc>
        <w:tc>
          <w:tcPr>
            <w:tcW w:w="2310" w:type="dxa"/>
          </w:tcPr>
          <w:p w:rsidR="008D419A" w:rsidRDefault="008D419A" w:rsidP="008D419A">
            <w:r>
              <w:t xml:space="preserve">return </w:t>
            </w:r>
            <w:proofErr w:type="spellStart"/>
            <w:r>
              <w:t>vx</w:t>
            </w:r>
            <w:proofErr w:type="spellEnd"/>
          </w:p>
        </w:tc>
        <w:tc>
          <w:tcPr>
            <w:tcW w:w="2311" w:type="dxa"/>
          </w:tcPr>
          <w:p w:rsidR="008D419A" w:rsidRDefault="008D419A" w:rsidP="008D419A">
            <w:proofErr w:type="gramStart"/>
            <w:r>
              <w:t>returns</w:t>
            </w:r>
            <w:proofErr w:type="gramEnd"/>
            <w:r>
              <w:t xml:space="preserve"> the value </w:t>
            </w:r>
            <w:proofErr w:type="spellStart"/>
            <w:r>
              <w:t>vx</w:t>
            </w:r>
            <w:proofErr w:type="spellEnd"/>
            <w:r>
              <w:t>. Similar instructions: return-</w:t>
            </w:r>
            <w:proofErr w:type="spellStart"/>
            <w:r>
              <w:t>void,return</w:t>
            </w:r>
            <w:proofErr w:type="spellEnd"/>
            <w:r>
              <w:t>-</w:t>
            </w:r>
            <w:proofErr w:type="spellStart"/>
            <w:r>
              <w:t>wide,return</w:t>
            </w:r>
            <w:proofErr w:type="spellEnd"/>
            <w:r>
              <w:t>-object</w:t>
            </w:r>
          </w:p>
          <w:p w:rsidR="008D419A" w:rsidRDefault="008D419A" w:rsidP="008D419A"/>
        </w:tc>
        <w:tc>
          <w:tcPr>
            <w:tcW w:w="2311" w:type="dxa"/>
          </w:tcPr>
          <w:p w:rsidR="008D419A" w:rsidRDefault="008D419A" w:rsidP="008D419A">
            <w:r>
              <w:t>return v1</w:t>
            </w:r>
          </w:p>
        </w:tc>
      </w:tr>
      <w:tr w:rsidR="008D419A" w:rsidTr="008D419A">
        <w:tc>
          <w:tcPr>
            <w:tcW w:w="2310" w:type="dxa"/>
          </w:tcPr>
          <w:p w:rsidR="008D419A" w:rsidRDefault="009D29AB" w:rsidP="008D419A">
            <w:r>
              <w:t>throw</w:t>
            </w:r>
          </w:p>
        </w:tc>
        <w:tc>
          <w:tcPr>
            <w:tcW w:w="2310" w:type="dxa"/>
          </w:tcPr>
          <w:p w:rsidR="008D419A" w:rsidRDefault="009D29AB" w:rsidP="008D419A">
            <w:r>
              <w:t xml:space="preserve">throw </w:t>
            </w:r>
            <w:proofErr w:type="spellStart"/>
            <w:r>
              <w:t>vx</w:t>
            </w:r>
            <w:proofErr w:type="spellEnd"/>
          </w:p>
        </w:tc>
        <w:tc>
          <w:tcPr>
            <w:tcW w:w="2311" w:type="dxa"/>
          </w:tcPr>
          <w:p w:rsidR="009D29AB" w:rsidRDefault="009D29AB" w:rsidP="009D29AB">
            <w:r>
              <w:t xml:space="preserve">throws the exception object referenced at </w:t>
            </w:r>
            <w:proofErr w:type="spellStart"/>
            <w:r>
              <w:t>vx</w:t>
            </w:r>
            <w:proofErr w:type="spellEnd"/>
          </w:p>
          <w:p w:rsidR="008D419A" w:rsidRDefault="008D419A" w:rsidP="008D419A"/>
        </w:tc>
        <w:tc>
          <w:tcPr>
            <w:tcW w:w="2311" w:type="dxa"/>
          </w:tcPr>
          <w:p w:rsidR="008D419A" w:rsidRDefault="009D29AB" w:rsidP="008D419A">
            <w:r>
              <w:t>throw v1</w:t>
            </w:r>
          </w:p>
        </w:tc>
      </w:tr>
      <w:tr w:rsidR="008D419A" w:rsidTr="008D419A">
        <w:tc>
          <w:tcPr>
            <w:tcW w:w="2310" w:type="dxa"/>
          </w:tcPr>
          <w:p w:rsidR="008D419A" w:rsidRDefault="009D29AB" w:rsidP="008D419A">
            <w:proofErr w:type="spellStart"/>
            <w:r>
              <w:t>goto</w:t>
            </w:r>
            <w:proofErr w:type="spellEnd"/>
          </w:p>
        </w:tc>
        <w:tc>
          <w:tcPr>
            <w:tcW w:w="2310" w:type="dxa"/>
          </w:tcPr>
          <w:p w:rsidR="008D419A" w:rsidRDefault="009D29AB" w:rsidP="008D419A">
            <w:proofErr w:type="spellStart"/>
            <w:r>
              <w:t>goto</w:t>
            </w:r>
            <w:proofErr w:type="spellEnd"/>
            <w:r>
              <w:t xml:space="preserve"> target</w:t>
            </w:r>
          </w:p>
        </w:tc>
        <w:tc>
          <w:tcPr>
            <w:tcW w:w="2311" w:type="dxa"/>
          </w:tcPr>
          <w:p w:rsidR="00C81092" w:rsidRDefault="00C81092" w:rsidP="00C81092">
            <w:r>
              <w:t xml:space="preserve">Unconditional jump to the target by an offset of type </w:t>
            </w:r>
            <w:proofErr w:type="gramStart"/>
            <w:r>
              <w:t>short .</w:t>
            </w:r>
            <w:proofErr w:type="gramEnd"/>
          </w:p>
          <w:p w:rsidR="00C81092" w:rsidRDefault="00C81092" w:rsidP="00C81092">
            <w:r>
              <w:t xml:space="preserve">Similar instructions: </w:t>
            </w:r>
            <w:proofErr w:type="spellStart"/>
            <w:r>
              <w:t>goto</w:t>
            </w:r>
            <w:proofErr w:type="spellEnd"/>
            <w:r>
              <w:t xml:space="preserve">/16, </w:t>
            </w:r>
            <w:proofErr w:type="spellStart"/>
            <w:r>
              <w:t>goto</w:t>
            </w:r>
            <w:proofErr w:type="spellEnd"/>
            <w:r>
              <w:t>/32</w:t>
            </w:r>
          </w:p>
          <w:p w:rsidR="008D419A" w:rsidRDefault="008D419A" w:rsidP="008D419A"/>
        </w:tc>
        <w:tc>
          <w:tcPr>
            <w:tcW w:w="2311" w:type="dxa"/>
          </w:tcPr>
          <w:p w:rsidR="008D419A" w:rsidRDefault="00C81092" w:rsidP="008D419A">
            <w:proofErr w:type="spellStart"/>
            <w:r>
              <w:t>goto</w:t>
            </w:r>
            <w:proofErr w:type="spellEnd"/>
            <w:r>
              <w:t xml:space="preserve"> 0110</w:t>
            </w:r>
          </w:p>
        </w:tc>
      </w:tr>
      <w:tr w:rsidR="008D419A" w:rsidTr="008D419A">
        <w:tc>
          <w:tcPr>
            <w:tcW w:w="2310" w:type="dxa"/>
          </w:tcPr>
          <w:p w:rsidR="008D419A" w:rsidRDefault="00C81092" w:rsidP="008D419A">
            <w:r>
              <w:t>if-</w:t>
            </w:r>
            <w:proofErr w:type="spellStart"/>
            <w:r>
              <w:t>eq</w:t>
            </w:r>
            <w:proofErr w:type="spellEnd"/>
          </w:p>
        </w:tc>
        <w:tc>
          <w:tcPr>
            <w:tcW w:w="2310" w:type="dxa"/>
          </w:tcPr>
          <w:p w:rsidR="008D419A" w:rsidRDefault="00C81092" w:rsidP="008D419A">
            <w:r>
              <w:t>if-</w:t>
            </w:r>
            <w:proofErr w:type="spellStart"/>
            <w:r>
              <w:t>eq</w:t>
            </w:r>
            <w:proofErr w:type="spellEnd"/>
            <w:r>
              <w:t xml:space="preserve"> </w:t>
            </w:r>
            <w:proofErr w:type="spellStart"/>
            <w:r>
              <w:t>vx,vy,target</w:t>
            </w:r>
            <w:proofErr w:type="spellEnd"/>
          </w:p>
        </w:tc>
        <w:tc>
          <w:tcPr>
            <w:tcW w:w="2311" w:type="dxa"/>
          </w:tcPr>
          <w:p w:rsidR="00C81092" w:rsidRDefault="00C81092" w:rsidP="00C81092">
            <w:r>
              <w:t xml:space="preserve">Checks for equality of integer values in </w:t>
            </w:r>
            <w:proofErr w:type="spellStart"/>
            <w:r>
              <w:t>vx</w:t>
            </w:r>
            <w:proofErr w:type="spellEnd"/>
            <w:r>
              <w:t xml:space="preserve"> and </w:t>
            </w:r>
            <w:proofErr w:type="spellStart"/>
            <w:r>
              <w:t>vy</w:t>
            </w:r>
            <w:proofErr w:type="spellEnd"/>
            <w:r>
              <w:t>. If true, it jumps to the target.</w:t>
            </w:r>
          </w:p>
          <w:p w:rsidR="00C81092" w:rsidRDefault="00C81092" w:rsidP="00C81092">
            <w:r>
              <w:t>Similar instructions: if-ne, if-</w:t>
            </w:r>
            <w:proofErr w:type="spellStart"/>
            <w:r>
              <w:t>lt</w:t>
            </w:r>
            <w:proofErr w:type="spellEnd"/>
            <w:r>
              <w:t>, if-</w:t>
            </w:r>
            <w:proofErr w:type="spellStart"/>
            <w:r>
              <w:t>ge</w:t>
            </w:r>
            <w:proofErr w:type="spellEnd"/>
            <w:r>
              <w:t>, if-</w:t>
            </w:r>
            <w:proofErr w:type="spellStart"/>
            <w:r>
              <w:t>gt</w:t>
            </w:r>
            <w:proofErr w:type="spellEnd"/>
            <w:r>
              <w:t>, if-le</w:t>
            </w:r>
          </w:p>
          <w:p w:rsidR="008D419A" w:rsidRDefault="008D419A" w:rsidP="008D419A"/>
        </w:tc>
        <w:tc>
          <w:tcPr>
            <w:tcW w:w="2311" w:type="dxa"/>
          </w:tcPr>
          <w:p w:rsidR="00C81092" w:rsidRDefault="00C81092" w:rsidP="00C81092">
            <w:r>
              <w:t>if-</w:t>
            </w:r>
            <w:proofErr w:type="spellStart"/>
            <w:r>
              <w:t>eq</w:t>
            </w:r>
            <w:proofErr w:type="spellEnd"/>
            <w:r>
              <w:t xml:space="preserve"> v0,v1,0200</w:t>
            </w:r>
          </w:p>
          <w:p w:rsidR="008D419A" w:rsidRDefault="008D419A" w:rsidP="008D419A"/>
        </w:tc>
      </w:tr>
    </w:tbl>
    <w:p w:rsidR="008D419A" w:rsidRPr="008D419A" w:rsidRDefault="008D419A" w:rsidP="008D419A">
      <w:pPr>
        <w:spacing w:line="240" w:lineRule="auto"/>
        <w:rPr>
          <w:b/>
        </w:rPr>
      </w:pPr>
    </w:p>
    <w:p w:rsidR="008D419A" w:rsidRPr="008D419A" w:rsidRDefault="008D419A" w:rsidP="008D419A">
      <w:pPr>
        <w:spacing w:line="240" w:lineRule="auto"/>
        <w:rPr>
          <w:b/>
        </w:rPr>
      </w:pPr>
      <w:r w:rsidRPr="008D419A">
        <w:rPr>
          <w:b/>
        </w:rPr>
        <w:t>Differentiate between mobile and cloud computing</w:t>
      </w:r>
    </w:p>
    <w:tbl>
      <w:tblPr>
        <w:tblStyle w:val="TableGrid"/>
        <w:tblW w:w="0" w:type="auto"/>
        <w:tblLook w:val="04A0"/>
      </w:tblPr>
      <w:tblGrid>
        <w:gridCol w:w="4621"/>
        <w:gridCol w:w="4621"/>
      </w:tblGrid>
      <w:tr w:rsidR="007A5F84" w:rsidTr="007A5F84">
        <w:tc>
          <w:tcPr>
            <w:tcW w:w="4621" w:type="dxa"/>
          </w:tcPr>
          <w:p w:rsidR="007A5F84" w:rsidRPr="007A5F84" w:rsidRDefault="007A5F84" w:rsidP="007A5F84">
            <w:pPr>
              <w:jc w:val="center"/>
              <w:rPr>
                <w:b/>
                <w:u w:val="single"/>
              </w:rPr>
            </w:pPr>
            <w:r w:rsidRPr="007A5F84">
              <w:rPr>
                <w:b/>
                <w:u w:val="single"/>
              </w:rPr>
              <w:t>Mobile Computing</w:t>
            </w:r>
          </w:p>
        </w:tc>
        <w:tc>
          <w:tcPr>
            <w:tcW w:w="4621" w:type="dxa"/>
          </w:tcPr>
          <w:p w:rsidR="007A5F84" w:rsidRPr="007A5F84" w:rsidRDefault="007A5F84" w:rsidP="007A5F84">
            <w:pPr>
              <w:jc w:val="center"/>
              <w:rPr>
                <w:b/>
                <w:u w:val="single"/>
              </w:rPr>
            </w:pPr>
            <w:r w:rsidRPr="007A5F84">
              <w:rPr>
                <w:b/>
                <w:u w:val="single"/>
              </w:rPr>
              <w:t>Cloud Computing</w:t>
            </w:r>
          </w:p>
        </w:tc>
      </w:tr>
      <w:tr w:rsidR="007A5F84" w:rsidTr="007A5F84">
        <w:tc>
          <w:tcPr>
            <w:tcW w:w="4621" w:type="dxa"/>
          </w:tcPr>
          <w:p w:rsidR="007A5F84" w:rsidRDefault="007A5F84" w:rsidP="007A5F84">
            <w:r>
              <w:t>Mobile Computing involves transmitting data, voice and video via a computer or any other wireless enabled device without having to be connected to a fixed physical link.</w:t>
            </w:r>
          </w:p>
          <w:p w:rsidR="007A5F84" w:rsidRDefault="007A5F84" w:rsidP="008D419A"/>
        </w:tc>
        <w:tc>
          <w:tcPr>
            <w:tcW w:w="4621" w:type="dxa"/>
          </w:tcPr>
          <w:p w:rsidR="007A5F84" w:rsidRDefault="007A5F84" w:rsidP="008D419A">
            <w:r>
              <w:t>Cloud Computing involves computing or data transfer on distributed systems over a network (like internet)</w:t>
            </w:r>
          </w:p>
        </w:tc>
      </w:tr>
      <w:tr w:rsidR="007A5F84" w:rsidTr="007A5F84">
        <w:tc>
          <w:tcPr>
            <w:tcW w:w="4621" w:type="dxa"/>
          </w:tcPr>
          <w:p w:rsidR="007A5F84" w:rsidRDefault="007A5F84" w:rsidP="008D419A">
            <w:r>
              <w:t xml:space="preserve">Computing can </w:t>
            </w:r>
            <w:proofErr w:type="gramStart"/>
            <w:r>
              <w:t>happen</w:t>
            </w:r>
            <w:proofErr w:type="gramEnd"/>
            <w:r>
              <w:t xml:space="preserve"> offline when the device is not connected to any network.</w:t>
            </w:r>
          </w:p>
        </w:tc>
        <w:tc>
          <w:tcPr>
            <w:tcW w:w="4621" w:type="dxa"/>
          </w:tcPr>
          <w:p w:rsidR="007A5F84" w:rsidRDefault="007A5F84" w:rsidP="008D419A">
            <w:r>
              <w:t>Computing needs persistent network connectivity</w:t>
            </w:r>
          </w:p>
        </w:tc>
      </w:tr>
      <w:tr w:rsidR="007A5F84" w:rsidTr="007A5F84">
        <w:tc>
          <w:tcPr>
            <w:tcW w:w="4621" w:type="dxa"/>
          </w:tcPr>
          <w:p w:rsidR="007A5F84" w:rsidRDefault="00077286" w:rsidP="008D419A">
            <w:r>
              <w:t xml:space="preserve">Mobile communication (data transfer over a mobile network=&gt; </w:t>
            </w:r>
            <w:proofErr w:type="spellStart"/>
            <w:r>
              <w:t>GSM,CDMA,Wi-fi</w:t>
            </w:r>
            <w:proofErr w:type="spellEnd"/>
            <w:r>
              <w:t>), Mobile Hardware (</w:t>
            </w:r>
            <w:proofErr w:type="spellStart"/>
            <w:r>
              <w:t>Laptops,Smartphones,Tablet</w:t>
            </w:r>
            <w:proofErr w:type="spellEnd"/>
            <w:r>
              <w:t xml:space="preserve"> PCs) and Mobile Software (</w:t>
            </w:r>
            <w:proofErr w:type="spellStart"/>
            <w:r>
              <w:t>Android,IOS,Windows</w:t>
            </w:r>
            <w:proofErr w:type="spellEnd"/>
            <w:r>
              <w:t>) constitute to Mobile Computing</w:t>
            </w:r>
          </w:p>
        </w:tc>
        <w:tc>
          <w:tcPr>
            <w:tcW w:w="4621" w:type="dxa"/>
          </w:tcPr>
          <w:p w:rsidR="007A5F84" w:rsidRDefault="00077286" w:rsidP="008D419A">
            <w:r>
              <w:t>Infrastructure as a Service, Platform as a Service, Software as a Service and Network as a Service constitute to Cloud Computing</w:t>
            </w:r>
          </w:p>
        </w:tc>
      </w:tr>
    </w:tbl>
    <w:p w:rsidR="008D419A" w:rsidRPr="008D419A" w:rsidRDefault="008D419A" w:rsidP="008D419A">
      <w:pPr>
        <w:spacing w:line="240" w:lineRule="auto"/>
        <w:rPr>
          <w:b/>
        </w:rPr>
      </w:pPr>
      <w:r w:rsidRPr="008D419A">
        <w:rPr>
          <w:b/>
        </w:rPr>
        <w:lastRenderedPageBreak/>
        <w:t>Give an example of an application simulating an environment of context aware computing and justify.</w:t>
      </w:r>
    </w:p>
    <w:p w:rsidR="00004BBF" w:rsidRDefault="008D419A" w:rsidP="008D419A">
      <w:pPr>
        <w:spacing w:line="240" w:lineRule="auto"/>
      </w:pPr>
      <w:r>
        <w:t>Google Maps application simulates an environment of context aware computing by bringing up a virtual pointer refe</w:t>
      </w:r>
      <w:r w:rsidR="00F1079D">
        <w:t>r</w:t>
      </w:r>
      <w:r>
        <w:t>ring to the device and its orientation with respect to the map of the current vicinity. Any movement of the device with respect to positioning reflects on the map via the pointer.</w:t>
      </w:r>
    </w:p>
    <w:sectPr w:rsidR="00004BBF" w:rsidSect="00004B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D419A"/>
    <w:rsid w:val="00004BBF"/>
    <w:rsid w:val="00077286"/>
    <w:rsid w:val="007A5F84"/>
    <w:rsid w:val="008D419A"/>
    <w:rsid w:val="009D29AB"/>
    <w:rsid w:val="00AD2481"/>
    <w:rsid w:val="00C81092"/>
    <w:rsid w:val="00F107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B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4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6</cp:revision>
  <dcterms:created xsi:type="dcterms:W3CDTF">2013-11-22T14:29:00Z</dcterms:created>
  <dcterms:modified xsi:type="dcterms:W3CDTF">2013-11-22T14:45:00Z</dcterms:modified>
</cp:coreProperties>
</file>