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20"/>
        <w:jc w:val="center"/>
      </w:pPr>
      <w:r>
        <w:rPr>
          <w:rFonts w:ascii="Segoe UI" w:hAnsi="Segoe UI"/>
          <w:b w:val="0"/>
          <w:i w:val="0"/>
          <w:color w:val="4A5568"/>
          <w:sz w:val="22"/>
        </w:rPr>
        <w:t>M.PHIL. CLINICAL PSYCHOLOGY  •  STUDY NOTES</w:t>
      </w:r>
    </w:p>
    <w:p>
      <w:pPr>
        <w:spacing w:before="120" w:after="120"/>
        <w:jc w:val="center"/>
      </w:pPr>
      <w:r>
        <w:rPr>
          <w:rFonts w:ascii="Segoe UI" w:hAnsi="Segoe UI"/>
          <w:b/>
          <w:i w:val="0"/>
          <w:color w:val="2B4C7E"/>
          <w:sz w:val="52"/>
        </w:rPr>
        <w:t>Psychotherapy — Unit I: Introduction to Psychotherapy</w:t>
      </w:r>
    </w:p>
    <w:p>
      <w:pPr>
        <w:spacing w:before="40" w:after="200"/>
        <w:jc w:val="center"/>
      </w:pPr>
      <w:r>
        <w:rPr>
          <w:rFonts w:ascii="Segoe UI" w:hAnsi="Segoe UI"/>
          <w:b w:val="0"/>
          <w:i w:val="0"/>
          <w:color w:val="1B2330"/>
          <w:sz w:val="30"/>
        </w:rPr>
        <w:t>M.Phil. Clinical Psychology</w:t>
      </w:r>
    </w:p>
    <w:p>
      <w:pPr>
        <w:spacing w:before="400" w:after="120"/>
        <w:jc w:val="center"/>
      </w:pPr>
      <w:r>
        <w:rPr>
          <w:rFonts w:ascii="Segoe UI" w:hAnsi="Segoe UI"/>
          <w:b/>
          <w:i w:val="0"/>
          <w:color w:val="1B2330"/>
          <w:sz w:val="26"/>
        </w:rPr>
        <w:t>Made by Tejas Dangodra | M.Phil. Clinical Psychology</w:t>
      </w:r>
    </w:p>
    <w:p>
      <w:pPr>
        <w:spacing w:before="480" w:after="0"/>
        <w:jc w:val="center"/>
      </w:pPr>
      <w:r>
        <w:rPr>
          <w:rFonts w:ascii="Calibri" w:hAnsi="Calibri"/>
          <w:b w:val="0"/>
          <w:i w:val="0"/>
          <w:color w:val="4A5568"/>
          <w:sz w:val="20"/>
        </w:rPr>
        <w:t>Scope — Unit I: Introduction to Psychotherapy. Definitions; objectives; training of professional therapists; ethical and legal issues; rights and responsibilities; consent and assent (minors); planning and recording of sessions; structuring and goal setting; pre- and post-assessment; and the practice of evidence-based therapies. Bullet-point study format, with a flow chart and a mnemonic for each of the ten topics.</w:t>
      </w:r>
    </w:p>
    <w:p>
      <w:r>
        <w:br w:type="page"/>
      </w:r>
    </w:p>
    <w:p>
      <w:pPr>
        <w:pStyle w:val="Heading1"/>
      </w:pPr>
      <w:r>
        <w:rPr>
          <w:rFonts w:ascii="Segoe UI" w:hAnsi="Segoe UI"/>
          <w:b/>
          <w:i w:val="0"/>
          <w:color w:val="2B4C7E"/>
          <w:sz w:val="30"/>
        </w:rPr>
        <w:t>Contents</w:t>
      </w:r>
    </w:p>
    <w:p>
      <w:pPr>
        <w:pStyle w:val="ListNumber"/>
        <w:spacing w:before="0" w:after="20"/>
      </w:pPr>
      <w:r>
        <w:rPr>
          <w:rFonts w:ascii="Calibri" w:hAnsi="Calibri"/>
          <w:b w:val="0"/>
          <w:i w:val="0"/>
          <w:color w:val="1B2330"/>
          <w:sz w:val="22"/>
        </w:rPr>
        <w:t>Definitions of Psychotherapy</w:t>
      </w:r>
    </w:p>
    <w:p>
      <w:pPr>
        <w:pStyle w:val="ListNumber"/>
        <w:spacing w:before="0" w:after="20"/>
      </w:pPr>
      <w:r>
        <w:rPr>
          <w:rFonts w:ascii="Calibri" w:hAnsi="Calibri"/>
          <w:b w:val="0"/>
          <w:i w:val="0"/>
          <w:color w:val="1B2330"/>
          <w:sz w:val="22"/>
        </w:rPr>
        <w:t>Objectives (Goals) of Psychotherapy</w:t>
      </w:r>
    </w:p>
    <w:p>
      <w:pPr>
        <w:pStyle w:val="ListNumber"/>
        <w:spacing w:before="0" w:after="20"/>
      </w:pPr>
      <w:r>
        <w:rPr>
          <w:rFonts w:ascii="Calibri" w:hAnsi="Calibri"/>
          <w:b w:val="0"/>
          <w:i w:val="0"/>
          <w:color w:val="1B2330"/>
          <w:sz w:val="22"/>
        </w:rPr>
        <w:t>Issues in Training Professional Therapists</w:t>
      </w:r>
    </w:p>
    <w:p>
      <w:pPr>
        <w:pStyle w:val="ListNumber"/>
        <w:spacing w:before="0" w:after="20"/>
      </w:pPr>
      <w:r>
        <w:rPr>
          <w:rFonts w:ascii="Calibri" w:hAnsi="Calibri"/>
          <w:b w:val="0"/>
          <w:i w:val="0"/>
          <w:color w:val="1B2330"/>
          <w:sz w:val="22"/>
        </w:rPr>
        <w:t>Ethical and Legal Issues in Therapy Work</w:t>
      </w:r>
    </w:p>
    <w:p>
      <w:pPr>
        <w:pStyle w:val="ListNumber"/>
        <w:spacing w:before="0" w:after="20"/>
      </w:pPr>
      <w:r>
        <w:rPr>
          <w:rFonts w:ascii="Calibri" w:hAnsi="Calibri"/>
          <w:b w:val="0"/>
          <w:i w:val="0"/>
          <w:color w:val="1B2330"/>
          <w:sz w:val="22"/>
        </w:rPr>
        <w:t>Rights and Responsibilities in Psychotherapy</w:t>
      </w:r>
    </w:p>
    <w:p>
      <w:pPr>
        <w:pStyle w:val="ListNumber"/>
        <w:spacing w:before="0" w:after="20"/>
      </w:pPr>
      <w:r>
        <w:rPr>
          <w:rFonts w:ascii="Calibri" w:hAnsi="Calibri"/>
          <w:b w:val="0"/>
          <w:i w:val="0"/>
          <w:color w:val="1B2330"/>
          <w:sz w:val="22"/>
        </w:rPr>
        <w:t>Consent and Assent (Including Minors)</w:t>
      </w:r>
    </w:p>
    <w:p>
      <w:pPr>
        <w:pStyle w:val="ListNumber"/>
        <w:spacing w:before="0" w:after="20"/>
      </w:pPr>
      <w:r>
        <w:rPr>
          <w:rFonts w:ascii="Calibri" w:hAnsi="Calibri"/>
          <w:b w:val="0"/>
          <w:i w:val="0"/>
          <w:color w:val="1B2330"/>
          <w:sz w:val="22"/>
        </w:rPr>
        <w:t>Planning and Recording of Therapy Sessions</w:t>
      </w:r>
    </w:p>
    <w:p>
      <w:pPr>
        <w:pStyle w:val="ListNumber"/>
        <w:spacing w:before="0" w:after="20"/>
      </w:pPr>
      <w:r>
        <w:rPr>
          <w:rFonts w:ascii="Calibri" w:hAnsi="Calibri"/>
          <w:b w:val="0"/>
          <w:i w:val="0"/>
          <w:color w:val="1B2330"/>
          <w:sz w:val="22"/>
        </w:rPr>
        <w:t>Structuring Therapy and Setting Goals</w:t>
      </w:r>
    </w:p>
    <w:p>
      <w:pPr>
        <w:pStyle w:val="ListNumber"/>
        <w:spacing w:before="0" w:after="20"/>
      </w:pPr>
      <w:r>
        <w:rPr>
          <w:rFonts w:ascii="Calibri" w:hAnsi="Calibri"/>
          <w:b w:val="0"/>
          <w:i w:val="0"/>
          <w:color w:val="1B2330"/>
          <w:sz w:val="22"/>
        </w:rPr>
        <w:t>Pre- and Post-Assessment</w:t>
      </w:r>
    </w:p>
    <w:p>
      <w:pPr>
        <w:pStyle w:val="ListNumber"/>
        <w:spacing w:before="0" w:after="20"/>
      </w:pPr>
      <w:r>
        <w:rPr>
          <w:rFonts w:ascii="Calibri" w:hAnsi="Calibri"/>
          <w:b w:val="0"/>
          <w:i w:val="0"/>
          <w:color w:val="1B2330"/>
          <w:sz w:val="22"/>
        </w:rPr>
        <w:t>Practice of Evidence-Based Therapies (EBP)</w:t>
      </w:r>
    </w:p>
    <w:tbl>
      <w:tblPr>
        <w:tblW w:type="auto" w:w="0"/>
        <w:jc w:val="center"/>
        <w:tblLook w:firstColumn="1" w:firstRow="1" w:lastColumn="0" w:lastRow="0" w:noHBand="0" w:noVBand="1" w:val="04A0"/>
      </w:tblPr>
      <w:tblGrid>
        <w:gridCol w:w="9638"/>
      </w:tblGrid>
      <w:tr>
        <w:tc>
          <w:tcPr>
            <w:tcW w:type="dxa" w:w="9411"/>
            <w:tcBorders>
              <w:top w:val="single" w:sz="8" w:space="0" w:color="B23A48"/>
              <w:left w:val="single" w:sz="8" w:space="0" w:color="B23A48"/>
              <w:bottom w:val="single" w:sz="8" w:space="0" w:color="B23A48"/>
              <w:right w:val="single" w:sz="8" w:space="0" w:color="B23A48"/>
            </w:tcBorders>
            <w:shd w:val="clear" w:color="auto" w:fill="FDECEF"/>
          </w:tcPr>
          <w:p>
            <w:pPr>
              <w:spacing w:before="40" w:after="60"/>
            </w:pPr>
            <w:r>
              <w:rPr>
                <w:rFonts w:ascii="Segoe UI" w:hAnsi="Segoe UI"/>
                <w:b/>
                <w:i w:val="0"/>
                <w:color w:val="B23A48"/>
                <w:sz w:val="21"/>
              </w:rPr>
              <w:t>A note on sources (read first)</w:t>
            </w:r>
          </w:p>
          <w:p>
            <w:pPr>
              <w:pStyle w:val="ListBullet"/>
              <w:spacing w:before="0" w:after="40"/>
            </w:pPr>
            <w:r>
              <w:rPr>
                <w:rFonts w:ascii="Calibri" w:hAnsi="Calibri"/>
                <w:b w:val="0"/>
                <w:i w:val="0"/>
                <w:color w:val="1B2330"/>
                <w:sz w:val="19"/>
              </w:rPr>
              <w:t>PRIMARY (used directly): the course backbone "Psychotherapy Exam Notes" (Unit I), which is the organised spine of these notes, plus a secondary set of typed psychotherapy notes used for supporting definitions.</w:t>
            </w:r>
          </w:p>
          <w:p>
            <w:pPr>
              <w:pStyle w:val="ListBullet"/>
              <w:spacing w:before="0" w:after="40"/>
            </w:pPr>
            <w:r>
              <w:rPr>
                <w:rFonts w:ascii="Calibri" w:hAnsi="Calibri"/>
                <w:b w:val="0"/>
                <w:i w:val="0"/>
                <w:color w:val="1B2330"/>
                <w:sz w:val="19"/>
              </w:rPr>
              <w:t>SUPPORTED and stated as such: RCI (Rehabilitation Council of India Act, 1992), the APA Ethical Principles and the APA (2006) definition of evidence-based practice, and WHO mhGAP / task-shifting. These appear in the backbone and are presented directly.</w:t>
            </w:r>
          </w:p>
          <w:p>
            <w:pPr>
              <w:pStyle w:val="ListBullet"/>
              <w:spacing w:before="0" w:after="40"/>
            </w:pPr>
            <w:r>
              <w:rPr>
                <w:rFonts w:ascii="Calibri" w:hAnsi="Calibri"/>
                <w:b w:val="0"/>
                <w:i w:val="0"/>
                <w:color w:val="1B2330"/>
                <w:sz w:val="19"/>
              </w:rPr>
              <w:t>SECONDARY / paraphrased: IACP (Indian Association of Clinical Psychologists) code of ethics was NOT accessible and is absent from the extracted sources. Every IACP mention below is flagged SECONDARY and paraphrased from general knowledge only — no clause numbers, no quoted text, no dates are asserted for it.</w:t>
            </w:r>
          </w:p>
          <w:p>
            <w:pPr>
              <w:pStyle w:val="ListBullet"/>
              <w:spacing w:before="0" w:after="40"/>
            </w:pPr>
            <w:r>
              <w:rPr>
                <w:rFonts w:ascii="Calibri" w:hAnsi="Calibri"/>
                <w:b w:val="0"/>
                <w:i w:val="0"/>
                <w:color w:val="1B2330"/>
                <w:sz w:val="19"/>
              </w:rPr>
              <w:t>Integrity: no laws, citations, clause numbers, page numbers or statistics have been invented. Where the backbone gives figures (Lambert's percentages; Eysenck 1952; Smith &amp; Glass 1977) they are reproduced and flagged as approximate / debated, exactly as the backbone frames them.</w:t>
            </w:r>
          </w:p>
        </w:tc>
      </w:tr>
    </w:tbl>
    <w:p>
      <w:pPr>
        <w:spacing w:after="40"/>
      </w:pPr>
    </w:p>
    <w:p>
      <w:pPr>
        <w:pStyle w:val="Heading1"/>
        <w:pageBreakBefore/>
      </w:pPr>
      <w:r>
        <w:rPr>
          <w:rFonts w:ascii="Segoe UI" w:hAnsi="Segoe UI"/>
          <w:b/>
          <w:i w:val="0"/>
          <w:color w:val="2B4C7E"/>
          <w:sz w:val="30"/>
        </w:rPr>
        <w:t>1. Definitions of Psychotherapy</w:t>
      </w:r>
    </w:p>
    <w:p>
      <w:pPr>
        <w:spacing w:before="180" w:after="40"/>
      </w:pPr>
      <w:r>
        <w:rPr>
          <w:rFonts w:ascii="Segoe UI" w:hAnsi="Segoe UI"/>
          <w:b/>
          <w:i w:val="0"/>
          <w:color w:val="1B2330"/>
          <w:sz w:val="23"/>
        </w:rPr>
        <w:t>Classic definitions</w:t>
      </w:r>
    </w:p>
    <w:p>
      <w:pPr>
        <w:pStyle w:val="ListBullet"/>
        <w:spacing w:before="0" w:after="40"/>
      </w:pPr>
      <w:r>
        <w:rPr>
          <w:rFonts w:ascii="Calibri" w:hAnsi="Calibri"/>
          <w:b w:val="0"/>
          <w:i w:val="0"/>
          <w:color w:val="1B2330"/>
          <w:sz w:val="21"/>
        </w:rPr>
        <w:t>Wolberg (1954): a form of treatment for problems of an emotional nature, in which a trained person deliberately establishes a professional relationship with the patient in order to:</w:t>
      </w:r>
    </w:p>
    <w:p>
      <w:pPr>
        <w:pStyle w:val="ListBullet2"/>
        <w:spacing w:before="0" w:after="20"/>
      </w:pPr>
      <w:r>
        <w:rPr>
          <w:rFonts w:ascii="Calibri" w:hAnsi="Calibri"/>
          <w:b w:val="0"/>
          <w:i w:val="0"/>
          <w:color w:val="1B2330"/>
          <w:sz w:val="20"/>
        </w:rPr>
        <w:t>remove, modify or retard existing symptoms;</w:t>
      </w:r>
    </w:p>
    <w:p>
      <w:pPr>
        <w:pStyle w:val="ListBullet2"/>
        <w:spacing w:before="0" w:after="20"/>
      </w:pPr>
      <w:r>
        <w:rPr>
          <w:rFonts w:ascii="Calibri" w:hAnsi="Calibri"/>
          <w:b w:val="0"/>
          <w:i w:val="0"/>
          <w:color w:val="1B2330"/>
          <w:sz w:val="20"/>
        </w:rPr>
        <w:t>mediate (change) disturbed patterns of behaviour;</w:t>
      </w:r>
    </w:p>
    <w:p>
      <w:pPr>
        <w:pStyle w:val="ListBullet2"/>
        <w:spacing w:before="0" w:after="20"/>
      </w:pPr>
      <w:r>
        <w:rPr>
          <w:rFonts w:ascii="Calibri" w:hAnsi="Calibri"/>
          <w:b w:val="0"/>
          <w:i w:val="0"/>
          <w:color w:val="1B2330"/>
          <w:sz w:val="20"/>
        </w:rPr>
        <w:t>promote positive personality growth and development.</w:t>
      </w:r>
    </w:p>
    <w:p>
      <w:pPr>
        <w:pStyle w:val="ListBullet"/>
        <w:spacing w:before="0" w:after="40"/>
      </w:pPr>
      <w:r>
        <w:rPr>
          <w:rFonts w:ascii="Calibri" w:hAnsi="Calibri"/>
          <w:b w:val="0"/>
          <w:i w:val="0"/>
          <w:color w:val="1B2330"/>
          <w:sz w:val="21"/>
        </w:rPr>
        <w:t>Jerome Frank (1961, Persuasion and Healing): a planned, emotionally charged, confiding interaction between a trained, socially sanctioned healer and a sufferer; aims to change the sufferer's feelings, attitudes and behaviour.</w:t>
      </w:r>
    </w:p>
    <w:p>
      <w:pPr>
        <w:pStyle w:val="ListBullet"/>
        <w:spacing w:before="0" w:after="40"/>
      </w:pPr>
      <w:r>
        <w:rPr>
          <w:rFonts w:ascii="Calibri" w:hAnsi="Calibri"/>
          <w:b w:val="0"/>
          <w:i w:val="0"/>
          <w:color w:val="1B2330"/>
          <w:sz w:val="21"/>
        </w:rPr>
        <w:t>Norcross (1990): the informed and intentional application of clinical methods and interpersonal stances derived from established psychological principles, to help people modify behaviours, cognitions, emotions and other characteristics in directions the participants deem desirable.</w:t>
      </w:r>
    </w:p>
    <w:p>
      <w:pPr>
        <w:pStyle w:val="ListBullet"/>
        <w:spacing w:before="0" w:after="40"/>
      </w:pPr>
      <w:r>
        <w:rPr>
          <w:rFonts w:ascii="Calibri" w:hAnsi="Calibri"/>
          <w:b w:val="0"/>
          <w:i w:val="0"/>
          <w:color w:val="1B2330"/>
          <w:sz w:val="21"/>
        </w:rPr>
        <w:t>Strupp: a learning process in which a trained person uses the relationship to help the patient overcome distress and develop more adaptive functioning.</w:t>
      </w:r>
    </w:p>
    <w:p>
      <w:pPr>
        <w:spacing w:before="180" w:after="40"/>
      </w:pPr>
      <w:r>
        <w:rPr>
          <w:rFonts w:ascii="Segoe UI" w:hAnsi="Segoe UI"/>
          <w:b/>
          <w:i w:val="0"/>
          <w:color w:val="1B2330"/>
          <w:sz w:val="23"/>
        </w:rPr>
        <w:t>Key elements common to all definitions</w:t>
      </w:r>
    </w:p>
    <w:p>
      <w:pPr>
        <w:pStyle w:val="ListBullet"/>
        <w:spacing w:before="0" w:after="40"/>
      </w:pPr>
      <w:r>
        <w:rPr>
          <w:rFonts w:ascii="Calibri" w:hAnsi="Calibri"/>
          <w:b w:val="0"/>
          <w:i w:val="0"/>
          <w:color w:val="1B2330"/>
          <w:sz w:val="21"/>
        </w:rPr>
        <w:t>A trained, professional therapist.</w:t>
      </w:r>
    </w:p>
    <w:p>
      <w:pPr>
        <w:pStyle w:val="ListBullet"/>
        <w:spacing w:before="0" w:after="40"/>
      </w:pPr>
      <w:r>
        <w:rPr>
          <w:rFonts w:ascii="Calibri" w:hAnsi="Calibri"/>
          <w:b w:val="0"/>
          <w:i w:val="0"/>
          <w:color w:val="1B2330"/>
          <w:sz w:val="21"/>
        </w:rPr>
        <w:t>A help-seeking client.</w:t>
      </w:r>
    </w:p>
    <w:p>
      <w:pPr>
        <w:pStyle w:val="ListBullet"/>
        <w:spacing w:before="0" w:after="40"/>
      </w:pPr>
      <w:r>
        <w:rPr>
          <w:rFonts w:ascii="Calibri" w:hAnsi="Calibri"/>
          <w:b w:val="0"/>
          <w:i w:val="0"/>
          <w:color w:val="1B2330"/>
          <w:sz w:val="21"/>
        </w:rPr>
        <w:t>A psychological (non-medical) method.</w:t>
      </w:r>
    </w:p>
    <w:p>
      <w:pPr>
        <w:pStyle w:val="ListBullet"/>
        <w:spacing w:before="0" w:after="40"/>
      </w:pPr>
      <w:r>
        <w:rPr>
          <w:rFonts w:ascii="Calibri" w:hAnsi="Calibri"/>
          <w:b w:val="0"/>
          <w:i w:val="0"/>
          <w:color w:val="1B2330"/>
          <w:sz w:val="21"/>
        </w:rPr>
        <w:t>A planned, systematic, theory-based process.</w:t>
      </w:r>
    </w:p>
    <w:p>
      <w:pPr>
        <w:pStyle w:val="ListBullet"/>
        <w:spacing w:before="0" w:after="40"/>
      </w:pPr>
      <w:r>
        <w:rPr>
          <w:rFonts w:ascii="Calibri" w:hAnsi="Calibri"/>
          <w:b w:val="0"/>
          <w:i w:val="0"/>
          <w:color w:val="1B2330"/>
          <w:sz w:val="21"/>
        </w:rPr>
        <w:t>A confiding, therapeutic relationship.</w:t>
      </w:r>
    </w:p>
    <w:p>
      <w:pPr>
        <w:pStyle w:val="ListBullet"/>
        <w:spacing w:before="0" w:after="40"/>
      </w:pPr>
      <w:r>
        <w:rPr>
          <w:rFonts w:ascii="Calibri" w:hAnsi="Calibri"/>
          <w:b w:val="0"/>
          <w:i w:val="0"/>
          <w:color w:val="1B2330"/>
          <w:sz w:val="21"/>
        </w:rPr>
        <w:t>The aim of change (symptom relief, behaviour change, growth).</w:t>
      </w:r>
    </w:p>
    <w:p>
      <w:pPr>
        <w:spacing w:before="180" w:after="40"/>
      </w:pPr>
      <w:r>
        <w:rPr>
          <w:rFonts w:ascii="Segoe UI" w:hAnsi="Segoe UI"/>
          <w:b/>
          <w:i w:val="0"/>
          <w:color w:val="1B2330"/>
          <w:sz w:val="23"/>
        </w:rPr>
        <w:t>Psychotherapy vs counselling vs medical treatment</w:t>
      </w:r>
    </w:p>
    <w:p>
      <w:pPr>
        <w:pStyle w:val="ListBullet"/>
        <w:spacing w:before="0" w:after="40"/>
      </w:pPr>
      <w:r>
        <w:rPr>
          <w:rFonts w:ascii="Calibri" w:hAnsi="Calibri"/>
          <w:b w:val="0"/>
          <w:i w:val="0"/>
          <w:color w:val="1B2330"/>
          <w:sz w:val="21"/>
        </w:rPr>
        <w:t>Psychotherapy vs counselling:</w:t>
      </w:r>
    </w:p>
    <w:p>
      <w:pPr>
        <w:pStyle w:val="ListBullet2"/>
        <w:spacing w:before="0" w:after="20"/>
      </w:pPr>
      <w:r>
        <w:rPr>
          <w:rFonts w:ascii="Calibri" w:hAnsi="Calibri"/>
          <w:b w:val="0"/>
          <w:i w:val="0"/>
          <w:color w:val="1B2330"/>
          <w:sz w:val="20"/>
        </w:rPr>
        <w:t>Counselling: usually normal developmental, situational and adjustment problems; more present- and problem-focused; shorter.</w:t>
      </w:r>
    </w:p>
    <w:p>
      <w:pPr>
        <w:pStyle w:val="ListBullet2"/>
        <w:spacing w:before="0" w:after="20"/>
      </w:pPr>
      <w:r>
        <w:rPr>
          <w:rFonts w:ascii="Calibri" w:hAnsi="Calibri"/>
          <w:b w:val="0"/>
          <w:i w:val="0"/>
          <w:color w:val="1B2330"/>
          <w:sz w:val="20"/>
        </w:rPr>
        <w:t>Psychotherapy: deeper, more enduring or pathological problems and personality reconstruction; usually longer.</w:t>
      </w:r>
    </w:p>
    <w:p>
      <w:pPr>
        <w:pStyle w:val="ListBullet2"/>
        <w:spacing w:before="0" w:after="20"/>
      </w:pPr>
      <w:r>
        <w:rPr>
          <w:rFonts w:ascii="Calibri" w:hAnsi="Calibri"/>
          <w:b w:val="0"/>
          <w:i w:val="0"/>
          <w:color w:val="1B2330"/>
          <w:sz w:val="20"/>
        </w:rPr>
        <w:t>The overlap is large; the distinction is mostly one of degree.</w:t>
      </w:r>
    </w:p>
    <w:p>
      <w:pPr>
        <w:pStyle w:val="ListBullet"/>
        <w:spacing w:before="0" w:after="40"/>
      </w:pPr>
      <w:r>
        <w:rPr>
          <w:rFonts w:ascii="Calibri" w:hAnsi="Calibri"/>
          <w:b w:val="0"/>
          <w:i w:val="0"/>
          <w:color w:val="1B2330"/>
          <w:sz w:val="21"/>
        </w:rPr>
        <w:t>Psychotherapy vs medical treatment:</w:t>
      </w:r>
    </w:p>
    <w:p>
      <w:pPr>
        <w:pStyle w:val="ListBullet2"/>
        <w:spacing w:before="0" w:after="20"/>
      </w:pPr>
      <w:r>
        <w:rPr>
          <w:rFonts w:ascii="Calibri" w:hAnsi="Calibri"/>
          <w:b w:val="0"/>
          <w:i w:val="0"/>
          <w:color w:val="1B2330"/>
          <w:sz w:val="20"/>
        </w:rPr>
        <w:t>Psychotherapy works through communication, relationship and learning rather than drugs.</w:t>
      </w:r>
    </w:p>
    <w:p>
      <w:pPr>
        <w:pStyle w:val="ListBullet2"/>
        <w:spacing w:before="0" w:after="20"/>
      </w:pPr>
      <w:r>
        <w:rPr>
          <w:rFonts w:ascii="Calibri" w:hAnsi="Calibri"/>
          <w:b w:val="0"/>
          <w:i w:val="0"/>
          <w:color w:val="1B2330"/>
          <w:sz w:val="20"/>
        </w:rPr>
        <w:t>Both are often combined (e.g. for depression or psychosis).</w:t>
      </w:r>
    </w:p>
    <w:p>
      <w:pPr>
        <w:spacing w:before="160" w:after="40"/>
      </w:pPr>
      <w:r>
        <w:rPr>
          <w:rFonts w:ascii="Segoe UI" w:hAnsi="Segoe UI"/>
          <w:b/>
          <w:i w:val="0"/>
          <w:color w:val="2B4C7E"/>
          <w:sz w:val="21"/>
        </w:rPr>
        <w:t>Flow chart: Flow: from help-seeking to change</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Help-seeking client in distress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Trained, socially sanctioned therapist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Professional relationship established (confiding, planned)</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Psychological, theory-based method applied</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Symptom relief • behaviour change • growth</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PROMPT</w:t>
            </w:r>
            <w:r>
              <w:rPr>
                <w:rFonts w:ascii="Segoe UI" w:hAnsi="Segoe UI"/>
                <w:b/>
                <w:i w:val="0"/>
                <w:color w:val="8A5A00"/>
                <w:sz w:val="21"/>
              </w:rPr>
              <w:t xml:space="preserve">  —  the six common elements of every definition</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Professional — </w:t>
            </w:r>
            <w:r>
              <w:rPr>
                <w:rFonts w:ascii="Segoe UI" w:hAnsi="Segoe UI"/>
                <w:b w:val="0"/>
                <w:i w:val="0"/>
                <w:color w:val="4A5568"/>
                <w:sz w:val="19"/>
              </w:rPr>
              <w:t>a trained professional therapist</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Relationship — </w:t>
            </w:r>
            <w:r>
              <w:rPr>
                <w:rFonts w:ascii="Segoe UI" w:hAnsi="Segoe UI"/>
                <w:b w:val="0"/>
                <w:i w:val="0"/>
                <w:color w:val="4A5568"/>
                <w:sz w:val="19"/>
              </w:rPr>
              <w:t>a confiding therapeutic relationship</w:t>
            </w:r>
          </w:p>
          <w:p>
            <w:pPr>
              <w:spacing w:before="0" w:after="20"/>
            </w:pPr>
            <w:r>
              <w:rPr>
                <w:rFonts w:ascii="Segoe UI" w:hAnsi="Segoe UI"/>
                <w:b/>
                <w:i w:val="0"/>
                <w:color w:val="C98A1B"/>
                <w:sz w:val="22"/>
              </w:rPr>
              <w:t xml:space="preserve">O  </w:t>
            </w:r>
            <w:r>
              <w:rPr>
                <w:rFonts w:ascii="Segoe UI" w:hAnsi="Segoe UI"/>
                <w:b/>
                <w:i w:val="0"/>
                <w:color w:val="1B2330"/>
                <w:sz w:val="19"/>
              </w:rPr>
              <w:t xml:space="preserve">One seeking help — </w:t>
            </w:r>
            <w:r>
              <w:rPr>
                <w:rFonts w:ascii="Segoe UI" w:hAnsi="Segoe UI"/>
                <w:b w:val="0"/>
                <w:i w:val="0"/>
                <w:color w:val="4A5568"/>
                <w:sz w:val="19"/>
              </w:rPr>
              <w:t>a help-seeking client</w:t>
            </w:r>
          </w:p>
          <w:p>
            <w:pPr>
              <w:spacing w:before="0" w:after="20"/>
            </w:pPr>
            <w:r>
              <w:rPr>
                <w:rFonts w:ascii="Segoe UI" w:hAnsi="Segoe UI"/>
                <w:b/>
                <w:i w:val="0"/>
                <w:color w:val="C98A1B"/>
                <w:sz w:val="22"/>
              </w:rPr>
              <w:t xml:space="preserve">M  </w:t>
            </w:r>
            <w:r>
              <w:rPr>
                <w:rFonts w:ascii="Segoe UI" w:hAnsi="Segoe UI"/>
                <w:b/>
                <w:i w:val="0"/>
                <w:color w:val="1B2330"/>
                <w:sz w:val="19"/>
              </w:rPr>
              <w:t xml:space="preserve">Method (psychological) — </w:t>
            </w:r>
            <w:r>
              <w:rPr>
                <w:rFonts w:ascii="Segoe UI" w:hAnsi="Segoe UI"/>
                <w:b w:val="0"/>
                <w:i w:val="0"/>
                <w:color w:val="4A5568"/>
                <w:sz w:val="19"/>
              </w:rPr>
              <w:t>a non-medical, psychological method</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Planned — </w:t>
            </w:r>
            <w:r>
              <w:rPr>
                <w:rFonts w:ascii="Segoe UI" w:hAnsi="Segoe UI"/>
                <w:b w:val="0"/>
                <w:i w:val="0"/>
                <w:color w:val="4A5568"/>
                <w:sz w:val="19"/>
              </w:rPr>
              <w:t>a planned, systematic, theory-based process</w:t>
            </w:r>
          </w:p>
          <w:p>
            <w:pPr>
              <w:spacing w:before="0" w:after="20"/>
            </w:pPr>
            <w:r>
              <w:rPr>
                <w:rFonts w:ascii="Segoe UI" w:hAnsi="Segoe UI"/>
                <w:b/>
                <w:i w:val="0"/>
                <w:color w:val="C98A1B"/>
                <w:sz w:val="22"/>
              </w:rPr>
              <w:t xml:space="preserve">T  </w:t>
            </w:r>
            <w:r>
              <w:rPr>
                <w:rFonts w:ascii="Segoe UI" w:hAnsi="Segoe UI"/>
                <w:b/>
                <w:i w:val="0"/>
                <w:color w:val="1B2330"/>
                <w:sz w:val="19"/>
              </w:rPr>
              <w:t xml:space="preserve">Transformation — </w:t>
            </w:r>
            <w:r>
              <w:rPr>
                <w:rFonts w:ascii="Segoe UI" w:hAnsi="Segoe UI"/>
                <w:b w:val="0"/>
                <w:i w:val="0"/>
                <w:color w:val="4A5568"/>
                <w:sz w:val="19"/>
              </w:rPr>
              <w:t>the aim of change / growth</w:t>
            </w:r>
          </w:p>
        </w:tc>
      </w:tr>
    </w:tbl>
    <w:p>
      <w:pPr>
        <w:spacing w:after="40"/>
      </w:pPr>
    </w:p>
    <w:p>
      <w:pPr>
        <w:pStyle w:val="Heading1"/>
        <w:pageBreakBefore/>
      </w:pPr>
      <w:r>
        <w:rPr>
          <w:rFonts w:ascii="Segoe UI" w:hAnsi="Segoe UI"/>
          <w:b/>
          <w:i w:val="0"/>
          <w:color w:val="2B4C7E"/>
          <w:sz w:val="30"/>
        </w:rPr>
        <w:t>2. Objectives (Goals) of Psychotherapy</w:t>
      </w:r>
    </w:p>
    <w:p>
      <w:pPr>
        <w:pStyle w:val="ListBullet"/>
        <w:spacing w:before="0" w:after="40"/>
      </w:pPr>
      <w:r>
        <w:rPr>
          <w:rFonts w:ascii="Calibri" w:hAnsi="Calibri"/>
          <w:b w:val="0"/>
          <w:i w:val="0"/>
          <w:color w:val="1B2330"/>
          <w:sz w:val="21"/>
        </w:rPr>
        <w:t>Relieve symptoms and distress (anxiety, depression, obsessions, etc.).</w:t>
      </w:r>
    </w:p>
    <w:p>
      <w:pPr>
        <w:pStyle w:val="ListBullet"/>
        <w:spacing w:before="0" w:after="40"/>
      </w:pPr>
      <w:r>
        <w:rPr>
          <w:rFonts w:ascii="Calibri" w:hAnsi="Calibri"/>
          <w:b w:val="0"/>
          <w:i w:val="0"/>
          <w:color w:val="1B2330"/>
          <w:sz w:val="21"/>
        </w:rPr>
        <w:t>Modify maladaptive behaviour, thoughts and emotions (change).</w:t>
      </w:r>
    </w:p>
    <w:p>
      <w:pPr>
        <w:pStyle w:val="ListBullet"/>
        <w:spacing w:before="0" w:after="40"/>
      </w:pPr>
      <w:r>
        <w:rPr>
          <w:rFonts w:ascii="Calibri" w:hAnsi="Calibri"/>
          <w:b w:val="0"/>
          <w:i w:val="0"/>
          <w:color w:val="1B2330"/>
          <w:sz w:val="21"/>
        </w:rPr>
        <w:t>Gain insight into the origin and meaning of problems (esp. psychodynamic work).</w:t>
      </w:r>
    </w:p>
    <w:p>
      <w:pPr>
        <w:pStyle w:val="ListBullet"/>
        <w:spacing w:before="0" w:after="40"/>
      </w:pPr>
      <w:r>
        <w:rPr>
          <w:rFonts w:ascii="Calibri" w:hAnsi="Calibri"/>
          <w:b w:val="0"/>
          <w:i w:val="0"/>
          <w:color w:val="1B2330"/>
          <w:sz w:val="21"/>
        </w:rPr>
        <w:t>Improve interpersonal relationships and social functioning.</w:t>
      </w:r>
    </w:p>
    <w:p>
      <w:pPr>
        <w:pStyle w:val="ListBullet"/>
        <w:spacing w:before="0" w:after="40"/>
      </w:pPr>
      <w:r>
        <w:rPr>
          <w:rFonts w:ascii="Calibri" w:hAnsi="Calibri"/>
          <w:b w:val="0"/>
          <w:i w:val="0"/>
          <w:color w:val="1B2330"/>
          <w:sz w:val="21"/>
        </w:rPr>
        <w:t>Strengthen coping, problem solving and adaptive defences; improve self-esteem and self-efficacy.</w:t>
      </w:r>
    </w:p>
    <w:p>
      <w:pPr>
        <w:pStyle w:val="ListBullet"/>
        <w:spacing w:before="0" w:after="40"/>
      </w:pPr>
      <w:r>
        <w:rPr>
          <w:rFonts w:ascii="Calibri" w:hAnsi="Calibri"/>
          <w:b w:val="0"/>
          <w:i w:val="0"/>
          <w:color w:val="1B2330"/>
          <w:sz w:val="21"/>
        </w:rPr>
        <w:t>Resolve inner conflicts and past trauma; foster emotional expression and regulation.</w:t>
      </w:r>
    </w:p>
    <w:p>
      <w:pPr>
        <w:pStyle w:val="ListBullet"/>
        <w:spacing w:before="0" w:after="40"/>
      </w:pPr>
      <w:r>
        <w:rPr>
          <w:rFonts w:ascii="Calibri" w:hAnsi="Calibri"/>
          <w:b w:val="0"/>
          <w:i w:val="0"/>
          <w:color w:val="1B2330"/>
          <w:sz w:val="21"/>
        </w:rPr>
        <w:t>Promote personal growth, self-actualisation and a sense of meaning.</w:t>
      </w:r>
    </w:p>
    <w:p>
      <w:pPr>
        <w:pStyle w:val="ListBullet"/>
        <w:spacing w:before="0" w:after="40"/>
      </w:pPr>
      <w:r>
        <w:rPr>
          <w:rFonts w:ascii="Calibri" w:hAnsi="Calibri"/>
          <w:b w:val="0"/>
          <w:i w:val="0"/>
          <w:color w:val="1B2330"/>
          <w:sz w:val="21"/>
        </w:rPr>
        <w:t>Prevent relapse and improve quality of life; in severe illness, maintain functioning and prevent hospitalisation.</w:t>
      </w:r>
    </w:p>
    <w:tbl>
      <w:tblPr>
        <w:tblW w:type="auto" w:w="0"/>
        <w:jc w:val="center"/>
        <w:tblLook w:firstColumn="1" w:firstRow="1" w:lastColumn="0" w:lastRow="0" w:noHBand="0" w:noVBand="1" w:val="04A0"/>
      </w:tblPr>
      <w:tblGrid>
        <w:gridCol w:w="9638"/>
      </w:tblGrid>
      <w:tr>
        <w:tc>
          <w:tcPr>
            <w:tcW w:type="dxa" w:w="9411"/>
            <w:tcBorders>
              <w:top w:val="single" w:sz="8" w:space="0" w:color="B23A48"/>
              <w:left w:val="single" w:sz="8" w:space="0" w:color="B23A48"/>
              <w:bottom w:val="single" w:sz="8" w:space="0" w:color="B23A48"/>
              <w:right w:val="single" w:sz="8" w:space="0" w:color="B23A48"/>
            </w:tcBorders>
            <w:shd w:val="clear" w:color="auto" w:fill="FDECEF"/>
          </w:tcPr>
          <w:p>
            <w:pPr>
              <w:spacing w:before="40" w:after="60"/>
            </w:pPr>
            <w:r>
              <w:rPr>
                <w:rFonts w:ascii="Segoe UI" w:hAnsi="Segoe UI"/>
                <w:b/>
                <w:i w:val="0"/>
                <w:color w:val="B23A48"/>
                <w:sz w:val="21"/>
              </w:rPr>
              <w:t>Where WHO fits (supported)</w:t>
            </w:r>
          </w:p>
          <w:p>
            <w:pPr>
              <w:pStyle w:val="ListBullet"/>
              <w:spacing w:before="0" w:after="40"/>
            </w:pPr>
            <w:r>
              <w:rPr>
                <w:rFonts w:ascii="Calibri" w:hAnsi="Calibri"/>
                <w:b w:val="0"/>
                <w:i w:val="0"/>
                <w:color w:val="1B2330"/>
                <w:sz w:val="19"/>
              </w:rPr>
              <w:t>WHO's rights-based, recovery-oriented view frames broader objectives: restoring functioning, participation and quality of life, not only symptom removal (consistent with mhGAP and task-shifting goals discussed under evidence-based practice).</w:t>
            </w:r>
          </w:p>
        </w:tc>
      </w:tr>
    </w:tbl>
    <w:p>
      <w:pPr>
        <w:spacing w:after="40"/>
      </w:pPr>
    </w:p>
    <w:p>
      <w:pPr>
        <w:spacing w:before="160" w:after="40"/>
      </w:pPr>
      <w:r>
        <w:rPr>
          <w:rFonts w:ascii="Segoe UI" w:hAnsi="Segoe UI"/>
          <w:b/>
          <w:i w:val="0"/>
          <w:color w:val="2B4C7E"/>
          <w:sz w:val="21"/>
        </w:rPr>
        <w:t>Flow chart: Flow: goals cascade</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Presenting distress / impairment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Immediate: safety, symptom relief, engagement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Intermediate: change in behaviour, cognition, emotion; insight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Ultimate: growth, functioning, quality of life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Maintenance: relapse prevention, follow-up</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RICHER</w:t>
            </w:r>
            <w:r>
              <w:rPr>
                <w:rFonts w:ascii="Segoe UI" w:hAnsi="Segoe UI"/>
                <w:b/>
                <w:i w:val="0"/>
                <w:color w:val="8A5A00"/>
                <w:sz w:val="21"/>
              </w:rPr>
              <w:t xml:space="preserve">  —  the aims of therapy</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Relieve — </w:t>
            </w:r>
            <w:r>
              <w:rPr>
                <w:rFonts w:ascii="Segoe UI" w:hAnsi="Segoe UI"/>
                <w:b w:val="0"/>
                <w:i w:val="0"/>
                <w:color w:val="4A5568"/>
                <w:sz w:val="19"/>
              </w:rPr>
              <w:t>relieve symptoms and distress</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Insight — </w:t>
            </w:r>
            <w:r>
              <w:rPr>
                <w:rFonts w:ascii="Segoe UI" w:hAnsi="Segoe UI"/>
                <w:b w:val="0"/>
                <w:i w:val="0"/>
                <w:color w:val="4A5568"/>
                <w:sz w:val="19"/>
              </w:rPr>
              <w:t>insight into origin and meaning of problems</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Change — </w:t>
            </w:r>
            <w:r>
              <w:rPr>
                <w:rFonts w:ascii="Segoe UI" w:hAnsi="Segoe UI"/>
                <w:b w:val="0"/>
                <w:i w:val="0"/>
                <w:color w:val="4A5568"/>
                <w:sz w:val="19"/>
              </w:rPr>
              <w:t>change maladaptive behaviour, thoughts, emotions</w:t>
            </w:r>
          </w:p>
          <w:p>
            <w:pPr>
              <w:spacing w:before="0" w:after="20"/>
            </w:pPr>
            <w:r>
              <w:rPr>
                <w:rFonts w:ascii="Segoe UI" w:hAnsi="Segoe UI"/>
                <w:b/>
                <w:i w:val="0"/>
                <w:color w:val="C98A1B"/>
                <w:sz w:val="22"/>
              </w:rPr>
              <w:t xml:space="preserve">H  </w:t>
            </w:r>
            <w:r>
              <w:rPr>
                <w:rFonts w:ascii="Segoe UI" w:hAnsi="Segoe UI"/>
                <w:b/>
                <w:i w:val="0"/>
                <w:color w:val="1B2330"/>
                <w:sz w:val="19"/>
              </w:rPr>
              <w:t xml:space="preserve">Harmony — </w:t>
            </w:r>
            <w:r>
              <w:rPr>
                <w:rFonts w:ascii="Segoe UI" w:hAnsi="Segoe UI"/>
                <w:b w:val="0"/>
                <w:i w:val="0"/>
                <w:color w:val="4A5568"/>
                <w:sz w:val="19"/>
              </w:rPr>
              <w:t>improve relationships and social functioning</w:t>
            </w:r>
          </w:p>
          <w:p>
            <w:pPr>
              <w:spacing w:before="0" w:after="20"/>
            </w:pPr>
            <w:r>
              <w:rPr>
                <w:rFonts w:ascii="Segoe UI" w:hAnsi="Segoe UI"/>
                <w:b/>
                <w:i w:val="0"/>
                <w:color w:val="C98A1B"/>
                <w:sz w:val="22"/>
              </w:rPr>
              <w:t xml:space="preserve">E  </w:t>
            </w:r>
            <w:r>
              <w:rPr>
                <w:rFonts w:ascii="Segoe UI" w:hAnsi="Segoe UI"/>
                <w:b/>
                <w:i w:val="0"/>
                <w:color w:val="1B2330"/>
                <w:sz w:val="19"/>
              </w:rPr>
              <w:t xml:space="preserve">Empower — </w:t>
            </w:r>
            <w:r>
              <w:rPr>
                <w:rFonts w:ascii="Segoe UI" w:hAnsi="Segoe UI"/>
                <w:b w:val="0"/>
                <w:i w:val="0"/>
                <w:color w:val="4A5568"/>
                <w:sz w:val="19"/>
              </w:rPr>
              <w:t>strengthen coping, self-esteem, self-efficacy</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Relapse prevention — </w:t>
            </w:r>
            <w:r>
              <w:rPr>
                <w:rFonts w:ascii="Segoe UI" w:hAnsi="Segoe UI"/>
                <w:b w:val="0"/>
                <w:i w:val="0"/>
                <w:color w:val="4A5568"/>
                <w:sz w:val="19"/>
              </w:rPr>
              <w:t>prevent relapse; protect quality of life</w:t>
            </w:r>
          </w:p>
        </w:tc>
      </w:tr>
    </w:tbl>
    <w:p>
      <w:pPr>
        <w:spacing w:after="40"/>
      </w:pPr>
    </w:p>
    <w:p>
      <w:pPr>
        <w:pStyle w:val="Heading1"/>
        <w:pageBreakBefore/>
      </w:pPr>
      <w:r>
        <w:rPr>
          <w:rFonts w:ascii="Segoe UI" w:hAnsi="Segoe UI"/>
          <w:b/>
          <w:i w:val="0"/>
          <w:color w:val="2B4C7E"/>
          <w:sz w:val="30"/>
        </w:rPr>
        <w:t>3. Issues in Training Professional Therapists</w:t>
      </w:r>
    </w:p>
    <w:p>
      <w:pPr>
        <w:spacing w:before="180" w:after="40"/>
      </w:pPr>
      <w:r>
        <w:rPr>
          <w:rFonts w:ascii="Segoe UI" w:hAnsi="Segoe UI"/>
          <w:b/>
          <w:i w:val="0"/>
          <w:color w:val="1B2330"/>
          <w:sz w:val="23"/>
        </w:rPr>
        <w:t>Who may practise (India)</w:t>
      </w:r>
    </w:p>
    <w:p>
      <w:pPr>
        <w:pStyle w:val="ListBullet"/>
        <w:spacing w:before="0" w:after="40"/>
      </w:pPr>
      <w:r>
        <w:rPr>
          <w:rFonts w:ascii="Calibri" w:hAnsi="Calibri"/>
          <w:b w:val="0"/>
          <w:i w:val="0"/>
          <w:color w:val="1B2330"/>
          <w:sz w:val="21"/>
        </w:rPr>
        <w:t>Rehabilitation Council of India (RCI) Act, 1992 (amended 2000) regulates training and registration of clinical psychologists (supported).</w:t>
      </w:r>
    </w:p>
    <w:p>
      <w:pPr>
        <w:pStyle w:val="ListBullet2"/>
        <w:spacing w:before="0" w:after="20"/>
      </w:pPr>
      <w:r>
        <w:rPr>
          <w:rFonts w:ascii="Calibri" w:hAnsi="Calibri"/>
          <w:b w:val="0"/>
          <w:i w:val="0"/>
          <w:color w:val="1B2330"/>
          <w:sz w:val="20"/>
        </w:rPr>
        <w:t>The RCI-recognised M.Phil in Clinical Psychology (two years, with supervised clinical practice) is the entry qualification.</w:t>
      </w:r>
    </w:p>
    <w:p>
      <w:pPr>
        <w:pStyle w:val="ListBullet2"/>
        <w:spacing w:before="0" w:after="20"/>
      </w:pPr>
      <w:r>
        <w:rPr>
          <w:rFonts w:ascii="Calibri" w:hAnsi="Calibri"/>
          <w:b w:val="0"/>
          <w:i w:val="0"/>
          <w:color w:val="1B2330"/>
          <w:sz w:val="20"/>
        </w:rPr>
        <w:t>Practitioners must hold a Central Rehabilitation Register (CRR) number.</w:t>
      </w:r>
    </w:p>
    <w:p>
      <w:pPr>
        <w:pStyle w:val="ListBullet"/>
        <w:spacing w:before="0" w:after="40"/>
      </w:pPr>
      <w:r>
        <w:rPr>
          <w:rFonts w:ascii="Calibri" w:hAnsi="Calibri"/>
          <w:b w:val="0"/>
          <w:i w:val="0"/>
          <w:color w:val="1B2330"/>
          <w:sz w:val="21"/>
        </w:rPr>
        <w:t>Mental Healthcare Act (MHCA), 2017 recognises the clinical psychologist as a mental health professional.</w:t>
      </w:r>
    </w:p>
    <w:p>
      <w:pPr>
        <w:spacing w:before="180" w:after="40"/>
      </w:pPr>
      <w:r>
        <w:rPr>
          <w:rFonts w:ascii="Segoe UI" w:hAnsi="Segoe UI"/>
          <w:b/>
          <w:i w:val="0"/>
          <w:color w:val="1B2330"/>
          <w:sz w:val="23"/>
        </w:rPr>
        <w:t>Components of training</w:t>
      </w:r>
    </w:p>
    <w:p>
      <w:pPr>
        <w:pStyle w:val="ListBullet"/>
        <w:spacing w:before="0" w:after="40"/>
      </w:pPr>
      <w:r>
        <w:rPr>
          <w:rFonts w:ascii="Calibri" w:hAnsi="Calibri"/>
          <w:b w:val="0"/>
          <w:i w:val="0"/>
          <w:color w:val="1B2330"/>
          <w:sz w:val="21"/>
        </w:rPr>
        <w:t>Theoretical knowledge (psychopathology, theories of therapy, assessment).</w:t>
      </w:r>
    </w:p>
    <w:p>
      <w:pPr>
        <w:pStyle w:val="ListBullet"/>
        <w:spacing w:before="0" w:after="40"/>
      </w:pPr>
      <w:r>
        <w:rPr>
          <w:rFonts w:ascii="Calibri" w:hAnsi="Calibri"/>
          <w:b w:val="0"/>
          <w:i w:val="0"/>
          <w:color w:val="1B2330"/>
          <w:sz w:val="21"/>
        </w:rPr>
        <w:t>Supervised clinical practice (direct observation, audio/video review, case conferences).</w:t>
      </w:r>
    </w:p>
    <w:p>
      <w:pPr>
        <w:pStyle w:val="ListBullet"/>
        <w:spacing w:before="0" w:after="40"/>
      </w:pPr>
      <w:r>
        <w:rPr>
          <w:rFonts w:ascii="Calibri" w:hAnsi="Calibri"/>
          <w:b w:val="0"/>
          <w:i w:val="0"/>
          <w:color w:val="1B2330"/>
          <w:sz w:val="21"/>
        </w:rPr>
        <w:t>Personal therapy / self-awareness work (manage countertransference and blind spots).</w:t>
      </w:r>
    </w:p>
    <w:p>
      <w:pPr>
        <w:pStyle w:val="ListBullet"/>
        <w:spacing w:before="0" w:after="40"/>
      </w:pPr>
      <w:r>
        <w:rPr>
          <w:rFonts w:ascii="Calibri" w:hAnsi="Calibri"/>
          <w:b w:val="0"/>
          <w:i w:val="0"/>
          <w:color w:val="1B2330"/>
          <w:sz w:val="21"/>
        </w:rPr>
        <w:t>Learning ethics and law.</w:t>
      </w:r>
    </w:p>
    <w:p>
      <w:pPr>
        <w:pStyle w:val="ListBullet"/>
        <w:spacing w:before="0" w:after="40"/>
      </w:pPr>
      <w:r>
        <w:rPr>
          <w:rFonts w:ascii="Calibri" w:hAnsi="Calibri"/>
          <w:b w:val="0"/>
          <w:i w:val="0"/>
          <w:color w:val="1B2330"/>
          <w:sz w:val="21"/>
        </w:rPr>
        <w:t>Research literacy and evidence-based practice.</w:t>
      </w:r>
    </w:p>
    <w:p>
      <w:pPr>
        <w:pStyle w:val="ListBullet"/>
        <w:spacing w:before="0" w:after="40"/>
      </w:pPr>
      <w:r>
        <w:rPr>
          <w:rFonts w:ascii="Calibri" w:hAnsi="Calibri"/>
          <w:b w:val="0"/>
          <w:i w:val="0"/>
          <w:color w:val="1B2330"/>
          <w:sz w:val="21"/>
        </w:rPr>
        <w:t>Cultural competence.</w:t>
      </w:r>
    </w:p>
    <w:p>
      <w:pPr>
        <w:pStyle w:val="ListBullet"/>
        <w:spacing w:before="0" w:after="40"/>
      </w:pPr>
      <w:r>
        <w:rPr>
          <w:rFonts w:ascii="Calibri" w:hAnsi="Calibri"/>
          <w:b w:val="0"/>
          <w:i w:val="0"/>
          <w:color w:val="1B2330"/>
          <w:sz w:val="21"/>
        </w:rPr>
        <w:t>Lifelong learning and continuing education.</w:t>
      </w:r>
    </w:p>
    <w:p>
      <w:pPr>
        <w:spacing w:before="180" w:after="40"/>
      </w:pPr>
      <w:r>
        <w:rPr>
          <w:rFonts w:ascii="Segoe UI" w:hAnsi="Segoe UI"/>
          <w:b/>
          <w:i w:val="0"/>
          <w:color w:val="1B2330"/>
          <w:sz w:val="23"/>
        </w:rPr>
        <w:t>Competencies expected</w:t>
      </w:r>
    </w:p>
    <w:p>
      <w:pPr>
        <w:pStyle w:val="ListBullet"/>
        <w:spacing w:before="0" w:after="40"/>
      </w:pPr>
      <w:r>
        <w:rPr>
          <w:rFonts w:ascii="Calibri" w:hAnsi="Calibri"/>
          <w:b w:val="0"/>
          <w:i w:val="0"/>
          <w:color w:val="1B2330"/>
          <w:sz w:val="21"/>
        </w:rPr>
        <w:t>Relationship (alliance) skills; assessment and case formulation.</w:t>
      </w:r>
    </w:p>
    <w:p>
      <w:pPr>
        <w:pStyle w:val="ListBullet"/>
        <w:spacing w:before="0" w:after="40"/>
      </w:pPr>
      <w:r>
        <w:rPr>
          <w:rFonts w:ascii="Calibri" w:hAnsi="Calibri"/>
          <w:b w:val="0"/>
          <w:i w:val="0"/>
          <w:color w:val="1B2330"/>
          <w:sz w:val="21"/>
        </w:rPr>
        <w:t>Intervention skills in at least one major model.</w:t>
      </w:r>
    </w:p>
    <w:p>
      <w:pPr>
        <w:pStyle w:val="ListBullet"/>
        <w:spacing w:before="0" w:after="40"/>
      </w:pPr>
      <w:r>
        <w:rPr>
          <w:rFonts w:ascii="Calibri" w:hAnsi="Calibri"/>
          <w:b w:val="0"/>
          <w:i w:val="0"/>
          <w:color w:val="1B2330"/>
          <w:sz w:val="21"/>
        </w:rPr>
        <w:t>Ethical decision making; record keeping.</w:t>
      </w:r>
    </w:p>
    <w:p>
      <w:pPr>
        <w:pStyle w:val="ListBullet"/>
        <w:spacing w:before="0" w:after="40"/>
      </w:pPr>
      <w:r>
        <w:rPr>
          <w:rFonts w:ascii="Calibri" w:hAnsi="Calibri"/>
          <w:b w:val="0"/>
          <w:i w:val="0"/>
          <w:color w:val="1B2330"/>
          <w:sz w:val="21"/>
        </w:rPr>
        <w:t>Working with diversity; use of supervision; reflective practice.</w:t>
      </w:r>
    </w:p>
    <w:p>
      <w:pPr>
        <w:spacing w:before="180" w:after="40"/>
      </w:pPr>
      <w:r>
        <w:rPr>
          <w:rFonts w:ascii="Segoe UI" w:hAnsi="Segoe UI"/>
          <w:b/>
          <w:i w:val="0"/>
          <w:color w:val="1B2330"/>
          <w:sz w:val="23"/>
        </w:rPr>
        <w:t>Issues and challenges</w:t>
      </w:r>
    </w:p>
    <w:p>
      <w:pPr>
        <w:pStyle w:val="ListBullet"/>
        <w:spacing w:before="0" w:after="40"/>
      </w:pPr>
      <w:r>
        <w:rPr>
          <w:rFonts w:ascii="Calibri" w:hAnsi="Calibri"/>
          <w:b w:val="0"/>
          <w:i w:val="0"/>
          <w:color w:val="1B2330"/>
          <w:sz w:val="21"/>
        </w:rPr>
        <w:t>Wide variation in quality, duration and supervision of training; shortage of trained supervisors.</w:t>
      </w:r>
    </w:p>
    <w:p>
      <w:pPr>
        <w:pStyle w:val="ListBullet"/>
        <w:spacing w:before="0" w:after="40"/>
      </w:pPr>
      <w:r>
        <w:rPr>
          <w:rFonts w:ascii="Calibri" w:hAnsi="Calibri"/>
          <w:b w:val="0"/>
          <w:i w:val="0"/>
          <w:color w:val="1B2330"/>
          <w:sz w:val="21"/>
        </w:rPr>
        <w:t>Over-reliance on Western models with limited cultural adaptation.</w:t>
      </w:r>
    </w:p>
    <w:p>
      <w:pPr>
        <w:pStyle w:val="ListBullet"/>
        <w:spacing w:before="0" w:after="40"/>
      </w:pPr>
      <w:r>
        <w:rPr>
          <w:rFonts w:ascii="Calibri" w:hAnsi="Calibri"/>
          <w:b w:val="0"/>
          <w:i w:val="0"/>
          <w:color w:val="1B2330"/>
          <w:sz w:val="21"/>
        </w:rPr>
        <w:t>Whether personal therapy for trainees should be mandatory.</w:t>
      </w:r>
    </w:p>
    <w:p>
      <w:pPr>
        <w:pStyle w:val="ListBullet"/>
        <w:spacing w:before="0" w:after="40"/>
      </w:pPr>
      <w:r>
        <w:rPr>
          <w:rFonts w:ascii="Calibri" w:hAnsi="Calibri"/>
          <w:b w:val="0"/>
          <w:i w:val="0"/>
          <w:color w:val="1B2330"/>
          <w:sz w:val="21"/>
        </w:rPr>
        <w:t>Gate-keeping: judging suitability (empathy, maturity, integrity) and remediating or dismissing unfit trainees.</w:t>
      </w:r>
    </w:p>
    <w:p>
      <w:pPr>
        <w:pStyle w:val="ListBullet"/>
        <w:spacing w:before="0" w:after="40"/>
      </w:pPr>
      <w:r>
        <w:rPr>
          <w:rFonts w:ascii="Calibri" w:hAnsi="Calibri"/>
          <w:b w:val="0"/>
          <w:i w:val="0"/>
          <w:color w:val="1B2330"/>
          <w:sz w:val="21"/>
        </w:rPr>
        <w:t>Training vs licensing gap: unregulated practice by untrained persons; need to protect the public.</w:t>
      </w:r>
    </w:p>
    <w:p>
      <w:pPr>
        <w:pStyle w:val="ListBullet"/>
        <w:spacing w:before="0" w:after="40"/>
      </w:pPr>
      <w:r>
        <w:rPr>
          <w:rFonts w:ascii="Calibri" w:hAnsi="Calibri"/>
          <w:b w:val="0"/>
          <w:i w:val="0"/>
          <w:color w:val="1B2330"/>
          <w:sz w:val="21"/>
        </w:rPr>
        <w:t>Therapist stress, burnout, vicarious traumatisation, compassion fatigue; self-care and peer support.</w:t>
      </w:r>
    </w:p>
    <w:p>
      <w:pPr>
        <w:pStyle w:val="ListBullet"/>
        <w:spacing w:before="0" w:after="40"/>
      </w:pPr>
      <w:r>
        <w:rPr>
          <w:rFonts w:ascii="Calibri" w:hAnsi="Calibri"/>
          <w:b w:val="0"/>
          <w:i w:val="0"/>
          <w:color w:val="1B2330"/>
          <w:sz w:val="21"/>
        </w:rPr>
        <w:t>Boundaries and dual relationships in trainee-supervisor and small-community settings.</w:t>
      </w:r>
    </w:p>
    <w:p>
      <w:pPr>
        <w:pStyle w:val="ListBullet"/>
        <w:spacing w:before="0" w:after="40"/>
      </w:pPr>
      <w:r>
        <w:rPr>
          <w:rFonts w:ascii="Calibri" w:hAnsi="Calibri"/>
          <w:b w:val="0"/>
          <w:i w:val="0"/>
          <w:color w:val="1B2330"/>
          <w:sz w:val="21"/>
        </w:rPr>
        <w:t>Training in tele-therapy and its ethics.</w:t>
      </w:r>
    </w:p>
    <w:p>
      <w:pPr>
        <w:pStyle w:val="ListBullet"/>
        <w:spacing w:before="0" w:after="40"/>
      </w:pPr>
      <w:r>
        <w:rPr>
          <w:rFonts w:ascii="Calibri" w:hAnsi="Calibri"/>
          <w:b w:val="0"/>
          <w:i w:val="0"/>
          <w:color w:val="1B2330"/>
          <w:sz w:val="21"/>
        </w:rPr>
        <w:t>Practising within the limits of one's competence; knowing when to refer.</w:t>
      </w:r>
    </w:p>
    <w:p>
      <w:pPr>
        <w:spacing w:before="160" w:after="40"/>
      </w:pPr>
      <w:r>
        <w:rPr>
          <w:rFonts w:ascii="Segoe UI" w:hAnsi="Segoe UI"/>
          <w:b/>
          <w:i w:val="0"/>
          <w:color w:val="2B4C7E"/>
          <w:sz w:val="21"/>
        </w:rPr>
        <w:t>Flow chart: Flow: the training pipeline</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Selection / gate-keeping (suitability, personal qualities)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Theory + ethics + research literacy</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Supervised practice (observation, audio/video, case conferences)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Personal therapy / self-awareness; cultural competence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RCI registration (CRR number) → competent practice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Continuing education, supervision, self-care</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SCRIPT</w:t>
            </w:r>
            <w:r>
              <w:rPr>
                <w:rFonts w:ascii="Segoe UI" w:hAnsi="Segoe UI"/>
                <w:b/>
                <w:i w:val="0"/>
                <w:color w:val="8A5A00"/>
                <w:sz w:val="21"/>
              </w:rPr>
              <w:t xml:space="preserve">  —  the pillars of therapist training</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Supervision — </w:t>
            </w:r>
            <w:r>
              <w:rPr>
                <w:rFonts w:ascii="Segoe UI" w:hAnsi="Segoe UI"/>
                <w:b w:val="0"/>
                <w:i w:val="0"/>
                <w:color w:val="4A5568"/>
                <w:sz w:val="19"/>
              </w:rPr>
              <w:t>supervised clinical practice</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Competence &amp; culture — </w:t>
            </w:r>
            <w:r>
              <w:rPr>
                <w:rFonts w:ascii="Segoe UI" w:hAnsi="Segoe UI"/>
                <w:b w:val="0"/>
                <w:i w:val="0"/>
                <w:color w:val="4A5568"/>
                <w:sz w:val="19"/>
              </w:rPr>
              <w:t>competencies and cultural competence</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Research &amp; RCI — </w:t>
            </w:r>
            <w:r>
              <w:rPr>
                <w:rFonts w:ascii="Segoe UI" w:hAnsi="Segoe UI"/>
                <w:b w:val="0"/>
                <w:i w:val="0"/>
                <w:color w:val="4A5568"/>
                <w:sz w:val="19"/>
              </w:rPr>
              <w:t>research literacy; RCI registration</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Insight — </w:t>
            </w:r>
            <w:r>
              <w:rPr>
                <w:rFonts w:ascii="Segoe UI" w:hAnsi="Segoe UI"/>
                <w:b w:val="0"/>
                <w:i w:val="0"/>
                <w:color w:val="4A5568"/>
                <w:sz w:val="19"/>
              </w:rPr>
              <w:t>personal therapy / self-awareness</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Principles — </w:t>
            </w:r>
            <w:r>
              <w:rPr>
                <w:rFonts w:ascii="Segoe UI" w:hAnsi="Segoe UI"/>
                <w:b w:val="0"/>
                <w:i w:val="0"/>
                <w:color w:val="4A5568"/>
                <w:sz w:val="19"/>
              </w:rPr>
              <w:t>ethics and law</w:t>
            </w:r>
          </w:p>
          <w:p>
            <w:pPr>
              <w:spacing w:before="0" w:after="20"/>
            </w:pPr>
            <w:r>
              <w:rPr>
                <w:rFonts w:ascii="Segoe UI" w:hAnsi="Segoe UI"/>
                <w:b/>
                <w:i w:val="0"/>
                <w:color w:val="C98A1B"/>
                <w:sz w:val="22"/>
              </w:rPr>
              <w:t xml:space="preserve">T  </w:t>
            </w:r>
            <w:r>
              <w:rPr>
                <w:rFonts w:ascii="Segoe UI" w:hAnsi="Segoe UI"/>
                <w:b/>
                <w:i w:val="0"/>
                <w:color w:val="1B2330"/>
                <w:sz w:val="19"/>
              </w:rPr>
              <w:t xml:space="preserve">Theory — </w:t>
            </w:r>
            <w:r>
              <w:rPr>
                <w:rFonts w:ascii="Segoe UI" w:hAnsi="Segoe UI"/>
                <w:b w:val="0"/>
                <w:i w:val="0"/>
                <w:color w:val="4A5568"/>
                <w:sz w:val="19"/>
              </w:rPr>
              <w:t>theoretical knowledge base</w:t>
            </w:r>
          </w:p>
        </w:tc>
      </w:tr>
    </w:tbl>
    <w:p>
      <w:pPr>
        <w:spacing w:after="40"/>
      </w:pPr>
    </w:p>
    <w:p>
      <w:pPr>
        <w:pStyle w:val="Heading1"/>
        <w:pageBreakBefore/>
      </w:pPr>
      <w:r>
        <w:rPr>
          <w:rFonts w:ascii="Segoe UI" w:hAnsi="Segoe UI"/>
          <w:b/>
          <w:i w:val="0"/>
          <w:color w:val="2B4C7E"/>
          <w:sz w:val="30"/>
        </w:rPr>
        <w:t>4. Ethical and Legal Issues in Therapy Work</w:t>
      </w:r>
    </w:p>
    <w:p>
      <w:pPr>
        <w:spacing w:before="180" w:after="40"/>
      </w:pPr>
      <w:r>
        <w:rPr>
          <w:rFonts w:ascii="Segoe UI" w:hAnsi="Segoe UI"/>
          <w:b/>
          <w:i w:val="0"/>
          <w:color w:val="1B2330"/>
          <w:sz w:val="23"/>
        </w:rPr>
        <w:t>Core ethical principles (APA Ethical Principles)</w:t>
      </w:r>
    </w:p>
    <w:p>
      <w:pPr>
        <w:pStyle w:val="ListBullet"/>
        <w:spacing w:before="0" w:after="40"/>
      </w:pPr>
      <w:r>
        <w:rPr>
          <w:rFonts w:ascii="Calibri" w:hAnsi="Calibri"/>
          <w:b w:val="0"/>
          <w:i w:val="0"/>
          <w:color w:val="1B2330"/>
          <w:sz w:val="21"/>
        </w:rPr>
        <w:t>Beneficence and non-maleficence: do good; avoid harm.</w:t>
      </w:r>
    </w:p>
    <w:p>
      <w:pPr>
        <w:pStyle w:val="ListBullet"/>
        <w:spacing w:before="0" w:after="40"/>
      </w:pPr>
      <w:r>
        <w:rPr>
          <w:rFonts w:ascii="Calibri" w:hAnsi="Calibri"/>
          <w:b w:val="0"/>
          <w:i w:val="0"/>
          <w:color w:val="1B2330"/>
          <w:sz w:val="21"/>
        </w:rPr>
        <w:t>Fidelity and responsibility: trust, professional and scientific responsibility, accountability.</w:t>
      </w:r>
    </w:p>
    <w:p>
      <w:pPr>
        <w:pStyle w:val="ListBullet"/>
        <w:spacing w:before="0" w:after="40"/>
      </w:pPr>
      <w:r>
        <w:rPr>
          <w:rFonts w:ascii="Calibri" w:hAnsi="Calibri"/>
          <w:b w:val="0"/>
          <w:i w:val="0"/>
          <w:color w:val="1B2330"/>
          <w:sz w:val="21"/>
        </w:rPr>
        <w:t>Integrity: honesty, accuracy, truthfulness; no deception or exaggerated claims.</w:t>
      </w:r>
    </w:p>
    <w:p>
      <w:pPr>
        <w:pStyle w:val="ListBullet"/>
        <w:spacing w:before="0" w:after="40"/>
      </w:pPr>
      <w:r>
        <w:rPr>
          <w:rFonts w:ascii="Calibri" w:hAnsi="Calibri"/>
          <w:b w:val="0"/>
          <w:i w:val="0"/>
          <w:color w:val="1B2330"/>
          <w:sz w:val="21"/>
        </w:rPr>
        <w:t>Justice: fairness, equal access to quality services; no discrimination.</w:t>
      </w:r>
    </w:p>
    <w:p>
      <w:pPr>
        <w:pStyle w:val="ListBullet"/>
        <w:spacing w:before="0" w:after="40"/>
      </w:pPr>
      <w:r>
        <w:rPr>
          <w:rFonts w:ascii="Calibri" w:hAnsi="Calibri"/>
          <w:b w:val="0"/>
          <w:i w:val="0"/>
          <w:color w:val="1B2330"/>
          <w:sz w:val="21"/>
        </w:rPr>
        <w:t>Respect for people's rights and dignity: privacy, confidentiality, autonomy, self-determination.</w:t>
      </w:r>
    </w:p>
    <w:tbl>
      <w:tblPr>
        <w:tblW w:type="auto" w:w="0"/>
        <w:jc w:val="center"/>
        <w:tblLook w:firstColumn="1" w:firstRow="1" w:lastColumn="0" w:lastRow="0" w:noHBand="0" w:noVBand="1" w:val="04A0"/>
      </w:tblPr>
      <w:tblGrid>
        <w:gridCol w:w="9638"/>
      </w:tblGrid>
      <w:tr>
        <w:tc>
          <w:tcPr>
            <w:tcW w:type="dxa" w:w="9411"/>
            <w:tcBorders>
              <w:top w:val="single" w:sz="8" w:space="0" w:color="B23A48"/>
              <w:left w:val="single" w:sz="8" w:space="0" w:color="B23A48"/>
              <w:bottom w:val="single" w:sz="8" w:space="0" w:color="B23A48"/>
              <w:right w:val="single" w:sz="8" w:space="0" w:color="B23A48"/>
            </w:tcBorders>
            <w:shd w:val="clear" w:color="auto" w:fill="FDECEF"/>
          </w:tcPr>
          <w:p>
            <w:pPr>
              <w:spacing w:before="40" w:after="60"/>
            </w:pPr>
            <w:r>
              <w:rPr>
                <w:rFonts w:ascii="Segoe UI" w:hAnsi="Segoe UI"/>
                <w:b/>
                <w:i w:val="0"/>
                <w:color w:val="B23A48"/>
                <w:sz w:val="21"/>
              </w:rPr>
              <w:t>IACP — SECONDARY / paraphrased</w:t>
            </w:r>
          </w:p>
          <w:p>
            <w:pPr>
              <w:pStyle w:val="ListBullet"/>
              <w:spacing w:before="0" w:after="40"/>
            </w:pPr>
            <w:r>
              <w:rPr>
                <w:rFonts w:ascii="Calibri" w:hAnsi="Calibri"/>
                <w:b w:val="0"/>
                <w:i w:val="0"/>
                <w:color w:val="1B2330"/>
                <w:sz w:val="19"/>
              </w:rPr>
              <w:t>The IACP (Indian Association of Clinical Psychologists) is the national professional body of clinical psychologists in India and is generally understood to publish a code of ethics for its members.</w:t>
            </w:r>
          </w:p>
          <w:p>
            <w:pPr>
              <w:pStyle w:val="ListBullet"/>
              <w:spacing w:before="0" w:after="40"/>
            </w:pPr>
            <w:r>
              <w:rPr>
                <w:rFonts w:ascii="Calibri" w:hAnsi="Calibri"/>
                <w:b w:val="0"/>
                <w:i w:val="0"/>
                <w:color w:val="1B2330"/>
                <w:sz w:val="19"/>
              </w:rPr>
              <w:t>Its code of ethics was NOT accessible and is absent from the extracted sources, so it is cited here only as SECONDARY / paraphrased general knowledge. No clause numbers, quotations or dates are asserted. Its broad themes (competence, confidentiality, consent, avoiding exploitation, professional conduct) overlap with the APA principles and the RCI code of conduct and should be read as such.</w:t>
            </w:r>
          </w:p>
        </w:tc>
      </w:tr>
    </w:tbl>
    <w:p>
      <w:pPr>
        <w:spacing w:after="40"/>
      </w:pPr>
    </w:p>
    <w:p>
      <w:pPr>
        <w:spacing w:before="180" w:after="40"/>
      </w:pPr>
      <w:r>
        <w:rPr>
          <w:rFonts w:ascii="Segoe UI" w:hAnsi="Segoe UI"/>
          <w:b/>
          <w:i w:val="0"/>
          <w:color w:val="1B2330"/>
          <w:sz w:val="23"/>
        </w:rPr>
        <w:t>Major ethical issues</w:t>
      </w:r>
    </w:p>
    <w:p>
      <w:pPr>
        <w:pStyle w:val="ListBullet"/>
        <w:spacing w:before="0" w:after="40"/>
      </w:pPr>
      <w:r>
        <w:rPr>
          <w:rFonts w:ascii="Calibri" w:hAnsi="Calibri"/>
          <w:b w:val="0"/>
          <w:i w:val="0"/>
          <w:color w:val="1B2330"/>
          <w:sz w:val="21"/>
        </w:rPr>
        <w:t>Competence: practise only within the limits of training; refer when needed; keep updated.</w:t>
      </w:r>
    </w:p>
    <w:p>
      <w:pPr>
        <w:pStyle w:val="ListBullet"/>
        <w:spacing w:before="0" w:after="40"/>
      </w:pPr>
      <w:r>
        <w:rPr>
          <w:rFonts w:ascii="Calibri" w:hAnsi="Calibri"/>
          <w:b w:val="0"/>
          <w:i w:val="0"/>
          <w:color w:val="1B2330"/>
          <w:sz w:val="21"/>
        </w:rPr>
        <w:t>Informed consent: obtained before assessment and treatment (see Section 6).</w:t>
      </w:r>
    </w:p>
    <w:p>
      <w:pPr>
        <w:pStyle w:val="ListBullet"/>
        <w:spacing w:before="0" w:after="40"/>
      </w:pPr>
      <w:r>
        <w:rPr>
          <w:rFonts w:ascii="Calibri" w:hAnsi="Calibri"/>
          <w:b w:val="0"/>
          <w:i w:val="0"/>
          <w:color w:val="1B2330"/>
          <w:sz w:val="21"/>
        </w:rPr>
        <w:t>Confidentiality and its limits: private information shared only with consent; exceptions below.</w:t>
      </w:r>
    </w:p>
    <w:p>
      <w:pPr>
        <w:pStyle w:val="ListBullet"/>
        <w:spacing w:before="0" w:after="40"/>
      </w:pPr>
      <w:r>
        <w:rPr>
          <w:rFonts w:ascii="Calibri" w:hAnsi="Calibri"/>
          <w:b w:val="0"/>
          <w:i w:val="0"/>
          <w:color w:val="1B2330"/>
          <w:sz w:val="21"/>
        </w:rPr>
        <w:t>Dual (multiple) relationships and boundaries:</w:t>
      </w:r>
    </w:p>
    <w:p>
      <w:pPr>
        <w:pStyle w:val="ListBullet2"/>
        <w:spacing w:before="0" w:after="20"/>
      </w:pPr>
      <w:r>
        <w:rPr>
          <w:rFonts w:ascii="Calibri" w:hAnsi="Calibri"/>
          <w:b w:val="0"/>
          <w:i w:val="0"/>
          <w:color w:val="1B2330"/>
          <w:sz w:val="20"/>
        </w:rPr>
        <w:t>Avoid social, business, financial or sexual relationships with clients.</w:t>
      </w:r>
    </w:p>
    <w:p>
      <w:pPr>
        <w:pStyle w:val="ListBullet2"/>
        <w:spacing w:before="0" w:after="20"/>
      </w:pPr>
      <w:r>
        <w:rPr>
          <w:rFonts w:ascii="Calibri" w:hAnsi="Calibri"/>
          <w:b w:val="0"/>
          <w:i w:val="0"/>
          <w:color w:val="1B2330"/>
          <w:sz w:val="20"/>
        </w:rPr>
        <w:t>Sexual intimacy with a client (or former client, at least for a specified period) is unethical and prohibited.</w:t>
      </w:r>
    </w:p>
    <w:p>
      <w:pPr>
        <w:pStyle w:val="ListBullet2"/>
        <w:spacing w:before="0" w:after="20"/>
      </w:pPr>
      <w:r>
        <w:rPr>
          <w:rFonts w:ascii="Calibri" w:hAnsi="Calibri"/>
          <w:b w:val="0"/>
          <w:i w:val="0"/>
          <w:color w:val="1B2330"/>
          <w:sz w:val="20"/>
        </w:rPr>
        <w:t>Avoid exploitation and misuse of power; manage gifts, self-disclosure, touch and social media contact carefully.</w:t>
      </w:r>
    </w:p>
    <w:p>
      <w:pPr>
        <w:pStyle w:val="ListBullet"/>
        <w:spacing w:before="0" w:after="40"/>
      </w:pPr>
      <w:r>
        <w:rPr>
          <w:rFonts w:ascii="Calibri" w:hAnsi="Calibri"/>
          <w:b w:val="0"/>
          <w:i w:val="0"/>
          <w:color w:val="1B2330"/>
          <w:sz w:val="21"/>
        </w:rPr>
        <w:t>Fees and contracts: clear and honest about fees, missed sessions and payment; do not exploit.</w:t>
      </w:r>
    </w:p>
    <w:p>
      <w:pPr>
        <w:pStyle w:val="ListBullet"/>
        <w:spacing w:before="0" w:after="40"/>
      </w:pPr>
      <w:r>
        <w:rPr>
          <w:rFonts w:ascii="Calibri" w:hAnsi="Calibri"/>
          <w:b w:val="0"/>
          <w:i w:val="0"/>
          <w:color w:val="1B2330"/>
          <w:sz w:val="21"/>
        </w:rPr>
        <w:t>Record keeping and data security.</w:t>
      </w:r>
    </w:p>
    <w:p>
      <w:pPr>
        <w:pStyle w:val="ListBullet"/>
        <w:spacing w:before="0" w:after="40"/>
      </w:pPr>
      <w:r>
        <w:rPr>
          <w:rFonts w:ascii="Calibri" w:hAnsi="Calibri"/>
          <w:b w:val="0"/>
          <w:i w:val="0"/>
          <w:color w:val="1B2330"/>
          <w:sz w:val="21"/>
        </w:rPr>
        <w:t>Termination and referral: do not abandon clients; terminate when the client no longer needs or benefits; provide referrals and handover.</w:t>
      </w:r>
    </w:p>
    <w:p>
      <w:pPr>
        <w:pStyle w:val="ListBullet"/>
        <w:spacing w:before="0" w:after="40"/>
      </w:pPr>
      <w:r>
        <w:rPr>
          <w:rFonts w:ascii="Calibri" w:hAnsi="Calibri"/>
          <w:b w:val="0"/>
          <w:i w:val="0"/>
          <w:color w:val="1B2330"/>
          <w:sz w:val="21"/>
        </w:rPr>
        <w:t>Cultural sensitivity and respect for diversity (gender, caste, religion, sexuality, disability, socio-economic status).</w:t>
      </w:r>
    </w:p>
    <w:p>
      <w:pPr>
        <w:pStyle w:val="ListBullet"/>
        <w:spacing w:before="0" w:after="40"/>
      </w:pPr>
      <w:r>
        <w:rPr>
          <w:rFonts w:ascii="Calibri" w:hAnsi="Calibri"/>
          <w:b w:val="0"/>
          <w:i w:val="0"/>
          <w:color w:val="1B2330"/>
          <w:sz w:val="21"/>
        </w:rPr>
        <w:t>Supervision and consultation: use regularly; seek help in ethical dilemmas.</w:t>
      </w:r>
    </w:p>
    <w:p>
      <w:pPr>
        <w:pStyle w:val="ListBullet"/>
        <w:spacing w:before="0" w:after="40"/>
      </w:pPr>
      <w:r>
        <w:rPr>
          <w:rFonts w:ascii="Calibri" w:hAnsi="Calibri"/>
          <w:b w:val="0"/>
          <w:i w:val="0"/>
          <w:color w:val="1B2330"/>
          <w:sz w:val="21"/>
        </w:rPr>
        <w:t>Advertising and claims: avoid false or unsubstantiated claims about outcomes.</w:t>
      </w:r>
    </w:p>
    <w:p>
      <w:pPr>
        <w:pStyle w:val="ListBullet"/>
        <w:spacing w:before="0" w:after="40"/>
      </w:pPr>
      <w:r>
        <w:rPr>
          <w:rFonts w:ascii="Calibri" w:hAnsi="Calibri"/>
          <w:b w:val="0"/>
          <w:i w:val="0"/>
          <w:color w:val="1B2330"/>
          <w:sz w:val="21"/>
        </w:rPr>
        <w:t>Research ethics: consent, no harm, confidentiality, ethics committee approval.</w:t>
      </w:r>
    </w:p>
    <w:p>
      <w:pPr>
        <w:spacing w:before="180" w:after="40"/>
      </w:pPr>
      <w:r>
        <w:rPr>
          <w:rFonts w:ascii="Segoe UI" w:hAnsi="Segoe UI"/>
          <w:b/>
          <w:i w:val="0"/>
          <w:color w:val="1B2330"/>
          <w:sz w:val="23"/>
        </w:rPr>
        <w:t>Ethical decision-making steps</w:t>
      </w:r>
    </w:p>
    <w:p>
      <w:pPr>
        <w:pStyle w:val="ListBullet"/>
        <w:spacing w:before="0" w:after="40"/>
      </w:pPr>
      <w:r>
        <w:rPr>
          <w:rFonts w:ascii="Calibri" w:hAnsi="Calibri"/>
          <w:b w:val="0"/>
          <w:i w:val="0"/>
          <w:color w:val="1B2330"/>
          <w:sz w:val="21"/>
        </w:rPr>
        <w:t>Identify the problem and the people affected.</w:t>
      </w:r>
    </w:p>
    <w:p>
      <w:pPr>
        <w:pStyle w:val="ListBullet"/>
        <w:spacing w:before="0" w:after="40"/>
      </w:pPr>
      <w:r>
        <w:rPr>
          <w:rFonts w:ascii="Calibri" w:hAnsi="Calibri"/>
          <w:b w:val="0"/>
          <w:i w:val="0"/>
          <w:color w:val="1B2330"/>
          <w:sz w:val="21"/>
        </w:rPr>
        <w:t>Consult codes and law; consult supervisor / colleagues.</w:t>
      </w:r>
    </w:p>
    <w:p>
      <w:pPr>
        <w:pStyle w:val="ListBullet"/>
        <w:spacing w:before="0" w:after="40"/>
      </w:pPr>
      <w:r>
        <w:rPr>
          <w:rFonts w:ascii="Calibri" w:hAnsi="Calibri"/>
          <w:b w:val="0"/>
          <w:i w:val="0"/>
          <w:color w:val="1B2330"/>
          <w:sz w:val="21"/>
        </w:rPr>
        <w:t>Consider options and consequences.</w:t>
      </w:r>
    </w:p>
    <w:p>
      <w:pPr>
        <w:pStyle w:val="ListBullet"/>
        <w:spacing w:before="0" w:after="40"/>
      </w:pPr>
      <w:r>
        <w:rPr>
          <w:rFonts w:ascii="Calibri" w:hAnsi="Calibri"/>
          <w:b w:val="0"/>
          <w:i w:val="0"/>
          <w:color w:val="1B2330"/>
          <w:sz w:val="21"/>
        </w:rPr>
        <w:t>Decide and act; document; evaluate.</w:t>
      </w:r>
    </w:p>
    <w:p>
      <w:pPr>
        <w:spacing w:before="180" w:after="40"/>
      </w:pPr>
      <w:r>
        <w:rPr>
          <w:rFonts w:ascii="Segoe UI" w:hAnsi="Segoe UI"/>
          <w:b/>
          <w:i w:val="0"/>
          <w:color w:val="1B2330"/>
          <w:sz w:val="23"/>
        </w:rPr>
        <w:t>Limits of confidentiality</w:t>
      </w:r>
    </w:p>
    <w:p>
      <w:pPr>
        <w:pStyle w:val="ListBullet"/>
        <w:spacing w:before="0" w:after="40"/>
      </w:pPr>
      <w:r>
        <w:rPr>
          <w:rFonts w:ascii="Calibri" w:hAnsi="Calibri"/>
          <w:b w:val="0"/>
          <w:i w:val="0"/>
          <w:color w:val="1B2330"/>
          <w:sz w:val="21"/>
        </w:rPr>
        <w:t>Tarasoff v. Regents of the University of California (1976) established a duty to warn and protect identifiable third parties from serious threats of violence by a client.</w:t>
      </w:r>
    </w:p>
    <w:p>
      <w:pPr>
        <w:pStyle w:val="ListBullet"/>
        <w:spacing w:before="0" w:after="40"/>
      </w:pPr>
      <w:r>
        <w:rPr>
          <w:rFonts w:ascii="Calibri" w:hAnsi="Calibri"/>
          <w:b w:val="0"/>
          <w:i w:val="0"/>
          <w:color w:val="1B2330"/>
          <w:sz w:val="21"/>
        </w:rPr>
        <w:t>In India:</w:t>
      </w:r>
    </w:p>
    <w:p>
      <w:pPr>
        <w:pStyle w:val="ListBullet2"/>
        <w:spacing w:before="0" w:after="20"/>
      </w:pPr>
      <w:r>
        <w:rPr>
          <w:rFonts w:ascii="Calibri" w:hAnsi="Calibri"/>
          <w:b w:val="0"/>
          <w:i w:val="0"/>
          <w:color w:val="1B2330"/>
          <w:sz w:val="20"/>
        </w:rPr>
        <w:t>MHCA 2017 protects confidentiality of information about mental illness and treatment (disclosure allowed with consent, for the treatment, for safety, or by court order).</w:t>
      </w:r>
    </w:p>
    <w:p>
      <w:pPr>
        <w:pStyle w:val="ListBullet2"/>
        <w:spacing w:before="0" w:after="20"/>
      </w:pPr>
      <w:r>
        <w:rPr>
          <w:rFonts w:ascii="Calibri" w:hAnsi="Calibri"/>
          <w:b w:val="0"/>
          <w:i w:val="0"/>
          <w:color w:val="1B2330"/>
          <w:sz w:val="20"/>
        </w:rPr>
        <w:t>POCSO Act, 2012 makes reporting of known or suspected child sexual abuse mandatory.</w:t>
      </w:r>
    </w:p>
    <w:p>
      <w:pPr>
        <w:pStyle w:val="ListBullet2"/>
        <w:spacing w:before="0" w:after="20"/>
      </w:pPr>
      <w:r>
        <w:rPr>
          <w:rFonts w:ascii="Calibri" w:hAnsi="Calibri"/>
          <w:b w:val="0"/>
          <w:i w:val="0"/>
          <w:color w:val="1B2330"/>
          <w:sz w:val="20"/>
        </w:rPr>
        <w:t>Right to Privacy recognised as a fundamental right by the Supreme Court in Puttaswamy (2017).</w:t>
      </w:r>
    </w:p>
    <w:p>
      <w:pPr>
        <w:spacing w:before="180" w:after="40"/>
      </w:pPr>
      <w:r>
        <w:rPr>
          <w:rFonts w:ascii="Segoe UI" w:hAnsi="Segoe UI"/>
          <w:b/>
          <w:i w:val="0"/>
          <w:color w:val="1B2330"/>
          <w:sz w:val="23"/>
        </w:rPr>
        <w:t>Legal issues in therapy work (India)</w:t>
      </w:r>
    </w:p>
    <w:p>
      <w:pPr>
        <w:pStyle w:val="ListBullet"/>
        <w:spacing w:before="0" w:after="40"/>
      </w:pPr>
      <w:r>
        <w:rPr>
          <w:rFonts w:ascii="Calibri" w:hAnsi="Calibri"/>
          <w:b w:val="0"/>
          <w:i w:val="0"/>
          <w:color w:val="1B2330"/>
          <w:sz w:val="21"/>
        </w:rPr>
        <w:t>RCI Act, 1992: regulates training, registration and conduct; practising without registration is an offence.</w:t>
      </w:r>
    </w:p>
    <w:p>
      <w:pPr>
        <w:pStyle w:val="ListBullet"/>
        <w:spacing w:before="0" w:after="40"/>
      </w:pPr>
      <w:r>
        <w:rPr>
          <w:rFonts w:ascii="Calibri" w:hAnsi="Calibri"/>
          <w:b w:val="0"/>
          <w:i w:val="0"/>
          <w:color w:val="1B2330"/>
          <w:sz w:val="21"/>
        </w:rPr>
        <w:t>Mental Healthcare Act, 2017 (rights-based law):</w:t>
      </w:r>
    </w:p>
    <w:p>
      <w:pPr>
        <w:pStyle w:val="ListBullet2"/>
        <w:spacing w:before="0" w:after="20"/>
      </w:pPr>
      <w:r>
        <w:rPr>
          <w:rFonts w:ascii="Calibri" w:hAnsi="Calibri"/>
          <w:b w:val="0"/>
          <w:i w:val="0"/>
          <w:color w:val="1B2330"/>
          <w:sz w:val="20"/>
        </w:rPr>
        <w:t>Rights of persons with mental illness: access to mental healthcare; community living; protection from cruel, inhuman or degrading treatment; equality and non-discrimination; information; confidentiality; access to medical records; personal contacts and communication; legal aid; and complaints about services.</w:t>
      </w:r>
    </w:p>
    <w:p>
      <w:pPr>
        <w:pStyle w:val="ListBullet2"/>
        <w:spacing w:before="0" w:after="20"/>
      </w:pPr>
      <w:r>
        <w:rPr>
          <w:rFonts w:ascii="Calibri" w:hAnsi="Calibri"/>
          <w:b w:val="0"/>
          <w:i w:val="0"/>
          <w:color w:val="1B2330"/>
          <w:sz w:val="20"/>
        </w:rPr>
        <w:t>Advance directive and nominated representative.</w:t>
      </w:r>
    </w:p>
    <w:p>
      <w:pPr>
        <w:pStyle w:val="ListBullet2"/>
        <w:spacing w:before="0" w:after="20"/>
      </w:pPr>
      <w:r>
        <w:rPr>
          <w:rFonts w:ascii="Calibri" w:hAnsi="Calibri"/>
          <w:b w:val="0"/>
          <w:i w:val="0"/>
          <w:color w:val="1B2330"/>
          <w:sz w:val="20"/>
        </w:rPr>
        <w:t>Capacity to make treatment decisions is presumed unless shown otherwise.</w:t>
      </w:r>
    </w:p>
    <w:p>
      <w:pPr>
        <w:pStyle w:val="ListBullet2"/>
        <w:spacing w:before="0" w:after="20"/>
      </w:pPr>
      <w:r>
        <w:rPr>
          <w:rFonts w:ascii="Calibri" w:hAnsi="Calibri"/>
          <w:b w:val="0"/>
          <w:i w:val="0"/>
          <w:color w:val="1B2330"/>
          <w:sz w:val="20"/>
        </w:rPr>
        <w:t>Suicide attempt presumed under severe stress and not punishable (Section 115); the government must provide care and rehabilitation.</w:t>
      </w:r>
    </w:p>
    <w:p>
      <w:pPr>
        <w:pStyle w:val="ListBullet2"/>
        <w:spacing w:before="0" w:after="20"/>
      </w:pPr>
      <w:r>
        <w:rPr>
          <w:rFonts w:ascii="Calibri" w:hAnsi="Calibri"/>
          <w:b w:val="0"/>
          <w:i w:val="0"/>
          <w:color w:val="1B2330"/>
          <w:sz w:val="20"/>
        </w:rPr>
        <w:t>Restrictions on ECT (none without anaesthesia and muscle relaxant; not for minors); prohibition of sterilisation as treatment; limited use of restraints.</w:t>
      </w:r>
    </w:p>
    <w:p>
      <w:pPr>
        <w:pStyle w:val="ListBullet"/>
        <w:spacing w:before="0" w:after="40"/>
      </w:pPr>
      <w:r>
        <w:rPr>
          <w:rFonts w:ascii="Calibri" w:hAnsi="Calibri"/>
          <w:b w:val="0"/>
          <w:i w:val="0"/>
          <w:color w:val="1B2330"/>
          <w:sz w:val="21"/>
        </w:rPr>
        <w:t>Rights of Persons with Disabilities Act, 2016 (includes mental illness and intellectual disability).</w:t>
      </w:r>
    </w:p>
    <w:p>
      <w:pPr>
        <w:pStyle w:val="ListBullet"/>
        <w:spacing w:before="0" w:after="40"/>
      </w:pPr>
      <w:r>
        <w:rPr>
          <w:rFonts w:ascii="Calibri" w:hAnsi="Calibri"/>
          <w:b w:val="0"/>
          <w:i w:val="0"/>
          <w:color w:val="1B2330"/>
          <w:sz w:val="21"/>
        </w:rPr>
        <w:t>POCSO Act, 2012 (mandatory reporting) and the Juvenile Justice Act (care of children).</w:t>
      </w:r>
    </w:p>
    <w:p>
      <w:pPr>
        <w:pStyle w:val="ListBullet"/>
        <w:spacing w:before="0" w:after="40"/>
      </w:pPr>
      <w:r>
        <w:rPr>
          <w:rFonts w:ascii="Calibri" w:hAnsi="Calibri"/>
          <w:b w:val="0"/>
          <w:i w:val="0"/>
          <w:color w:val="1B2330"/>
          <w:sz w:val="21"/>
        </w:rPr>
        <w:t>Consumer Protection Act and civil/criminal law on negligence (professional malpractice); courts may seek records or testimony.</w:t>
      </w:r>
    </w:p>
    <w:p>
      <w:pPr>
        <w:pStyle w:val="ListBullet"/>
        <w:spacing w:before="0" w:after="40"/>
      </w:pPr>
      <w:r>
        <w:rPr>
          <w:rFonts w:ascii="Calibri" w:hAnsi="Calibri"/>
          <w:b w:val="0"/>
          <w:i w:val="0"/>
          <w:color w:val="1B2330"/>
          <w:sz w:val="21"/>
        </w:rPr>
        <w:t>Tele-mental health: Telemedicine Practice Guidelines (2020) and tele-psychiatry guidance apply.</w:t>
      </w:r>
    </w:p>
    <w:p>
      <w:pPr>
        <w:pStyle w:val="ListBullet"/>
        <w:spacing w:before="0" w:after="40"/>
      </w:pPr>
      <w:r>
        <w:rPr>
          <w:rFonts w:ascii="Calibri" w:hAnsi="Calibri"/>
          <w:b w:val="0"/>
          <w:i w:val="0"/>
          <w:color w:val="1B2330"/>
          <w:sz w:val="21"/>
        </w:rPr>
        <w:t>Legal vs ethical: law sets the minimum enforceable standard; ethics sets the higher aspirational standard.</w:t>
      </w:r>
    </w:p>
    <w:p>
      <w:pPr>
        <w:spacing w:before="160" w:after="40"/>
      </w:pPr>
      <w:r>
        <w:rPr>
          <w:rFonts w:ascii="Segoe UI" w:hAnsi="Segoe UI"/>
          <w:b/>
          <w:i w:val="0"/>
          <w:color w:val="2B4C7E"/>
          <w:sz w:val="21"/>
        </w:rPr>
        <w:t>Flow chart: Confidentiality decision flow</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Client discloses information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Default: keep confidential</w:t>
            </w:r>
          </w:p>
        </w:tc>
      </w:tr>
      <w:tr>
        <w:tc>
          <w:tcPr>
            <w:tcW w:type="dxa" w:w="8504"/>
          </w:tcPr>
          <w:p>
            <w:pPr>
              <w:spacing w:before="20" w:after="20"/>
              <w:jc w:val="center"/>
            </w:pPr>
            <w:r>
              <w:rPr>
                <w:rFonts w:ascii="Segoe UI" w:hAnsi="Segoe UI"/>
                <w:b/>
                <w:i w:val="0"/>
                <w:color w:val="2B4C7E"/>
                <w:sz w:val="26"/>
              </w:rPr>
              <w:t>↓</w:t>
            </w:r>
          </w:p>
        </w:tc>
      </w:tr>
    </w:tbl>
    <w:p>
      <w:pPr>
        <w:spacing w:before="20" w:after="0"/>
        <w:jc w:val="center"/>
      </w:pPr>
      <w:r>
        <w:rPr>
          <w:rFonts w:ascii="Segoe UI" w:hAnsi="Segoe UI"/>
          <w:b w:val="0"/>
          <w:i/>
          <w:color w:val="4A5568"/>
          <w:sz w:val="17"/>
        </w:rPr>
        <w:t>Client gives valid consent to share</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Disclose only what is agreed</w:t>
            </w:r>
          </w:p>
        </w:tc>
      </w:tr>
    </w:tbl>
    <w:p>
      <w:pPr>
        <w:spacing w:before="20" w:after="0"/>
        <w:jc w:val="center"/>
      </w:pPr>
      <w:r>
        <w:rPr>
          <w:rFonts w:ascii="Segoe UI" w:hAnsi="Segoe UI"/>
          <w:b w:val="0"/>
          <w:i/>
          <w:color w:val="4A5568"/>
          <w:sz w:val="17"/>
        </w:rPr>
        <w:t>Serious, identifiable threat to a third party (Tarasoff)</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Duty to warn / protect</w:t>
            </w:r>
          </w:p>
        </w:tc>
      </w:tr>
    </w:tbl>
    <w:p>
      <w:pPr>
        <w:spacing w:before="20" w:after="0"/>
        <w:jc w:val="center"/>
      </w:pPr>
      <w:r>
        <w:rPr>
          <w:rFonts w:ascii="Segoe UI" w:hAnsi="Segoe UI"/>
          <w:b w:val="0"/>
          <w:i/>
          <w:color w:val="4A5568"/>
          <w:sz w:val="17"/>
        </w:rPr>
        <w:t>Risk to self / safety</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Act to protect; least disclosure needed</w:t>
            </w:r>
          </w:p>
        </w:tc>
      </w:tr>
    </w:tbl>
    <w:p>
      <w:pPr>
        <w:spacing w:before="20" w:after="0"/>
        <w:jc w:val="center"/>
      </w:pPr>
      <w:r>
        <w:rPr>
          <w:rFonts w:ascii="Segoe UI" w:hAnsi="Segoe UI"/>
          <w:b w:val="0"/>
          <w:i/>
          <w:color w:val="4A5568"/>
          <w:sz w:val="17"/>
        </w:rPr>
        <w:t>Child abuse known/suspected (POCSO)</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Mandatory report</w:t>
            </w:r>
          </w:p>
        </w:tc>
      </w:tr>
    </w:tbl>
    <w:p>
      <w:pPr>
        <w:spacing w:before="20" w:after="0"/>
        <w:jc w:val="center"/>
      </w:pPr>
      <w:r>
        <w:rPr>
          <w:rFonts w:ascii="Segoe UI" w:hAnsi="Segoe UI"/>
          <w:b w:val="0"/>
          <w:i/>
          <w:color w:val="4A5568"/>
          <w:sz w:val="17"/>
        </w:rPr>
        <w:t>Court order</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Disclose as legally required</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FIRBJ</w:t>
            </w:r>
            <w:r>
              <w:rPr>
                <w:rFonts w:ascii="Segoe UI" w:hAnsi="Segoe UI"/>
                <w:b/>
                <w:i w:val="0"/>
                <w:color w:val="8A5A00"/>
                <w:sz w:val="21"/>
              </w:rPr>
              <w:t xml:space="preserve">  —  the APA ethical principles</w:t>
            </w:r>
          </w:p>
          <w:p>
            <w:pPr>
              <w:spacing w:before="0" w:after="20"/>
            </w:pPr>
            <w:r>
              <w:rPr>
                <w:rFonts w:ascii="Segoe UI" w:hAnsi="Segoe UI"/>
                <w:b/>
                <w:i w:val="0"/>
                <w:color w:val="C98A1B"/>
                <w:sz w:val="22"/>
              </w:rPr>
              <w:t xml:space="preserve">F  </w:t>
            </w:r>
            <w:r>
              <w:rPr>
                <w:rFonts w:ascii="Segoe UI" w:hAnsi="Segoe UI"/>
                <w:b/>
                <w:i w:val="0"/>
                <w:color w:val="1B2330"/>
                <w:sz w:val="19"/>
              </w:rPr>
              <w:t xml:space="preserve">Fidelity — </w:t>
            </w:r>
            <w:r>
              <w:rPr>
                <w:rFonts w:ascii="Segoe UI" w:hAnsi="Segoe UI"/>
                <w:b w:val="0"/>
                <w:i w:val="0"/>
                <w:color w:val="4A5568"/>
                <w:sz w:val="19"/>
              </w:rPr>
              <w:t>fidelity and responsibility</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Integrity — </w:t>
            </w:r>
            <w:r>
              <w:rPr>
                <w:rFonts w:ascii="Segoe UI" w:hAnsi="Segoe UI"/>
                <w:b w:val="0"/>
                <w:i w:val="0"/>
                <w:color w:val="4A5568"/>
                <w:sz w:val="19"/>
              </w:rPr>
              <w:t>honesty, accuracy, no deception</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Respect — </w:t>
            </w:r>
            <w:r>
              <w:rPr>
                <w:rFonts w:ascii="Segoe UI" w:hAnsi="Segoe UI"/>
                <w:b w:val="0"/>
                <w:i w:val="0"/>
                <w:color w:val="4A5568"/>
                <w:sz w:val="19"/>
              </w:rPr>
              <w:t>respect for rights and dignity</w:t>
            </w:r>
          </w:p>
          <w:p>
            <w:pPr>
              <w:spacing w:before="0" w:after="20"/>
            </w:pPr>
            <w:r>
              <w:rPr>
                <w:rFonts w:ascii="Segoe UI" w:hAnsi="Segoe UI"/>
                <w:b/>
                <w:i w:val="0"/>
                <w:color w:val="C98A1B"/>
                <w:sz w:val="22"/>
              </w:rPr>
              <w:t xml:space="preserve">B  </w:t>
            </w:r>
            <w:r>
              <w:rPr>
                <w:rFonts w:ascii="Segoe UI" w:hAnsi="Segoe UI"/>
                <w:b/>
                <w:i w:val="0"/>
                <w:color w:val="1B2330"/>
                <w:sz w:val="19"/>
              </w:rPr>
              <w:t xml:space="preserve">Beneficence — </w:t>
            </w:r>
            <w:r>
              <w:rPr>
                <w:rFonts w:ascii="Segoe UI" w:hAnsi="Segoe UI"/>
                <w:b w:val="0"/>
                <w:i w:val="0"/>
                <w:color w:val="4A5568"/>
                <w:sz w:val="19"/>
              </w:rPr>
              <w:t>beneficence and non-maleficence</w:t>
            </w:r>
          </w:p>
          <w:p>
            <w:pPr>
              <w:spacing w:before="0" w:after="20"/>
            </w:pPr>
            <w:r>
              <w:rPr>
                <w:rFonts w:ascii="Segoe UI" w:hAnsi="Segoe UI"/>
                <w:b/>
                <w:i w:val="0"/>
                <w:color w:val="C98A1B"/>
                <w:sz w:val="22"/>
              </w:rPr>
              <w:t xml:space="preserve">J  </w:t>
            </w:r>
            <w:r>
              <w:rPr>
                <w:rFonts w:ascii="Segoe UI" w:hAnsi="Segoe UI"/>
                <w:b/>
                <w:i w:val="0"/>
                <w:color w:val="1B2330"/>
                <w:sz w:val="19"/>
              </w:rPr>
              <w:t xml:space="preserve">Justice — </w:t>
            </w:r>
            <w:r>
              <w:rPr>
                <w:rFonts w:ascii="Segoe UI" w:hAnsi="Segoe UI"/>
                <w:b w:val="0"/>
                <w:i w:val="0"/>
                <w:color w:val="4A5568"/>
                <w:sz w:val="19"/>
              </w:rPr>
              <w:t>fairness and equal access</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CCS-PC</w:t>
            </w:r>
            <w:r>
              <w:rPr>
                <w:rFonts w:ascii="Segoe UI" w:hAnsi="Segoe UI"/>
                <w:b/>
                <w:i w:val="0"/>
                <w:color w:val="8A5A00"/>
                <w:sz w:val="21"/>
              </w:rPr>
              <w:t xml:space="preserve">  —  when confidentiality may be breached</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Consent — </w:t>
            </w:r>
            <w:r>
              <w:rPr>
                <w:rFonts w:ascii="Segoe UI" w:hAnsi="Segoe UI"/>
                <w:b w:val="0"/>
                <w:i w:val="0"/>
                <w:color w:val="4A5568"/>
                <w:sz w:val="19"/>
              </w:rPr>
              <w:t>client gives valid consent</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Child abuse — </w:t>
            </w:r>
            <w:r>
              <w:rPr>
                <w:rFonts w:ascii="Segoe UI" w:hAnsi="Segoe UI"/>
                <w:b w:val="0"/>
                <w:i w:val="0"/>
                <w:color w:val="4A5568"/>
                <w:sz w:val="19"/>
              </w:rPr>
              <w:t>mandatory reporting under POCSO</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Safety / self-harm — </w:t>
            </w:r>
            <w:r>
              <w:rPr>
                <w:rFonts w:ascii="Segoe UI" w:hAnsi="Segoe UI"/>
                <w:b w:val="0"/>
                <w:i w:val="0"/>
                <w:color w:val="4A5568"/>
                <w:sz w:val="19"/>
              </w:rPr>
              <w:t>risk to self or others</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Protect third party — </w:t>
            </w:r>
            <w:r>
              <w:rPr>
                <w:rFonts w:ascii="Segoe UI" w:hAnsi="Segoe UI"/>
                <w:b w:val="0"/>
                <w:i w:val="0"/>
                <w:color w:val="4A5568"/>
                <w:sz w:val="19"/>
              </w:rPr>
              <w:t>Tarasoff duty to warn / protect</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Court order — </w:t>
            </w:r>
            <w:r>
              <w:rPr>
                <w:rFonts w:ascii="Segoe UI" w:hAnsi="Segoe UI"/>
                <w:b w:val="0"/>
                <w:i w:val="0"/>
                <w:color w:val="4A5568"/>
                <w:sz w:val="19"/>
              </w:rPr>
              <w:t>legally compelled disclosure</w:t>
            </w:r>
          </w:p>
        </w:tc>
      </w:tr>
    </w:tbl>
    <w:p>
      <w:pPr>
        <w:spacing w:after="40"/>
      </w:pPr>
    </w:p>
    <w:p>
      <w:pPr>
        <w:pStyle w:val="Heading1"/>
        <w:pageBreakBefore/>
      </w:pPr>
      <w:r>
        <w:rPr>
          <w:rFonts w:ascii="Segoe UI" w:hAnsi="Segoe UI"/>
          <w:b/>
          <w:i w:val="0"/>
          <w:color w:val="2B4C7E"/>
          <w:sz w:val="30"/>
        </w:rPr>
        <w:t>5. Rights and Responsibilities in Psychotherapy</w:t>
      </w:r>
    </w:p>
    <w:p>
      <w:pPr>
        <w:spacing w:before="180" w:after="40"/>
      </w:pPr>
      <w:r>
        <w:rPr>
          <w:rFonts w:ascii="Segoe UI" w:hAnsi="Segoe UI"/>
          <w:b/>
          <w:i w:val="0"/>
          <w:color w:val="1B2330"/>
          <w:sz w:val="23"/>
        </w:rPr>
        <w:t>Client rights</w:t>
      </w:r>
    </w:p>
    <w:p>
      <w:pPr>
        <w:pStyle w:val="ListBullet"/>
        <w:spacing w:before="0" w:after="40"/>
      </w:pPr>
      <w:r>
        <w:rPr>
          <w:rFonts w:ascii="Calibri" w:hAnsi="Calibri"/>
          <w:b w:val="0"/>
          <w:i w:val="0"/>
          <w:color w:val="1B2330"/>
          <w:sz w:val="21"/>
        </w:rPr>
        <w:t>Right to competent, respectful, non-discriminatory treatment.</w:t>
      </w:r>
    </w:p>
    <w:p>
      <w:pPr>
        <w:pStyle w:val="ListBullet"/>
        <w:spacing w:before="0" w:after="40"/>
      </w:pPr>
      <w:r>
        <w:rPr>
          <w:rFonts w:ascii="Calibri" w:hAnsi="Calibri"/>
          <w:b w:val="0"/>
          <w:i w:val="0"/>
          <w:color w:val="1B2330"/>
          <w:sz w:val="21"/>
        </w:rPr>
        <w:t>Right to informed consent and to adequate information about therapy.</w:t>
      </w:r>
    </w:p>
    <w:p>
      <w:pPr>
        <w:pStyle w:val="ListBullet"/>
        <w:spacing w:before="0" w:after="40"/>
      </w:pPr>
      <w:r>
        <w:rPr>
          <w:rFonts w:ascii="Calibri" w:hAnsi="Calibri"/>
          <w:b w:val="0"/>
          <w:i w:val="0"/>
          <w:color w:val="1B2330"/>
          <w:sz w:val="21"/>
        </w:rPr>
        <w:t>Right to confidentiality (within its legal limits).</w:t>
      </w:r>
    </w:p>
    <w:p>
      <w:pPr>
        <w:pStyle w:val="ListBullet"/>
        <w:spacing w:before="0" w:after="40"/>
      </w:pPr>
      <w:r>
        <w:rPr>
          <w:rFonts w:ascii="Calibri" w:hAnsi="Calibri"/>
          <w:b w:val="0"/>
          <w:i w:val="0"/>
          <w:color w:val="1B2330"/>
          <w:sz w:val="21"/>
        </w:rPr>
        <w:t>Right to autonomy and self-determination, including the right to withdraw or refuse treatment without penalty.</w:t>
      </w:r>
    </w:p>
    <w:p>
      <w:pPr>
        <w:pStyle w:val="ListBullet"/>
        <w:spacing w:before="0" w:after="40"/>
      </w:pPr>
      <w:r>
        <w:rPr>
          <w:rFonts w:ascii="Calibri" w:hAnsi="Calibri"/>
          <w:b w:val="0"/>
          <w:i w:val="0"/>
          <w:color w:val="1B2330"/>
          <w:sz w:val="21"/>
        </w:rPr>
        <w:t>Right to privacy and dignity; right to safety (no exploitation or harm).</w:t>
      </w:r>
    </w:p>
    <w:p>
      <w:pPr>
        <w:pStyle w:val="ListBullet"/>
        <w:spacing w:before="0" w:after="40"/>
      </w:pPr>
      <w:r>
        <w:rPr>
          <w:rFonts w:ascii="Calibri" w:hAnsi="Calibri"/>
          <w:b w:val="0"/>
          <w:i w:val="0"/>
          <w:color w:val="1B2330"/>
          <w:sz w:val="21"/>
        </w:rPr>
        <w:t>Right to access one's records (consistent with MHCA 2017) and to make complaints about services.</w:t>
      </w:r>
    </w:p>
    <w:p>
      <w:pPr>
        <w:pStyle w:val="ListBullet"/>
        <w:spacing w:before="0" w:after="40"/>
      </w:pPr>
      <w:r>
        <w:rPr>
          <w:rFonts w:ascii="Calibri" w:hAnsi="Calibri"/>
          <w:b w:val="0"/>
          <w:i w:val="0"/>
          <w:color w:val="1B2330"/>
          <w:sz w:val="21"/>
        </w:rPr>
        <w:t>Right to a clear contract (fees, frequency, duration, cancellation).</w:t>
      </w:r>
    </w:p>
    <w:p>
      <w:pPr>
        <w:spacing w:before="180" w:after="40"/>
      </w:pPr>
      <w:r>
        <w:rPr>
          <w:rFonts w:ascii="Segoe UI" w:hAnsi="Segoe UI"/>
          <w:b/>
          <w:i w:val="0"/>
          <w:color w:val="1B2330"/>
          <w:sz w:val="23"/>
        </w:rPr>
        <w:t>Client responsibilities</w:t>
      </w:r>
    </w:p>
    <w:p>
      <w:pPr>
        <w:pStyle w:val="ListBullet"/>
        <w:spacing w:before="0" w:after="40"/>
      </w:pPr>
      <w:r>
        <w:rPr>
          <w:rFonts w:ascii="Calibri" w:hAnsi="Calibri"/>
          <w:b w:val="0"/>
          <w:i w:val="0"/>
          <w:color w:val="1B2330"/>
          <w:sz w:val="21"/>
        </w:rPr>
        <w:t>Attend sessions, be punctual, give notice of cancellation.</w:t>
      </w:r>
    </w:p>
    <w:p>
      <w:pPr>
        <w:pStyle w:val="ListBullet"/>
        <w:spacing w:before="0" w:after="40"/>
      </w:pPr>
      <w:r>
        <w:rPr>
          <w:rFonts w:ascii="Calibri" w:hAnsi="Calibri"/>
          <w:b w:val="0"/>
          <w:i w:val="0"/>
          <w:color w:val="1B2330"/>
          <w:sz w:val="21"/>
        </w:rPr>
        <w:t>Participate actively and honestly; complete agreed homework / tasks.</w:t>
      </w:r>
    </w:p>
    <w:p>
      <w:pPr>
        <w:pStyle w:val="ListBullet"/>
        <w:spacing w:before="0" w:after="40"/>
      </w:pPr>
      <w:r>
        <w:rPr>
          <w:rFonts w:ascii="Calibri" w:hAnsi="Calibri"/>
          <w:b w:val="0"/>
          <w:i w:val="0"/>
          <w:color w:val="1B2330"/>
          <w:sz w:val="21"/>
        </w:rPr>
        <w:t>Pay agreed fees; respect the therapeutic frame and boundaries.</w:t>
      </w:r>
    </w:p>
    <w:p>
      <w:pPr>
        <w:spacing w:before="180" w:after="40"/>
      </w:pPr>
      <w:r>
        <w:rPr>
          <w:rFonts w:ascii="Segoe UI" w:hAnsi="Segoe UI"/>
          <w:b/>
          <w:i w:val="0"/>
          <w:color w:val="1B2330"/>
          <w:sz w:val="23"/>
        </w:rPr>
        <w:t>Therapist responsibilities</w:t>
      </w:r>
    </w:p>
    <w:p>
      <w:pPr>
        <w:pStyle w:val="ListBullet"/>
        <w:spacing w:before="0" w:after="40"/>
      </w:pPr>
      <w:r>
        <w:rPr>
          <w:rFonts w:ascii="Calibri" w:hAnsi="Calibri"/>
          <w:b w:val="0"/>
          <w:i w:val="0"/>
          <w:color w:val="1B2330"/>
          <w:sz w:val="21"/>
        </w:rPr>
        <w:t>Practise competently and within the limits of training; refer when needed.</w:t>
      </w:r>
    </w:p>
    <w:p>
      <w:pPr>
        <w:pStyle w:val="ListBullet"/>
        <w:spacing w:before="0" w:after="40"/>
      </w:pPr>
      <w:r>
        <w:rPr>
          <w:rFonts w:ascii="Calibri" w:hAnsi="Calibri"/>
          <w:b w:val="0"/>
          <w:i w:val="0"/>
          <w:color w:val="1B2330"/>
          <w:sz w:val="21"/>
        </w:rPr>
        <w:t>Obtain valid informed consent; protect confidentiality and its limits.</w:t>
      </w:r>
    </w:p>
    <w:p>
      <w:pPr>
        <w:pStyle w:val="ListBullet"/>
        <w:spacing w:before="0" w:after="40"/>
      </w:pPr>
      <w:r>
        <w:rPr>
          <w:rFonts w:ascii="Calibri" w:hAnsi="Calibri"/>
          <w:b w:val="0"/>
          <w:i w:val="0"/>
          <w:color w:val="1B2330"/>
          <w:sz w:val="21"/>
        </w:rPr>
        <w:t>Maintain boundaries; avoid dual relationships and exploitation.</w:t>
      </w:r>
    </w:p>
    <w:p>
      <w:pPr>
        <w:pStyle w:val="ListBullet"/>
        <w:spacing w:before="0" w:after="40"/>
      </w:pPr>
      <w:r>
        <w:rPr>
          <w:rFonts w:ascii="Calibri" w:hAnsi="Calibri"/>
          <w:b w:val="0"/>
          <w:i w:val="0"/>
          <w:color w:val="1B2330"/>
          <w:sz w:val="21"/>
        </w:rPr>
        <w:t>Keep accurate, secure records; honour reporting obligations.</w:t>
      </w:r>
    </w:p>
    <w:p>
      <w:pPr>
        <w:pStyle w:val="ListBullet"/>
        <w:spacing w:before="0" w:after="40"/>
      </w:pPr>
      <w:r>
        <w:rPr>
          <w:rFonts w:ascii="Calibri" w:hAnsi="Calibri"/>
          <w:b w:val="0"/>
          <w:i w:val="0"/>
          <w:color w:val="1B2330"/>
          <w:sz w:val="21"/>
        </w:rPr>
        <w:t>Provide continuity of care; avoid abandonment; arrange referral and handover.</w:t>
      </w:r>
    </w:p>
    <w:p>
      <w:pPr>
        <w:pStyle w:val="ListBullet"/>
        <w:spacing w:before="0" w:after="40"/>
      </w:pPr>
      <w:r>
        <w:rPr>
          <w:rFonts w:ascii="Calibri" w:hAnsi="Calibri"/>
          <w:b w:val="0"/>
          <w:i w:val="0"/>
          <w:color w:val="1B2330"/>
          <w:sz w:val="21"/>
        </w:rPr>
        <w:t>Use supervision; engage in self-care; keep up to date (continuing education).</w:t>
      </w:r>
    </w:p>
    <w:tbl>
      <w:tblPr>
        <w:tblW w:type="auto" w:w="0"/>
        <w:jc w:val="center"/>
        <w:tblLook w:firstColumn="1" w:firstRow="1" w:lastColumn="0" w:lastRow="0" w:noHBand="0" w:noVBand="1" w:val="04A0"/>
      </w:tblPr>
      <w:tblGrid>
        <w:gridCol w:w="9638"/>
      </w:tblGrid>
      <w:tr>
        <w:tc>
          <w:tcPr>
            <w:tcW w:type="dxa" w:w="9411"/>
            <w:tcBorders>
              <w:top w:val="single" w:sz="8" w:space="0" w:color="B23A48"/>
              <w:left w:val="single" w:sz="8" w:space="0" w:color="B23A48"/>
              <w:bottom w:val="single" w:sz="8" w:space="0" w:color="B23A48"/>
              <w:right w:val="single" w:sz="8" w:space="0" w:color="B23A48"/>
            </w:tcBorders>
            <w:shd w:val="clear" w:color="auto" w:fill="FDECEF"/>
          </w:tcPr>
          <w:p>
            <w:pPr>
              <w:spacing w:before="40" w:after="60"/>
            </w:pPr>
            <w:r>
              <w:rPr>
                <w:rFonts w:ascii="Segoe UI" w:hAnsi="Segoe UI"/>
                <w:b/>
                <w:i w:val="0"/>
                <w:color w:val="B23A48"/>
                <w:sz w:val="21"/>
              </w:rPr>
              <w:t>Codes behind these rights/duties</w:t>
            </w:r>
          </w:p>
          <w:p>
            <w:pPr>
              <w:pStyle w:val="ListBullet"/>
              <w:spacing w:before="0" w:after="40"/>
            </w:pPr>
            <w:r>
              <w:rPr>
                <w:rFonts w:ascii="Calibri" w:hAnsi="Calibri"/>
                <w:b w:val="0"/>
                <w:i w:val="0"/>
                <w:color w:val="1B2330"/>
                <w:sz w:val="19"/>
              </w:rPr>
              <w:t>APA Ethical Principles and the RCI code of conduct underpin these rights and responsibilities (supported).</w:t>
            </w:r>
          </w:p>
          <w:p>
            <w:pPr>
              <w:pStyle w:val="ListBullet"/>
              <w:spacing w:before="0" w:after="40"/>
            </w:pPr>
            <w:r>
              <w:rPr>
                <w:rFonts w:ascii="Calibri" w:hAnsi="Calibri"/>
                <w:b w:val="0"/>
                <w:i w:val="0"/>
                <w:color w:val="1B2330"/>
                <w:sz w:val="19"/>
              </w:rPr>
              <w:t>IACP themes are broadly consistent (SECONDARY / paraphrased — no clause numbers asserted).</w:t>
            </w:r>
          </w:p>
        </w:tc>
      </w:tr>
    </w:tbl>
    <w:p>
      <w:pPr>
        <w:spacing w:after="40"/>
      </w:pPr>
    </w:p>
    <w:p>
      <w:pPr>
        <w:spacing w:before="160" w:after="40"/>
      </w:pPr>
      <w:r>
        <w:rPr>
          <w:rFonts w:ascii="Segoe UI" w:hAnsi="Segoe UI"/>
          <w:b/>
          <w:i w:val="0"/>
          <w:color w:val="2B4C7E"/>
          <w:sz w:val="21"/>
        </w:rPr>
        <w:t>Flow chart: Flow: rights and duties in balance</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Contract sets the frame (fees, time, boundaries)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Client rights &lt;-&gt; Therapist duties (consent, confidentiality, competence)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Shared responsibilities (attendance, honesty, participation)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Breach? → repair, refer, or complaint / review mechanism</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CARED</w:t>
            </w:r>
            <w:r>
              <w:rPr>
                <w:rFonts w:ascii="Segoe UI" w:hAnsi="Segoe UI"/>
                <w:b/>
                <w:i w:val="0"/>
                <w:color w:val="8A5A00"/>
                <w:sz w:val="21"/>
              </w:rPr>
              <w:t xml:space="preserve">  —  what the client is owed</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Consent &amp; confidentiality — </w:t>
            </w:r>
            <w:r>
              <w:rPr>
                <w:rFonts w:ascii="Segoe UI" w:hAnsi="Segoe UI"/>
                <w:b w:val="0"/>
                <w:i w:val="0"/>
                <w:color w:val="4A5568"/>
                <w:sz w:val="19"/>
              </w:rPr>
              <w:t>informed consent; confidentiality</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Autonomy — </w:t>
            </w:r>
            <w:r>
              <w:rPr>
                <w:rFonts w:ascii="Segoe UI" w:hAnsi="Segoe UI"/>
                <w:b w:val="0"/>
                <w:i w:val="0"/>
                <w:color w:val="4A5568"/>
                <w:sz w:val="19"/>
              </w:rPr>
              <w:t>self-determination; right to withdraw</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Respect &amp; records — </w:t>
            </w:r>
            <w:r>
              <w:rPr>
                <w:rFonts w:ascii="Segoe UI" w:hAnsi="Segoe UI"/>
                <w:b w:val="0"/>
                <w:i w:val="0"/>
                <w:color w:val="4A5568"/>
                <w:sz w:val="19"/>
              </w:rPr>
              <w:t>dignity; access to own records</w:t>
            </w:r>
          </w:p>
          <w:p>
            <w:pPr>
              <w:spacing w:before="0" w:after="20"/>
            </w:pPr>
            <w:r>
              <w:rPr>
                <w:rFonts w:ascii="Segoe UI" w:hAnsi="Segoe UI"/>
                <w:b/>
                <w:i w:val="0"/>
                <w:color w:val="C98A1B"/>
                <w:sz w:val="22"/>
              </w:rPr>
              <w:t xml:space="preserve">E  </w:t>
            </w:r>
            <w:r>
              <w:rPr>
                <w:rFonts w:ascii="Segoe UI" w:hAnsi="Segoe UI"/>
                <w:b/>
                <w:i w:val="0"/>
                <w:color w:val="1B2330"/>
                <w:sz w:val="19"/>
              </w:rPr>
              <w:t xml:space="preserve">Equality — </w:t>
            </w:r>
            <w:r>
              <w:rPr>
                <w:rFonts w:ascii="Segoe UI" w:hAnsi="Segoe UI"/>
                <w:b w:val="0"/>
                <w:i w:val="0"/>
                <w:color w:val="4A5568"/>
                <w:sz w:val="19"/>
              </w:rPr>
              <w:t>non-discriminatory, competent care</w:t>
            </w:r>
          </w:p>
          <w:p>
            <w:pPr>
              <w:spacing w:before="0" w:after="20"/>
            </w:pPr>
            <w:r>
              <w:rPr>
                <w:rFonts w:ascii="Segoe UI" w:hAnsi="Segoe UI"/>
                <w:b/>
                <w:i w:val="0"/>
                <w:color w:val="C98A1B"/>
                <w:sz w:val="22"/>
              </w:rPr>
              <w:t xml:space="preserve">D  </w:t>
            </w:r>
            <w:r>
              <w:rPr>
                <w:rFonts w:ascii="Segoe UI" w:hAnsi="Segoe UI"/>
                <w:b/>
                <w:i w:val="0"/>
                <w:color w:val="1B2330"/>
                <w:sz w:val="19"/>
              </w:rPr>
              <w:t xml:space="preserve">Dignity &amp; safety — </w:t>
            </w:r>
            <w:r>
              <w:rPr>
                <w:rFonts w:ascii="Segoe UI" w:hAnsi="Segoe UI"/>
                <w:b w:val="0"/>
                <w:i w:val="0"/>
                <w:color w:val="4A5568"/>
                <w:sz w:val="19"/>
              </w:rPr>
              <w:t>privacy; no exploitation or harm</w:t>
            </w:r>
          </w:p>
        </w:tc>
      </w:tr>
    </w:tbl>
    <w:p>
      <w:pPr>
        <w:spacing w:after="40"/>
      </w:pPr>
    </w:p>
    <w:p>
      <w:pPr>
        <w:pStyle w:val="Heading1"/>
        <w:pageBreakBefore/>
      </w:pPr>
      <w:r>
        <w:rPr>
          <w:rFonts w:ascii="Segoe UI" w:hAnsi="Segoe UI"/>
          <w:b/>
          <w:i w:val="0"/>
          <w:color w:val="2B4C7E"/>
          <w:sz w:val="30"/>
        </w:rPr>
        <w:t>6. Consent and Assent (Including Minors)</w:t>
      </w:r>
    </w:p>
    <w:p>
      <w:pPr>
        <w:spacing w:before="60" w:after="60"/>
      </w:pPr>
      <w:r>
        <w:rPr>
          <w:rFonts w:ascii="Calibri" w:hAnsi="Calibri"/>
          <w:b w:val="0"/>
          <w:i w:val="0"/>
          <w:color w:val="1B2330"/>
          <w:sz w:val="21"/>
        </w:rPr>
        <w:t>Informed consent is the client's voluntary agreement to assessment or therapy after receiving and understanding adequate information. Consent is a process, not a one-time signature.</w:t>
      </w:r>
    </w:p>
    <w:p>
      <w:pPr>
        <w:spacing w:before="180" w:after="40"/>
      </w:pPr>
      <w:r>
        <w:rPr>
          <w:rFonts w:ascii="Segoe UI" w:hAnsi="Segoe UI"/>
          <w:b/>
          <w:i w:val="0"/>
          <w:color w:val="1B2330"/>
          <w:sz w:val="23"/>
        </w:rPr>
        <w:t>Elements of informed consent</w:t>
      </w:r>
    </w:p>
    <w:p>
      <w:pPr>
        <w:pStyle w:val="ListBullet"/>
        <w:spacing w:before="0" w:after="40"/>
      </w:pPr>
      <w:r>
        <w:rPr>
          <w:rFonts w:ascii="Calibri" w:hAnsi="Calibri"/>
          <w:b w:val="0"/>
          <w:i w:val="0"/>
          <w:color w:val="1B2330"/>
          <w:sz w:val="21"/>
        </w:rPr>
        <w:t>Capacity (competence): ability to understand, appreciate, reason and express a choice.</w:t>
      </w:r>
    </w:p>
    <w:p>
      <w:pPr>
        <w:pStyle w:val="ListBullet"/>
        <w:spacing w:before="0" w:after="40"/>
      </w:pPr>
      <w:r>
        <w:rPr>
          <w:rFonts w:ascii="Calibri" w:hAnsi="Calibri"/>
          <w:b w:val="0"/>
          <w:i w:val="0"/>
          <w:color w:val="1B2330"/>
          <w:sz w:val="21"/>
        </w:rPr>
        <w:t>Disclosure of information:</w:t>
      </w:r>
    </w:p>
    <w:p>
      <w:pPr>
        <w:pStyle w:val="ListBullet2"/>
        <w:spacing w:before="0" w:after="20"/>
      </w:pPr>
      <w:r>
        <w:rPr>
          <w:rFonts w:ascii="Calibri" w:hAnsi="Calibri"/>
          <w:b w:val="0"/>
          <w:i w:val="0"/>
          <w:color w:val="1B2330"/>
          <w:sz w:val="20"/>
        </w:rPr>
        <w:t>purpose and nature of therapy; methods; expected benefits;</w:t>
      </w:r>
    </w:p>
    <w:p>
      <w:pPr>
        <w:pStyle w:val="ListBullet2"/>
        <w:spacing w:before="0" w:after="20"/>
      </w:pPr>
      <w:r>
        <w:rPr>
          <w:rFonts w:ascii="Calibri" w:hAnsi="Calibri"/>
          <w:b w:val="0"/>
          <w:i w:val="0"/>
          <w:color w:val="1B2330"/>
          <w:sz w:val="20"/>
        </w:rPr>
        <w:t>possible risks and discomfort; alternatives (including no treatment);</w:t>
      </w:r>
    </w:p>
    <w:p>
      <w:pPr>
        <w:pStyle w:val="ListBullet2"/>
        <w:spacing w:before="0" w:after="20"/>
      </w:pPr>
      <w:r>
        <w:rPr>
          <w:rFonts w:ascii="Calibri" w:hAnsi="Calibri"/>
          <w:b w:val="0"/>
          <w:i w:val="0"/>
          <w:color w:val="1B2330"/>
          <w:sz w:val="20"/>
        </w:rPr>
        <w:t>duration; fees; confidentiality and its limits;</w:t>
      </w:r>
    </w:p>
    <w:p>
      <w:pPr>
        <w:pStyle w:val="ListBullet2"/>
        <w:spacing w:before="0" w:after="20"/>
      </w:pPr>
      <w:r>
        <w:rPr>
          <w:rFonts w:ascii="Calibri" w:hAnsi="Calibri"/>
          <w:b w:val="0"/>
          <w:i w:val="0"/>
          <w:color w:val="1B2330"/>
          <w:sz w:val="20"/>
        </w:rPr>
        <w:t>recording / observation; supervision; therapist's qualifications;</w:t>
      </w:r>
    </w:p>
    <w:p>
      <w:pPr>
        <w:pStyle w:val="ListBullet2"/>
        <w:spacing w:before="0" w:after="20"/>
      </w:pPr>
      <w:r>
        <w:rPr>
          <w:rFonts w:ascii="Calibri" w:hAnsi="Calibri"/>
          <w:b w:val="0"/>
          <w:i w:val="0"/>
          <w:color w:val="1B2330"/>
          <w:sz w:val="20"/>
        </w:rPr>
        <w:t>the right to withdraw without penalty.</w:t>
      </w:r>
    </w:p>
    <w:p>
      <w:pPr>
        <w:pStyle w:val="ListBullet"/>
        <w:spacing w:before="0" w:after="40"/>
      </w:pPr>
      <w:r>
        <w:rPr>
          <w:rFonts w:ascii="Calibri" w:hAnsi="Calibri"/>
          <w:b w:val="0"/>
          <w:i w:val="0"/>
          <w:color w:val="1B2330"/>
          <w:sz w:val="21"/>
        </w:rPr>
        <w:t>Comprehension: simple, understandable language; check understanding.</w:t>
      </w:r>
    </w:p>
    <w:p>
      <w:pPr>
        <w:pStyle w:val="ListBullet"/>
        <w:spacing w:before="0" w:after="40"/>
      </w:pPr>
      <w:r>
        <w:rPr>
          <w:rFonts w:ascii="Calibri" w:hAnsi="Calibri"/>
          <w:b w:val="0"/>
          <w:i w:val="0"/>
          <w:color w:val="1B2330"/>
          <w:sz w:val="21"/>
        </w:rPr>
        <w:t>Voluntariness: free from coercion or undue pressure.</w:t>
      </w:r>
    </w:p>
    <w:p>
      <w:pPr>
        <w:pStyle w:val="ListBullet"/>
        <w:spacing w:before="0" w:after="40"/>
      </w:pPr>
      <w:r>
        <w:rPr>
          <w:rFonts w:ascii="Calibri" w:hAnsi="Calibri"/>
          <w:b w:val="0"/>
          <w:i w:val="0"/>
          <w:color w:val="1B2330"/>
          <w:sz w:val="21"/>
        </w:rPr>
        <w:t>Documentation: written (or recorded) consent, revisited when the plan changes.</w:t>
      </w:r>
    </w:p>
    <w:p>
      <w:pPr>
        <w:spacing w:before="180" w:after="40"/>
      </w:pPr>
      <w:r>
        <w:rPr>
          <w:rFonts w:ascii="Segoe UI" w:hAnsi="Segoe UI"/>
          <w:b/>
          <w:i w:val="0"/>
          <w:color w:val="1B2330"/>
          <w:sz w:val="23"/>
        </w:rPr>
        <w:t>Special issues</w:t>
      </w:r>
    </w:p>
    <w:p>
      <w:pPr>
        <w:pStyle w:val="ListBullet"/>
        <w:spacing w:before="0" w:after="40"/>
      </w:pPr>
      <w:r>
        <w:rPr>
          <w:rFonts w:ascii="Calibri" w:hAnsi="Calibri"/>
          <w:b w:val="0"/>
          <w:i w:val="0"/>
          <w:color w:val="1B2330"/>
          <w:sz w:val="21"/>
        </w:rPr>
        <w:t>Minors (&lt;18 years in India):</w:t>
      </w:r>
    </w:p>
    <w:p>
      <w:pPr>
        <w:pStyle w:val="ListBullet2"/>
        <w:spacing w:before="0" w:after="20"/>
      </w:pPr>
      <w:r>
        <w:rPr>
          <w:rFonts w:ascii="Calibri" w:hAnsi="Calibri"/>
          <w:b w:val="0"/>
          <w:i w:val="0"/>
          <w:color w:val="1B2330"/>
          <w:sz w:val="20"/>
        </w:rPr>
        <w:t>Legal consent comes from the parent or legal guardian.</w:t>
      </w:r>
    </w:p>
    <w:p>
      <w:pPr>
        <w:pStyle w:val="ListBullet2"/>
        <w:spacing w:before="0" w:after="20"/>
      </w:pPr>
      <w:r>
        <w:rPr>
          <w:rFonts w:ascii="Calibri" w:hAnsi="Calibri"/>
          <w:b w:val="0"/>
          <w:i w:val="0"/>
          <w:color w:val="1B2330"/>
          <w:sz w:val="20"/>
        </w:rPr>
        <w:t>The child's assent (affirmative, informed agreement to the extent of the child's developing capacity) is also sought.</w:t>
      </w:r>
    </w:p>
    <w:p>
      <w:pPr>
        <w:pStyle w:val="ListBullet2"/>
        <w:spacing w:before="0" w:after="20"/>
      </w:pPr>
      <w:r>
        <w:rPr>
          <w:rFonts w:ascii="Calibri" w:hAnsi="Calibri"/>
          <w:b w:val="0"/>
          <w:i w:val="0"/>
          <w:color w:val="1B2330"/>
          <w:sz w:val="20"/>
        </w:rPr>
        <w:t>Assent respects autonomy, increases cooperation and strengthens the alliance.</w:t>
      </w:r>
    </w:p>
    <w:p>
      <w:pPr>
        <w:pStyle w:val="ListBullet2"/>
        <w:spacing w:before="0" w:after="20"/>
      </w:pPr>
      <w:r>
        <w:rPr>
          <w:rFonts w:ascii="Calibri" w:hAnsi="Calibri"/>
          <w:b w:val="0"/>
          <w:i w:val="0"/>
          <w:color w:val="1B2330"/>
          <w:sz w:val="20"/>
        </w:rPr>
        <w:t>Guidelines (for example ICMR 2017) generally require assent for children roughly 7-18 years, with simpler language for younger children and more weight to the wishes of older, mature adolescents.</w:t>
      </w:r>
    </w:p>
    <w:p>
      <w:pPr>
        <w:pStyle w:val="ListBullet2"/>
        <w:spacing w:before="0" w:after="20"/>
      </w:pPr>
      <w:r>
        <w:rPr>
          <w:rFonts w:ascii="Calibri" w:hAnsi="Calibri"/>
          <w:b w:val="0"/>
          <w:i w:val="0"/>
          <w:color w:val="1B2330"/>
          <w:sz w:val="20"/>
        </w:rPr>
        <w:t>If a child refuses, explore concerns and, unless safety requires otherwise, respect it.</w:t>
      </w:r>
    </w:p>
    <w:p>
      <w:pPr>
        <w:pStyle w:val="ListBullet"/>
        <w:spacing w:before="0" w:after="40"/>
      </w:pPr>
      <w:r>
        <w:rPr>
          <w:rFonts w:ascii="Calibri" w:hAnsi="Calibri"/>
          <w:b w:val="0"/>
          <w:i w:val="0"/>
          <w:color w:val="1B2330"/>
          <w:sz w:val="21"/>
        </w:rPr>
        <w:t>Adults lacking capacity: involve the nominated representative / legal guardian under MHCA 2017; still seek the person's views; use the least restrictive approach.</w:t>
      </w:r>
    </w:p>
    <w:p>
      <w:pPr>
        <w:pStyle w:val="ListBullet"/>
        <w:spacing w:before="0" w:after="40"/>
      </w:pPr>
      <w:r>
        <w:rPr>
          <w:rFonts w:ascii="Calibri" w:hAnsi="Calibri"/>
          <w:b w:val="0"/>
          <w:i w:val="0"/>
          <w:color w:val="1B2330"/>
          <w:sz w:val="21"/>
        </w:rPr>
        <w:t>Separate, specific consent for recording, observation, supervision, research or publication; case material is anonymised.</w:t>
      </w:r>
    </w:p>
    <w:p>
      <w:pPr>
        <w:pStyle w:val="ListBullet"/>
        <w:spacing w:before="0" w:after="40"/>
      </w:pPr>
      <w:r>
        <w:rPr>
          <w:rFonts w:ascii="Calibri" w:hAnsi="Calibri"/>
          <w:b w:val="0"/>
          <w:i w:val="0"/>
          <w:color w:val="1B2330"/>
          <w:sz w:val="21"/>
        </w:rPr>
        <w:t>Emergency (immediate risk to life) can justify action without full consent, with documentation.</w:t>
      </w:r>
    </w:p>
    <w:p>
      <w:pPr>
        <w:pStyle w:val="ListBullet"/>
        <w:spacing w:before="0" w:after="40"/>
      </w:pPr>
      <w:r>
        <w:rPr>
          <w:rFonts w:ascii="Calibri" w:hAnsi="Calibri"/>
          <w:b w:val="0"/>
          <w:i w:val="0"/>
          <w:color w:val="1B2330"/>
          <w:sz w:val="21"/>
        </w:rPr>
        <w:t>Cultural context: family involvement is common in collectivist settings; still ensure the client's own consent and confidentiality.</w:t>
      </w:r>
    </w:p>
    <w:p>
      <w:pPr>
        <w:spacing w:before="160" w:after="40"/>
      </w:pPr>
      <w:r>
        <w:rPr>
          <w:rFonts w:ascii="Segoe UI" w:hAnsi="Segoe UI"/>
          <w:b/>
          <w:i w:val="0"/>
          <w:color w:val="2B4C7E"/>
          <w:sz w:val="21"/>
        </w:rPr>
        <w:t>Flow chart: Consent and assent decision flow</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Is the client an adult with capacity?</w:t>
            </w:r>
          </w:p>
        </w:tc>
      </w:tr>
      <w:tr>
        <w:tc>
          <w:tcPr>
            <w:tcW w:type="dxa" w:w="8504"/>
          </w:tcPr>
          <w:p>
            <w:pPr>
              <w:spacing w:before="20" w:after="20"/>
              <w:jc w:val="center"/>
            </w:pPr>
            <w:r>
              <w:rPr>
                <w:rFonts w:ascii="Segoe UI" w:hAnsi="Segoe UI"/>
                <w:b/>
                <w:i w:val="0"/>
                <w:color w:val="2B4C7E"/>
                <w:sz w:val="26"/>
              </w:rPr>
              <w:t>↓</w:t>
            </w:r>
          </w:p>
        </w:tc>
      </w:tr>
    </w:tbl>
    <w:p>
      <w:pPr>
        <w:spacing w:before="20" w:after="0"/>
        <w:jc w:val="center"/>
      </w:pPr>
      <w:r>
        <w:rPr>
          <w:rFonts w:ascii="Segoe UI" w:hAnsi="Segoe UI"/>
          <w:b w:val="0"/>
          <w:i/>
          <w:color w:val="4A5568"/>
          <w:sz w:val="17"/>
        </w:rPr>
        <w:t>Adult, has capacity</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Informed consent from the client</w:t>
            </w:r>
          </w:p>
        </w:tc>
      </w:tr>
    </w:tbl>
    <w:p>
      <w:pPr>
        <w:spacing w:before="20" w:after="0"/>
        <w:jc w:val="center"/>
      </w:pPr>
      <w:r>
        <w:rPr>
          <w:rFonts w:ascii="Segoe UI" w:hAnsi="Segoe UI"/>
          <w:b w:val="0"/>
          <w:i/>
          <w:color w:val="4A5568"/>
          <w:sz w:val="17"/>
        </w:rPr>
        <w:t>Minor (&lt;18)</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Guardian consent + child's assent</w:t>
            </w:r>
          </w:p>
        </w:tc>
      </w:tr>
    </w:tbl>
    <w:p>
      <w:pPr>
        <w:spacing w:before="20" w:after="0"/>
        <w:jc w:val="center"/>
      </w:pPr>
      <w:r>
        <w:rPr>
          <w:rFonts w:ascii="Segoe UI" w:hAnsi="Segoe UI"/>
          <w:b w:val="0"/>
          <w:i/>
          <w:color w:val="4A5568"/>
          <w:sz w:val="17"/>
        </w:rPr>
        <w:t>Adult lacking capacity</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Nominated representative (MHCA) + seek the person's views</w:t>
            </w:r>
          </w:p>
        </w:tc>
      </w:tr>
    </w:tbl>
    <w:p>
      <w:pPr>
        <w:spacing w:before="20" w:after="0"/>
        <w:jc w:val="center"/>
      </w:pPr>
      <w:r>
        <w:rPr>
          <w:rFonts w:ascii="Segoe UI" w:hAnsi="Segoe UI"/>
          <w:b w:val="0"/>
          <w:i/>
          <w:color w:val="4A5568"/>
          <w:sz w:val="17"/>
        </w:rPr>
        <w:t>Emergency, risk to life</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Act in best interests; document; obtain consent as soon as possible</w:t>
            </w:r>
          </w:p>
        </w:tc>
      </w:tr>
    </w:tbl>
    <w:p>
      <w:pPr>
        <w:spacing w:before="20" w:after="0"/>
        <w:jc w:val="center"/>
      </w:pPr>
      <w:r>
        <w:rPr>
          <w:rFonts w:ascii="Segoe UI" w:hAnsi="Segoe UI"/>
          <w:b w:val="0"/>
          <w:i/>
          <w:color w:val="4A5568"/>
          <w:sz w:val="17"/>
        </w:rPr>
        <w:t>Refusal by a minor</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Explore concerns; respect unless safety requires otherwise</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CIVIC</w:t>
            </w:r>
            <w:r>
              <w:rPr>
                <w:rFonts w:ascii="Segoe UI" w:hAnsi="Segoe UI"/>
                <w:b/>
                <w:i w:val="0"/>
                <w:color w:val="8A5A00"/>
                <w:sz w:val="21"/>
              </w:rPr>
              <w:t xml:space="preserve">  —  the elements of valid consent</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Capacity — </w:t>
            </w:r>
            <w:r>
              <w:rPr>
                <w:rFonts w:ascii="Segoe UI" w:hAnsi="Segoe UI"/>
                <w:b w:val="0"/>
                <w:i w:val="0"/>
                <w:color w:val="4A5568"/>
                <w:sz w:val="19"/>
              </w:rPr>
              <w:t>capacity / competence to decide</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Information — </w:t>
            </w:r>
            <w:r>
              <w:rPr>
                <w:rFonts w:ascii="Segoe UI" w:hAnsi="Segoe UI"/>
                <w:b w:val="0"/>
                <w:i w:val="0"/>
                <w:color w:val="4A5568"/>
                <w:sz w:val="19"/>
              </w:rPr>
              <w:t>full disclosure of relevant information</w:t>
            </w:r>
          </w:p>
          <w:p>
            <w:pPr>
              <w:spacing w:before="0" w:after="20"/>
            </w:pPr>
            <w:r>
              <w:rPr>
                <w:rFonts w:ascii="Segoe UI" w:hAnsi="Segoe UI"/>
                <w:b/>
                <w:i w:val="0"/>
                <w:color w:val="C98A1B"/>
                <w:sz w:val="22"/>
              </w:rPr>
              <w:t xml:space="preserve">V  </w:t>
            </w:r>
            <w:r>
              <w:rPr>
                <w:rFonts w:ascii="Segoe UI" w:hAnsi="Segoe UI"/>
                <w:b/>
                <w:i w:val="0"/>
                <w:color w:val="1B2330"/>
                <w:sz w:val="19"/>
              </w:rPr>
              <w:t xml:space="preserve">Voluntariness — </w:t>
            </w:r>
            <w:r>
              <w:rPr>
                <w:rFonts w:ascii="Segoe UI" w:hAnsi="Segoe UI"/>
                <w:b w:val="0"/>
                <w:i w:val="0"/>
                <w:color w:val="4A5568"/>
                <w:sz w:val="19"/>
              </w:rPr>
              <w:t>free from coercion or undue pressure</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Insight / comprehension — </w:t>
            </w:r>
            <w:r>
              <w:rPr>
                <w:rFonts w:ascii="Segoe UI" w:hAnsi="Segoe UI"/>
                <w:b w:val="0"/>
                <w:i w:val="0"/>
                <w:color w:val="4A5568"/>
                <w:sz w:val="19"/>
              </w:rPr>
              <w:t>the client understands the information</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Consent documented — </w:t>
            </w:r>
            <w:r>
              <w:rPr>
                <w:rFonts w:ascii="Segoe UI" w:hAnsi="Segoe UI"/>
                <w:b w:val="0"/>
                <w:i w:val="0"/>
                <w:color w:val="4A5568"/>
                <w:sz w:val="19"/>
              </w:rPr>
              <w:t>documented and revisited as a process</w:t>
            </w:r>
          </w:p>
        </w:tc>
      </w:tr>
    </w:tbl>
    <w:p>
      <w:pPr>
        <w:spacing w:after="40"/>
      </w:pPr>
    </w:p>
    <w:p>
      <w:pPr>
        <w:pStyle w:val="Heading1"/>
        <w:pageBreakBefore/>
      </w:pPr>
      <w:r>
        <w:rPr>
          <w:rFonts w:ascii="Segoe UI" w:hAnsi="Segoe UI"/>
          <w:b/>
          <w:i w:val="0"/>
          <w:color w:val="2B4C7E"/>
          <w:sz w:val="30"/>
        </w:rPr>
        <w:t>7. Planning and Recording of Therapy Sessions</w:t>
      </w:r>
    </w:p>
    <w:p>
      <w:pPr>
        <w:spacing w:before="180" w:after="40"/>
      </w:pPr>
      <w:r>
        <w:rPr>
          <w:rFonts w:ascii="Segoe UI" w:hAnsi="Segoe UI"/>
          <w:b/>
          <w:i w:val="0"/>
          <w:color w:val="1B2330"/>
          <w:sz w:val="23"/>
        </w:rPr>
        <w:t>Planning</w:t>
      </w:r>
    </w:p>
    <w:p>
      <w:pPr>
        <w:pStyle w:val="ListBullet"/>
        <w:spacing w:before="0" w:after="40"/>
      </w:pPr>
      <w:r>
        <w:rPr>
          <w:rFonts w:ascii="Calibri" w:hAnsi="Calibri"/>
          <w:b w:val="0"/>
          <w:i w:val="0"/>
          <w:color w:val="1B2330"/>
          <w:sz w:val="21"/>
        </w:rPr>
        <w:t>Intake and assessment: presenting complaints, history, risk assessment, mental status, test results, diagnosis.</w:t>
      </w:r>
    </w:p>
    <w:p>
      <w:pPr>
        <w:pStyle w:val="ListBullet"/>
        <w:spacing w:before="0" w:after="40"/>
      </w:pPr>
      <w:r>
        <w:rPr>
          <w:rFonts w:ascii="Calibri" w:hAnsi="Calibri"/>
          <w:b w:val="0"/>
          <w:i w:val="0"/>
          <w:color w:val="1B2330"/>
          <w:sz w:val="21"/>
        </w:rPr>
        <w:t>Case formulation: an integrated hypothesis explaining the problem using the "4 Ps":</w:t>
      </w:r>
    </w:p>
    <w:p>
      <w:pPr>
        <w:pStyle w:val="ListBullet2"/>
        <w:spacing w:before="0" w:after="20"/>
      </w:pPr>
      <w:r>
        <w:rPr>
          <w:rFonts w:ascii="Calibri" w:hAnsi="Calibri"/>
          <w:b w:val="0"/>
          <w:i w:val="0"/>
          <w:color w:val="1B2330"/>
          <w:sz w:val="20"/>
        </w:rPr>
        <w:t>Predisposing factors;</w:t>
      </w:r>
    </w:p>
    <w:p>
      <w:pPr>
        <w:pStyle w:val="ListBullet2"/>
        <w:spacing w:before="0" w:after="20"/>
      </w:pPr>
      <w:r>
        <w:rPr>
          <w:rFonts w:ascii="Calibri" w:hAnsi="Calibri"/>
          <w:b w:val="0"/>
          <w:i w:val="0"/>
          <w:color w:val="1B2330"/>
          <w:sz w:val="20"/>
        </w:rPr>
        <w:t>Precipitating factors;</w:t>
      </w:r>
    </w:p>
    <w:p>
      <w:pPr>
        <w:pStyle w:val="ListBullet2"/>
        <w:spacing w:before="0" w:after="20"/>
      </w:pPr>
      <w:r>
        <w:rPr>
          <w:rFonts w:ascii="Calibri" w:hAnsi="Calibri"/>
          <w:b w:val="0"/>
          <w:i w:val="0"/>
          <w:color w:val="1B2330"/>
          <w:sz w:val="20"/>
        </w:rPr>
        <w:t>Perpetuating factors;</w:t>
      </w:r>
    </w:p>
    <w:p>
      <w:pPr>
        <w:pStyle w:val="ListBullet2"/>
        <w:spacing w:before="0" w:after="20"/>
      </w:pPr>
      <w:r>
        <w:rPr>
          <w:rFonts w:ascii="Calibri" w:hAnsi="Calibri"/>
          <w:b w:val="0"/>
          <w:i w:val="0"/>
          <w:color w:val="1B2330"/>
          <w:sz w:val="20"/>
        </w:rPr>
        <w:t>Protective factors.</w:t>
      </w:r>
    </w:p>
    <w:p>
      <w:pPr>
        <w:pStyle w:val="ListBullet"/>
        <w:spacing w:before="0" w:after="40"/>
      </w:pPr>
      <w:r>
        <w:rPr>
          <w:rFonts w:ascii="Calibri" w:hAnsi="Calibri"/>
          <w:b w:val="0"/>
          <w:i w:val="0"/>
          <w:color w:val="1B2330"/>
          <w:sz w:val="21"/>
        </w:rPr>
        <w:t>Treatment plan: goals, chosen therapy, frequency (usually weekly), session length (usually 45-50 minutes), expected duration, measures of progress, emergency plan, criteria for termination.</w:t>
      </w:r>
    </w:p>
    <w:p>
      <w:pPr>
        <w:pStyle w:val="ListBullet"/>
        <w:spacing w:before="0" w:after="40"/>
      </w:pPr>
      <w:r>
        <w:rPr>
          <w:rFonts w:ascii="Calibri" w:hAnsi="Calibri"/>
          <w:b w:val="0"/>
          <w:i w:val="0"/>
          <w:color w:val="1B2330"/>
          <w:sz w:val="21"/>
        </w:rPr>
        <w:t>Therapeutic frame: time, place, fee, boundaries, cancellation policy, contact between sessions.</w:t>
      </w:r>
    </w:p>
    <w:p>
      <w:pPr>
        <w:pStyle w:val="ListBullet"/>
        <w:spacing w:before="0" w:after="40"/>
      </w:pPr>
      <w:r>
        <w:rPr>
          <w:rFonts w:ascii="Calibri" w:hAnsi="Calibri"/>
          <w:b w:val="0"/>
          <w:i w:val="0"/>
          <w:color w:val="1B2330"/>
          <w:sz w:val="21"/>
        </w:rPr>
        <w:t>Session planning: prepare using previous notes; plan aims per session but stay responsive to the client's needs.</w:t>
      </w:r>
    </w:p>
    <w:p>
      <w:pPr>
        <w:spacing w:before="180" w:after="40"/>
      </w:pPr>
      <w:r>
        <w:rPr>
          <w:rFonts w:ascii="Segoe UI" w:hAnsi="Segoe UI"/>
          <w:b/>
          <w:i w:val="0"/>
          <w:color w:val="1B2330"/>
          <w:sz w:val="23"/>
        </w:rPr>
        <w:t>Structure of a typical session (e.g. CBT)</w:t>
      </w:r>
    </w:p>
    <w:p>
      <w:pPr>
        <w:pStyle w:val="ListBullet"/>
        <w:spacing w:before="0" w:after="40"/>
      </w:pPr>
      <w:r>
        <w:rPr>
          <w:rFonts w:ascii="Calibri" w:hAnsi="Calibri"/>
          <w:b w:val="0"/>
          <w:i w:val="0"/>
          <w:color w:val="1B2330"/>
          <w:sz w:val="21"/>
        </w:rPr>
        <w:t>Brief check-in and mood check.</w:t>
      </w:r>
    </w:p>
    <w:p>
      <w:pPr>
        <w:pStyle w:val="ListBullet"/>
        <w:spacing w:before="0" w:after="40"/>
      </w:pPr>
      <w:r>
        <w:rPr>
          <w:rFonts w:ascii="Calibri" w:hAnsi="Calibri"/>
          <w:b w:val="0"/>
          <w:i w:val="0"/>
          <w:color w:val="1B2330"/>
          <w:sz w:val="21"/>
        </w:rPr>
        <w:t>Bridge from the previous session.</w:t>
      </w:r>
    </w:p>
    <w:p>
      <w:pPr>
        <w:pStyle w:val="ListBullet"/>
        <w:spacing w:before="0" w:after="40"/>
      </w:pPr>
      <w:r>
        <w:rPr>
          <w:rFonts w:ascii="Calibri" w:hAnsi="Calibri"/>
          <w:b w:val="0"/>
          <w:i w:val="0"/>
          <w:color w:val="1B2330"/>
          <w:sz w:val="21"/>
        </w:rPr>
        <w:t>Agenda setting (collaboratively).</w:t>
      </w:r>
    </w:p>
    <w:p>
      <w:pPr>
        <w:pStyle w:val="ListBullet"/>
        <w:spacing w:before="0" w:after="40"/>
      </w:pPr>
      <w:r>
        <w:rPr>
          <w:rFonts w:ascii="Calibri" w:hAnsi="Calibri"/>
          <w:b w:val="0"/>
          <w:i w:val="0"/>
          <w:color w:val="1B2330"/>
          <w:sz w:val="21"/>
        </w:rPr>
        <w:t>Review of homework.</w:t>
      </w:r>
    </w:p>
    <w:p>
      <w:pPr>
        <w:pStyle w:val="ListBullet"/>
        <w:spacing w:before="0" w:after="40"/>
      </w:pPr>
      <w:r>
        <w:rPr>
          <w:rFonts w:ascii="Calibri" w:hAnsi="Calibri"/>
          <w:b w:val="0"/>
          <w:i w:val="0"/>
          <w:color w:val="1B2330"/>
          <w:sz w:val="21"/>
        </w:rPr>
        <w:t>Work on agenda items (main therapeutic work).</w:t>
      </w:r>
    </w:p>
    <w:p>
      <w:pPr>
        <w:pStyle w:val="ListBullet"/>
        <w:spacing w:before="0" w:after="40"/>
      </w:pPr>
      <w:r>
        <w:rPr>
          <w:rFonts w:ascii="Calibri" w:hAnsi="Calibri"/>
          <w:b w:val="0"/>
          <w:i w:val="0"/>
          <w:color w:val="1B2330"/>
          <w:sz w:val="21"/>
        </w:rPr>
        <w:t>Capsule summaries during the session.</w:t>
      </w:r>
    </w:p>
    <w:p>
      <w:pPr>
        <w:pStyle w:val="ListBullet"/>
        <w:spacing w:before="0" w:after="40"/>
      </w:pPr>
      <w:r>
        <w:rPr>
          <w:rFonts w:ascii="Calibri" w:hAnsi="Calibri"/>
          <w:b w:val="0"/>
          <w:i w:val="0"/>
          <w:color w:val="1B2330"/>
          <w:sz w:val="21"/>
        </w:rPr>
        <w:t>Assign new homework.</w:t>
      </w:r>
    </w:p>
    <w:p>
      <w:pPr>
        <w:pStyle w:val="ListBullet"/>
        <w:spacing w:before="0" w:after="40"/>
      </w:pPr>
      <w:r>
        <w:rPr>
          <w:rFonts w:ascii="Calibri" w:hAnsi="Calibri"/>
          <w:b w:val="0"/>
          <w:i w:val="0"/>
          <w:color w:val="1B2330"/>
          <w:sz w:val="21"/>
        </w:rPr>
        <w:t>Feedback from the client on the session.</w:t>
      </w:r>
    </w:p>
    <w:p>
      <w:pPr>
        <w:spacing w:before="180" w:after="40"/>
      </w:pPr>
      <w:r>
        <w:rPr>
          <w:rFonts w:ascii="Segoe UI" w:hAnsi="Segoe UI"/>
          <w:b/>
          <w:i w:val="0"/>
          <w:color w:val="1B2330"/>
          <w:sz w:val="23"/>
        </w:rPr>
        <w:t>Recording</w:t>
      </w:r>
    </w:p>
    <w:p>
      <w:pPr>
        <w:pStyle w:val="ListBullet"/>
        <w:spacing w:before="0" w:after="40"/>
      </w:pPr>
      <w:r>
        <w:rPr>
          <w:rFonts w:ascii="Calibri" w:hAnsi="Calibri"/>
          <w:b w:val="0"/>
          <w:i w:val="0"/>
          <w:color w:val="1B2330"/>
          <w:sz w:val="21"/>
        </w:rPr>
        <w:t>Types of records: intake / case history; assessment reports and test data; treatment plan; consent forms; progress notes; process notes (private reflections, kept separate); risk assessments; referral and termination summaries; correspondence.</w:t>
      </w:r>
    </w:p>
    <w:p>
      <w:pPr>
        <w:pStyle w:val="ListBullet"/>
        <w:spacing w:before="0" w:after="40"/>
      </w:pPr>
      <w:r>
        <w:rPr>
          <w:rFonts w:ascii="Calibri" w:hAnsi="Calibri"/>
          <w:b w:val="0"/>
          <w:i w:val="0"/>
          <w:color w:val="1B2330"/>
          <w:sz w:val="21"/>
        </w:rPr>
        <w:t>Formats of progress notes:</w:t>
      </w:r>
    </w:p>
    <w:p>
      <w:pPr>
        <w:pStyle w:val="ListBullet2"/>
        <w:spacing w:before="0" w:after="20"/>
      </w:pPr>
      <w:r>
        <w:rPr>
          <w:rFonts w:ascii="Calibri" w:hAnsi="Calibri"/>
          <w:b w:val="0"/>
          <w:i w:val="0"/>
          <w:color w:val="1B2330"/>
          <w:sz w:val="20"/>
        </w:rPr>
        <w:t>SOAP: Subjective, Objective, Assessment, Plan;</w:t>
      </w:r>
    </w:p>
    <w:p>
      <w:pPr>
        <w:pStyle w:val="ListBullet2"/>
        <w:spacing w:before="0" w:after="20"/>
      </w:pPr>
      <w:r>
        <w:rPr>
          <w:rFonts w:ascii="Calibri" w:hAnsi="Calibri"/>
          <w:b w:val="0"/>
          <w:i w:val="0"/>
          <w:color w:val="1B2330"/>
          <w:sz w:val="20"/>
        </w:rPr>
        <w:t>DAP: Data, Assessment, Plan;</w:t>
      </w:r>
    </w:p>
    <w:p>
      <w:pPr>
        <w:pStyle w:val="ListBullet2"/>
        <w:spacing w:before="0" w:after="20"/>
      </w:pPr>
      <w:r>
        <w:rPr>
          <w:rFonts w:ascii="Calibri" w:hAnsi="Calibri"/>
          <w:b w:val="0"/>
          <w:i w:val="0"/>
          <w:color w:val="1B2330"/>
          <w:sz w:val="20"/>
        </w:rPr>
        <w:t>BIRP: Behaviour, Intervention, Response, Plan.</w:t>
      </w:r>
    </w:p>
    <w:p>
      <w:pPr>
        <w:pStyle w:val="ListBullet"/>
        <w:spacing w:before="0" w:after="40"/>
      </w:pPr>
      <w:r>
        <w:rPr>
          <w:rFonts w:ascii="Calibri" w:hAnsi="Calibri"/>
          <w:b w:val="0"/>
          <w:i w:val="0"/>
          <w:color w:val="1B2330"/>
          <w:sz w:val="21"/>
        </w:rPr>
        <w:t>Good records are timely, accurate, objective, factual, brief but complete, free of judgemental language, signed and dated.</w:t>
      </w:r>
    </w:p>
    <w:p>
      <w:pPr>
        <w:pStyle w:val="ListBullet"/>
        <w:spacing w:before="0" w:after="40"/>
      </w:pPr>
      <w:r>
        <w:rPr>
          <w:rFonts w:ascii="Calibri" w:hAnsi="Calibri"/>
          <w:b w:val="0"/>
          <w:i w:val="0"/>
          <w:color w:val="1B2330"/>
          <w:sz w:val="21"/>
        </w:rPr>
        <w:t>Purposes: continuity of care, monitoring progress, supervision, communication with other professionals, evidence in legal/ethical review, research and quality improvement.</w:t>
      </w:r>
    </w:p>
    <w:p>
      <w:pPr>
        <w:pStyle w:val="ListBullet"/>
        <w:spacing w:before="0" w:after="40"/>
      </w:pPr>
      <w:r>
        <w:rPr>
          <w:rFonts w:ascii="Calibri" w:hAnsi="Calibri"/>
          <w:b w:val="0"/>
          <w:i w:val="0"/>
          <w:color w:val="1B2330"/>
          <w:sz w:val="21"/>
        </w:rPr>
        <w:t>Security and confidentiality: secure storage (locked cabinets, password-protected files), restricted access, coded identifiers; retention per law or policy; safe disposal.</w:t>
      </w:r>
    </w:p>
    <w:p>
      <w:pPr>
        <w:pStyle w:val="ListBullet"/>
        <w:spacing w:before="0" w:after="40"/>
      </w:pPr>
      <w:r>
        <w:rPr>
          <w:rFonts w:ascii="Calibri" w:hAnsi="Calibri"/>
          <w:b w:val="0"/>
          <w:i w:val="0"/>
          <w:color w:val="1B2330"/>
          <w:sz w:val="21"/>
        </w:rPr>
        <w:t>Audio/video recording needs explicit written consent; used only for the agreed purpose and destroyed as agreed.</w:t>
      </w:r>
    </w:p>
    <w:p>
      <w:pPr>
        <w:spacing w:before="160" w:after="40"/>
      </w:pPr>
      <w:r>
        <w:rPr>
          <w:rFonts w:ascii="Segoe UI" w:hAnsi="Segoe UI"/>
          <w:b/>
          <w:i w:val="0"/>
          <w:color w:val="2B4C7E"/>
          <w:sz w:val="21"/>
        </w:rPr>
        <w:t>Flow chart: Flow: a typical session</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Check-in + mood check</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Bridge from previous session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Collaborative agenda setting</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Review homework</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Work on agenda items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Summaries + new homework</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Client feedback → write progress note (SOAP/DAP/BIRP)</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SOAP</w:t>
            </w:r>
            <w:r>
              <w:rPr>
                <w:rFonts w:ascii="Segoe UI" w:hAnsi="Segoe UI"/>
                <w:b/>
                <w:i w:val="0"/>
                <w:color w:val="8A5A00"/>
                <w:sz w:val="21"/>
              </w:rPr>
              <w:t xml:space="preserve">  —  the classic progress-note format</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Subjective — </w:t>
            </w:r>
            <w:r>
              <w:rPr>
                <w:rFonts w:ascii="Segoe UI" w:hAnsi="Segoe UI"/>
                <w:b w:val="0"/>
                <w:i w:val="0"/>
                <w:color w:val="4A5568"/>
                <w:sz w:val="19"/>
              </w:rPr>
              <w:t>the client's reported experience</w:t>
            </w:r>
          </w:p>
          <w:p>
            <w:pPr>
              <w:spacing w:before="0" w:after="20"/>
            </w:pPr>
            <w:r>
              <w:rPr>
                <w:rFonts w:ascii="Segoe UI" w:hAnsi="Segoe UI"/>
                <w:b/>
                <w:i w:val="0"/>
                <w:color w:val="C98A1B"/>
                <w:sz w:val="22"/>
              </w:rPr>
              <w:t xml:space="preserve">O  </w:t>
            </w:r>
            <w:r>
              <w:rPr>
                <w:rFonts w:ascii="Segoe UI" w:hAnsi="Segoe UI"/>
                <w:b/>
                <w:i w:val="0"/>
                <w:color w:val="1B2330"/>
                <w:sz w:val="19"/>
              </w:rPr>
              <w:t xml:space="preserve">Objective — </w:t>
            </w:r>
            <w:r>
              <w:rPr>
                <w:rFonts w:ascii="Segoe UI" w:hAnsi="Segoe UI"/>
                <w:b w:val="0"/>
                <w:i w:val="0"/>
                <w:color w:val="4A5568"/>
                <w:sz w:val="19"/>
              </w:rPr>
              <w:t>observed, measurable data</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Assessment — </w:t>
            </w:r>
            <w:r>
              <w:rPr>
                <w:rFonts w:ascii="Segoe UI" w:hAnsi="Segoe UI"/>
                <w:b w:val="0"/>
                <w:i w:val="0"/>
                <w:color w:val="4A5568"/>
                <w:sz w:val="19"/>
              </w:rPr>
              <w:t>clinical interpretation / progress</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Plan — </w:t>
            </w:r>
            <w:r>
              <w:rPr>
                <w:rFonts w:ascii="Segoe UI" w:hAnsi="Segoe UI"/>
                <w:b w:val="0"/>
                <w:i w:val="0"/>
                <w:color w:val="4A5568"/>
                <w:sz w:val="19"/>
              </w:rPr>
              <w:t>next steps, homework, plan for next session</w:t>
            </w:r>
          </w:p>
        </w:tc>
      </w:tr>
    </w:tbl>
    <w:p>
      <w:pPr>
        <w:spacing w:after="40"/>
      </w:pPr>
    </w:p>
    <w:p>
      <w:pPr>
        <w:pStyle w:val="Heading1"/>
        <w:pageBreakBefore/>
      </w:pPr>
      <w:r>
        <w:rPr>
          <w:rFonts w:ascii="Segoe UI" w:hAnsi="Segoe UI"/>
          <w:b/>
          <w:i w:val="0"/>
          <w:color w:val="2B4C7E"/>
          <w:sz w:val="30"/>
        </w:rPr>
        <w:t>8. Structuring Therapy and Setting Goals</w:t>
      </w:r>
    </w:p>
    <w:p>
      <w:pPr>
        <w:pStyle w:val="ListBullet"/>
        <w:spacing w:before="0" w:after="40"/>
      </w:pPr>
      <w:r>
        <w:rPr>
          <w:rFonts w:ascii="Calibri" w:hAnsi="Calibri"/>
          <w:b w:val="0"/>
          <w:i w:val="0"/>
          <w:color w:val="1B2330"/>
          <w:sz w:val="21"/>
        </w:rPr>
        <w:t>Structure gives therapy direction, safety and efficiency: a clear frame (contract), a clear agenda each session, phases, and regular review of progress.</w:t>
      </w:r>
    </w:p>
    <w:p>
      <w:pPr>
        <w:pStyle w:val="ListBullet"/>
        <w:spacing w:before="0" w:after="40"/>
      </w:pPr>
      <w:r>
        <w:rPr>
          <w:rFonts w:ascii="Calibri" w:hAnsi="Calibri"/>
          <w:b w:val="0"/>
          <w:i w:val="0"/>
          <w:color w:val="1B2330"/>
          <w:sz w:val="21"/>
        </w:rPr>
        <w:t>Phases of therapy:</w:t>
      </w:r>
    </w:p>
    <w:p>
      <w:pPr>
        <w:pStyle w:val="ListBullet2"/>
        <w:spacing w:before="0" w:after="20"/>
      </w:pPr>
      <w:r>
        <w:rPr>
          <w:rFonts w:ascii="Calibri" w:hAnsi="Calibri"/>
          <w:b w:val="0"/>
          <w:i w:val="0"/>
          <w:color w:val="1B2330"/>
          <w:sz w:val="20"/>
        </w:rPr>
        <w:t>Beginning: engagement, assessment, formulation, contracting, goal setting.</w:t>
      </w:r>
    </w:p>
    <w:p>
      <w:pPr>
        <w:pStyle w:val="ListBullet2"/>
        <w:spacing w:before="0" w:after="20"/>
      </w:pPr>
      <w:r>
        <w:rPr>
          <w:rFonts w:ascii="Calibri" w:hAnsi="Calibri"/>
          <w:b w:val="0"/>
          <w:i w:val="0"/>
          <w:color w:val="1B2330"/>
          <w:sz w:val="20"/>
        </w:rPr>
        <w:t>Middle: active intervention and working through.</w:t>
      </w:r>
    </w:p>
    <w:p>
      <w:pPr>
        <w:pStyle w:val="ListBullet2"/>
        <w:spacing w:before="0" w:after="20"/>
      </w:pPr>
      <w:r>
        <w:rPr>
          <w:rFonts w:ascii="Calibri" w:hAnsi="Calibri"/>
          <w:b w:val="0"/>
          <w:i w:val="0"/>
          <w:color w:val="1B2330"/>
          <w:sz w:val="20"/>
        </w:rPr>
        <w:t>End: consolidation, relapse prevention, termination, follow-up.</w:t>
      </w:r>
    </w:p>
    <w:p>
      <w:pPr>
        <w:pStyle w:val="ListBullet"/>
        <w:spacing w:before="0" w:after="40"/>
      </w:pPr>
      <w:r>
        <w:rPr>
          <w:rFonts w:ascii="Calibri" w:hAnsi="Calibri"/>
          <w:b w:val="0"/>
          <w:i w:val="0"/>
          <w:color w:val="1B2330"/>
          <w:sz w:val="21"/>
        </w:rPr>
        <w:t>Goal setting: collaborative (jointly negotiated), derived from the case formulation, expressed in the client's own words.</w:t>
      </w:r>
    </w:p>
    <w:p>
      <w:pPr>
        <w:spacing w:before="180" w:after="40"/>
      </w:pPr>
      <w:r>
        <w:rPr>
          <w:rFonts w:ascii="Segoe UI" w:hAnsi="Segoe UI"/>
          <w:b/>
          <w:i w:val="0"/>
          <w:color w:val="1B2330"/>
          <w:sz w:val="23"/>
        </w:rPr>
        <w:t>Characteristics of good goals (SMART)</w:t>
      </w:r>
    </w:p>
    <w:p>
      <w:pPr>
        <w:pStyle w:val="ListBullet"/>
        <w:spacing w:before="0" w:after="40"/>
      </w:pPr>
      <w:r>
        <w:rPr>
          <w:rFonts w:ascii="Calibri" w:hAnsi="Calibri"/>
          <w:b w:val="0"/>
          <w:i w:val="0"/>
          <w:color w:val="1B2330"/>
          <w:sz w:val="21"/>
        </w:rPr>
        <w:t>Specific; Measurable; Achievable; Realistic/Relevant; Time-bound.</w:t>
      </w:r>
    </w:p>
    <w:p>
      <w:pPr>
        <w:pStyle w:val="ListBullet"/>
        <w:spacing w:before="0" w:after="40"/>
      </w:pPr>
      <w:r>
        <w:rPr>
          <w:rFonts w:ascii="Calibri" w:hAnsi="Calibri"/>
          <w:b w:val="0"/>
          <w:i w:val="0"/>
          <w:color w:val="1B2330"/>
          <w:sz w:val="21"/>
        </w:rPr>
        <w:t>Also stated positively, under the client's control, and ordered by priority.</w:t>
      </w:r>
    </w:p>
    <w:p>
      <w:pPr>
        <w:spacing w:before="180" w:after="40"/>
      </w:pPr>
      <w:r>
        <w:rPr>
          <w:rFonts w:ascii="Segoe UI" w:hAnsi="Segoe UI"/>
          <w:b/>
          <w:i w:val="0"/>
          <w:color w:val="1B2330"/>
          <w:sz w:val="23"/>
        </w:rPr>
        <w:t>Types of goals and measurement</w:t>
      </w:r>
    </w:p>
    <w:p>
      <w:pPr>
        <w:pStyle w:val="ListBullet"/>
        <w:spacing w:before="0" w:after="40"/>
      </w:pPr>
      <w:r>
        <w:rPr>
          <w:rFonts w:ascii="Calibri" w:hAnsi="Calibri"/>
          <w:b w:val="0"/>
          <w:i w:val="0"/>
          <w:color w:val="1B2330"/>
          <w:sz w:val="21"/>
        </w:rPr>
        <w:t>Ultimate vs intermediate vs immediate (session) goals.</w:t>
      </w:r>
    </w:p>
    <w:p>
      <w:pPr>
        <w:pStyle w:val="ListBullet"/>
        <w:spacing w:before="0" w:after="40"/>
      </w:pPr>
      <w:r>
        <w:rPr>
          <w:rFonts w:ascii="Calibri" w:hAnsi="Calibri"/>
          <w:b w:val="0"/>
          <w:i w:val="0"/>
          <w:color w:val="1B2330"/>
          <w:sz w:val="21"/>
        </w:rPr>
        <w:t>Outcome goals (symptom relief, behaviour change) vs process goals (insight, alliance, skills).</w:t>
      </w:r>
    </w:p>
    <w:p>
      <w:pPr>
        <w:pStyle w:val="ListBullet"/>
        <w:spacing w:before="0" w:after="40"/>
      </w:pPr>
      <w:r>
        <w:rPr>
          <w:rFonts w:ascii="Calibri" w:hAnsi="Calibri"/>
          <w:b w:val="0"/>
          <w:i w:val="0"/>
          <w:color w:val="1B2330"/>
          <w:sz w:val="21"/>
        </w:rPr>
        <w:t>Short-term vs long-term.</w:t>
      </w:r>
    </w:p>
    <w:p>
      <w:pPr>
        <w:pStyle w:val="ListBullet"/>
        <w:spacing w:before="0" w:after="40"/>
      </w:pPr>
      <w:r>
        <w:rPr>
          <w:rFonts w:ascii="Calibri" w:hAnsi="Calibri"/>
          <w:b w:val="0"/>
          <w:i w:val="0"/>
          <w:color w:val="1B2330"/>
          <w:sz w:val="21"/>
        </w:rPr>
        <w:t>Goal Attainment Scaling (Kiresuk and Sherman, 1968): each goal scaled from -2 (much worse) to +2 (much better than expected) for individualised measurement.</w:t>
      </w:r>
    </w:p>
    <w:p>
      <w:pPr>
        <w:spacing w:before="180" w:after="40"/>
      </w:pPr>
      <w:r>
        <w:rPr>
          <w:rFonts w:ascii="Segoe UI" w:hAnsi="Segoe UI"/>
          <w:b/>
          <w:i w:val="0"/>
          <w:color w:val="1B2330"/>
          <w:sz w:val="23"/>
        </w:rPr>
        <w:t>Why structure and goals matter</w:t>
      </w:r>
    </w:p>
    <w:p>
      <w:pPr>
        <w:pStyle w:val="ListBullet"/>
        <w:spacing w:before="0" w:after="40"/>
      </w:pPr>
      <w:r>
        <w:rPr>
          <w:rFonts w:ascii="Calibri" w:hAnsi="Calibri"/>
          <w:b w:val="0"/>
          <w:i w:val="0"/>
          <w:color w:val="1B2330"/>
          <w:sz w:val="21"/>
        </w:rPr>
        <w:t>Goal consensus is a component of the therapeutic alliance (Bordin) and predicts outcome.</w:t>
      </w:r>
    </w:p>
    <w:p>
      <w:pPr>
        <w:pStyle w:val="ListBullet"/>
        <w:spacing w:before="0" w:after="40"/>
      </w:pPr>
      <w:r>
        <w:rPr>
          <w:rFonts w:ascii="Calibri" w:hAnsi="Calibri"/>
          <w:b w:val="0"/>
          <w:i w:val="0"/>
          <w:color w:val="1B2330"/>
          <w:sz w:val="21"/>
        </w:rPr>
        <w:t>Clear goals increase motivation and signal when therapy is complete.</w:t>
      </w:r>
    </w:p>
    <w:p>
      <w:pPr>
        <w:pStyle w:val="ListBullet"/>
        <w:spacing w:before="0" w:after="40"/>
      </w:pPr>
      <w:r>
        <w:rPr>
          <w:rFonts w:ascii="Calibri" w:hAnsi="Calibri"/>
          <w:b w:val="0"/>
          <w:i w:val="0"/>
          <w:color w:val="1B2330"/>
          <w:sz w:val="21"/>
        </w:rPr>
        <w:t>Goals are revisited and revised as new information or progress emerges.</w:t>
      </w:r>
    </w:p>
    <w:p>
      <w:pPr>
        <w:spacing w:before="160" w:after="40"/>
      </w:pPr>
      <w:r>
        <w:rPr>
          <w:rFonts w:ascii="Segoe UI" w:hAnsi="Segoe UI"/>
          <w:b/>
          <w:i w:val="0"/>
          <w:color w:val="2B4C7E"/>
          <w:sz w:val="21"/>
        </w:rPr>
        <w:t>Flow chart: Flow: structuring the course of therapy</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Beginning: engage, assess, formulate, contract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Set collaborative SMART goals (from formulation)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Middle: intervene, work through, scale progress (GAS)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Review and revise goals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End: consolidate, relapse prevention, terminate, follow-up</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SMART</w:t>
            </w:r>
            <w:r>
              <w:rPr>
                <w:rFonts w:ascii="Segoe UI" w:hAnsi="Segoe UI"/>
                <w:b/>
                <w:i w:val="0"/>
                <w:color w:val="8A5A00"/>
                <w:sz w:val="21"/>
              </w:rPr>
              <w:t xml:space="preserve">  —  the characteristics of good goals</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Specific — </w:t>
            </w:r>
            <w:r>
              <w:rPr>
                <w:rFonts w:ascii="Segoe UI" w:hAnsi="Segoe UI"/>
                <w:b w:val="0"/>
                <w:i w:val="0"/>
                <w:color w:val="4A5568"/>
                <w:sz w:val="19"/>
              </w:rPr>
              <w:t>clearly defined</w:t>
            </w:r>
          </w:p>
          <w:p>
            <w:pPr>
              <w:spacing w:before="0" w:after="20"/>
            </w:pPr>
            <w:r>
              <w:rPr>
                <w:rFonts w:ascii="Segoe UI" w:hAnsi="Segoe UI"/>
                <w:b/>
                <w:i w:val="0"/>
                <w:color w:val="C98A1B"/>
                <w:sz w:val="22"/>
              </w:rPr>
              <w:t xml:space="preserve">M  </w:t>
            </w:r>
            <w:r>
              <w:rPr>
                <w:rFonts w:ascii="Segoe UI" w:hAnsi="Segoe UI"/>
                <w:b/>
                <w:i w:val="0"/>
                <w:color w:val="1B2330"/>
                <w:sz w:val="19"/>
              </w:rPr>
              <w:t xml:space="preserve">Measurable — </w:t>
            </w:r>
            <w:r>
              <w:rPr>
                <w:rFonts w:ascii="Segoe UI" w:hAnsi="Segoe UI"/>
                <w:b w:val="0"/>
                <w:i w:val="0"/>
                <w:color w:val="4A5568"/>
                <w:sz w:val="19"/>
              </w:rPr>
              <w:t>progress can be measured</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Achievable — </w:t>
            </w:r>
            <w:r>
              <w:rPr>
                <w:rFonts w:ascii="Segoe UI" w:hAnsi="Segoe UI"/>
                <w:b w:val="0"/>
                <w:i w:val="0"/>
                <w:color w:val="4A5568"/>
                <w:sz w:val="19"/>
              </w:rPr>
              <w:t>attainable for the client</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Realistic / Relevant — </w:t>
            </w:r>
            <w:r>
              <w:rPr>
                <w:rFonts w:ascii="Segoe UI" w:hAnsi="Segoe UI"/>
                <w:b w:val="0"/>
                <w:i w:val="0"/>
                <w:color w:val="4A5568"/>
                <w:sz w:val="19"/>
              </w:rPr>
              <w:t>meaningful and feasible</w:t>
            </w:r>
          </w:p>
          <w:p>
            <w:pPr>
              <w:spacing w:before="0" w:after="20"/>
            </w:pPr>
            <w:r>
              <w:rPr>
                <w:rFonts w:ascii="Segoe UI" w:hAnsi="Segoe UI"/>
                <w:b/>
                <w:i w:val="0"/>
                <w:color w:val="C98A1B"/>
                <w:sz w:val="22"/>
              </w:rPr>
              <w:t xml:space="preserve">T  </w:t>
            </w:r>
            <w:r>
              <w:rPr>
                <w:rFonts w:ascii="Segoe UI" w:hAnsi="Segoe UI"/>
                <w:b/>
                <w:i w:val="0"/>
                <w:color w:val="1B2330"/>
                <w:sz w:val="19"/>
              </w:rPr>
              <w:t xml:space="preserve">Time-bound — </w:t>
            </w:r>
            <w:r>
              <w:rPr>
                <w:rFonts w:ascii="Segoe UI" w:hAnsi="Segoe UI"/>
                <w:b w:val="0"/>
                <w:i w:val="0"/>
                <w:color w:val="4A5568"/>
                <w:sz w:val="19"/>
              </w:rPr>
              <w:t>has a time frame</w:t>
            </w:r>
          </w:p>
        </w:tc>
      </w:tr>
    </w:tbl>
    <w:p>
      <w:pPr>
        <w:spacing w:after="40"/>
      </w:pPr>
    </w:p>
    <w:p>
      <w:pPr>
        <w:pStyle w:val="Heading1"/>
        <w:pageBreakBefore/>
      </w:pPr>
      <w:r>
        <w:rPr>
          <w:rFonts w:ascii="Segoe UI" w:hAnsi="Segoe UI"/>
          <w:b/>
          <w:i w:val="0"/>
          <w:color w:val="2B4C7E"/>
          <w:sz w:val="30"/>
        </w:rPr>
        <w:t>9. Pre- and Post-Assessment</w:t>
      </w:r>
    </w:p>
    <w:p>
      <w:pPr>
        <w:spacing w:before="180" w:after="40"/>
      </w:pPr>
      <w:r>
        <w:rPr>
          <w:rFonts w:ascii="Segoe UI" w:hAnsi="Segoe UI"/>
          <w:b/>
          <w:i w:val="0"/>
          <w:color w:val="1B2330"/>
          <w:sz w:val="23"/>
        </w:rPr>
        <w:t>Purpose</w:t>
      </w:r>
    </w:p>
    <w:p>
      <w:pPr>
        <w:pStyle w:val="ListBullet"/>
        <w:spacing w:before="0" w:after="40"/>
      </w:pPr>
      <w:r>
        <w:rPr>
          <w:rFonts w:ascii="Calibri" w:hAnsi="Calibri"/>
          <w:b w:val="0"/>
          <w:i w:val="0"/>
          <w:color w:val="1B2330"/>
          <w:sz w:val="21"/>
        </w:rPr>
        <w:t>Pre-assessment (baseline): diagnosis, severity, risk, strengths, and a benchmark.</w:t>
      </w:r>
    </w:p>
    <w:p>
      <w:pPr>
        <w:pStyle w:val="ListBullet"/>
        <w:spacing w:before="0" w:after="40"/>
      </w:pPr>
      <w:r>
        <w:rPr>
          <w:rFonts w:ascii="Calibri" w:hAnsi="Calibri"/>
          <w:b w:val="0"/>
          <w:i w:val="0"/>
          <w:color w:val="1B2330"/>
          <w:sz w:val="21"/>
        </w:rPr>
        <w:t>Post-assessment: evaluates change after therapy; follow-up checks maintenance.</w:t>
      </w:r>
    </w:p>
    <w:p>
      <w:pPr>
        <w:pStyle w:val="ListBullet"/>
        <w:spacing w:before="0" w:after="40"/>
      </w:pPr>
      <w:r>
        <w:rPr>
          <w:rFonts w:ascii="Calibri" w:hAnsi="Calibri"/>
          <w:b w:val="0"/>
          <w:i w:val="0"/>
          <w:color w:val="1B2330"/>
          <w:sz w:val="21"/>
        </w:rPr>
        <w:t>Ongoing session-by-session monitoring (e.g. OQ-45, CORE-OM, Outcome Rating Scale / Session Rating Scale) gives feedback so therapy can be adjusted (feedback-informed treatment); reduces deterioration, especially in clients "not on track".</w:t>
      </w:r>
    </w:p>
    <w:p>
      <w:pPr>
        <w:spacing w:before="180" w:after="40"/>
      </w:pPr>
      <w:r>
        <w:rPr>
          <w:rFonts w:ascii="Segoe UI" w:hAnsi="Segoe UI"/>
          <w:b/>
          <w:i w:val="0"/>
          <w:color w:val="1B2330"/>
          <w:sz w:val="23"/>
        </w:rPr>
        <w:t>Methods</w:t>
      </w:r>
    </w:p>
    <w:p>
      <w:pPr>
        <w:pStyle w:val="ListBullet"/>
        <w:spacing w:before="0" w:after="40"/>
      </w:pPr>
      <w:r>
        <w:rPr>
          <w:rFonts w:ascii="Calibri" w:hAnsi="Calibri"/>
          <w:b w:val="0"/>
          <w:i w:val="0"/>
          <w:color w:val="1B2330"/>
          <w:sz w:val="21"/>
        </w:rPr>
        <w:t>Structured and unstructured interviews; behavioural observation.</w:t>
      </w:r>
    </w:p>
    <w:p>
      <w:pPr>
        <w:pStyle w:val="ListBullet"/>
        <w:spacing w:before="0" w:after="40"/>
      </w:pPr>
      <w:r>
        <w:rPr>
          <w:rFonts w:ascii="Calibri" w:hAnsi="Calibri"/>
          <w:b w:val="0"/>
          <w:i w:val="0"/>
          <w:color w:val="1B2330"/>
          <w:sz w:val="21"/>
        </w:rPr>
        <w:t>Self-report scales; clinician-rated scales; projective or other tests when relevant.</w:t>
      </w:r>
    </w:p>
    <w:p>
      <w:pPr>
        <w:pStyle w:val="ListBullet"/>
        <w:spacing w:before="0" w:after="40"/>
      </w:pPr>
      <w:r>
        <w:rPr>
          <w:rFonts w:ascii="Calibri" w:hAnsi="Calibri"/>
          <w:b w:val="0"/>
          <w:i w:val="0"/>
          <w:color w:val="1B2330"/>
          <w:sz w:val="21"/>
        </w:rPr>
        <w:t>Collateral information; physiological measures; client diaries / self-monitoring.</w:t>
      </w:r>
    </w:p>
    <w:p>
      <w:pPr>
        <w:spacing w:before="180" w:after="40"/>
      </w:pPr>
      <w:r>
        <w:rPr>
          <w:rFonts w:ascii="Segoe UI" w:hAnsi="Segoe UI"/>
          <w:b/>
          <w:i w:val="0"/>
          <w:color w:val="1B2330"/>
          <w:sz w:val="23"/>
        </w:rPr>
        <w:t>Commonly used measures (from the backbone)</w:t>
      </w:r>
    </w:p>
    <w:p>
      <w:pPr>
        <w:pStyle w:val="ListBullet"/>
        <w:spacing w:before="0" w:after="40"/>
      </w:pPr>
      <w:r>
        <w:rPr>
          <w:rFonts w:ascii="Calibri" w:hAnsi="Calibri"/>
          <w:b w:val="0"/>
          <w:i w:val="0"/>
          <w:color w:val="1B2330"/>
          <w:sz w:val="21"/>
        </w:rPr>
        <w:t>Depression: BDI-II, PHQ-9, HAM-D.</w:t>
      </w:r>
    </w:p>
    <w:p>
      <w:pPr>
        <w:pStyle w:val="ListBullet"/>
        <w:spacing w:before="0" w:after="40"/>
      </w:pPr>
      <w:r>
        <w:rPr>
          <w:rFonts w:ascii="Calibri" w:hAnsi="Calibri"/>
          <w:b w:val="0"/>
          <w:i w:val="0"/>
          <w:color w:val="1B2330"/>
          <w:sz w:val="21"/>
        </w:rPr>
        <w:t>Anxiety: BAI, GAD-7, HAM-A.</w:t>
      </w:r>
    </w:p>
    <w:p>
      <w:pPr>
        <w:pStyle w:val="ListBullet"/>
        <w:spacing w:before="0" w:after="40"/>
      </w:pPr>
      <w:r>
        <w:rPr>
          <w:rFonts w:ascii="Calibri" w:hAnsi="Calibri"/>
          <w:b w:val="0"/>
          <w:i w:val="0"/>
          <w:color w:val="1B2330"/>
          <w:sz w:val="21"/>
        </w:rPr>
        <w:t>OCD: Y-BOCS. PTSD: PCL-5 / CAPS-5.</w:t>
      </w:r>
    </w:p>
    <w:p>
      <w:pPr>
        <w:pStyle w:val="ListBullet"/>
        <w:spacing w:before="0" w:after="40"/>
      </w:pPr>
      <w:r>
        <w:rPr>
          <w:rFonts w:ascii="Calibri" w:hAnsi="Calibri"/>
          <w:b w:val="0"/>
          <w:i w:val="0"/>
          <w:color w:val="1B2330"/>
          <w:sz w:val="21"/>
        </w:rPr>
        <w:t>General distress: SCL-90-R, GHQ.</w:t>
      </w:r>
    </w:p>
    <w:p>
      <w:pPr>
        <w:pStyle w:val="ListBullet"/>
        <w:spacing w:before="0" w:after="40"/>
      </w:pPr>
      <w:r>
        <w:rPr>
          <w:rFonts w:ascii="Calibri" w:hAnsi="Calibri"/>
          <w:b w:val="0"/>
          <w:i w:val="0"/>
          <w:color w:val="1B2330"/>
          <w:sz w:val="21"/>
        </w:rPr>
        <w:t>Well-being / quality of life: WHO-5, WHOQOL-BREF.</w:t>
      </w:r>
    </w:p>
    <w:p>
      <w:pPr>
        <w:pStyle w:val="ListBullet"/>
        <w:spacing w:before="0" w:after="40"/>
      </w:pPr>
      <w:r>
        <w:rPr>
          <w:rFonts w:ascii="Calibri" w:hAnsi="Calibri"/>
          <w:b w:val="0"/>
          <w:i w:val="0"/>
          <w:color w:val="1B2330"/>
          <w:sz w:val="21"/>
        </w:rPr>
        <w:t>Functioning: GAF / WHODAS 2.0. Global: CGI.</w:t>
      </w:r>
    </w:p>
    <w:p>
      <w:pPr>
        <w:pStyle w:val="ListBullet"/>
        <w:spacing w:before="0" w:after="40"/>
      </w:pPr>
      <w:r>
        <w:rPr>
          <w:rFonts w:ascii="Calibri" w:hAnsi="Calibri"/>
          <w:b w:val="0"/>
          <w:i w:val="0"/>
          <w:color w:val="1B2330"/>
          <w:sz w:val="21"/>
        </w:rPr>
        <w:t>Target-complaint ratings; therapeutic alliance (WAI).</w:t>
      </w:r>
    </w:p>
    <w:p>
      <w:pPr>
        <w:spacing w:before="180" w:after="40"/>
      </w:pPr>
      <w:r>
        <w:rPr>
          <w:rFonts w:ascii="Segoe UI" w:hAnsi="Segoe UI"/>
          <w:b/>
          <w:i w:val="0"/>
          <w:color w:val="1B2330"/>
          <w:sz w:val="23"/>
        </w:rPr>
        <w:t>Evaluating change</w:t>
      </w:r>
    </w:p>
    <w:p>
      <w:pPr>
        <w:pStyle w:val="ListBullet"/>
        <w:spacing w:before="0" w:after="40"/>
      </w:pPr>
      <w:r>
        <w:rPr>
          <w:rFonts w:ascii="Calibri" w:hAnsi="Calibri"/>
          <w:b w:val="0"/>
          <w:i w:val="0"/>
          <w:color w:val="1B2330"/>
          <w:sz w:val="21"/>
        </w:rPr>
        <w:t>Statistical significance (group level) vs clinical significance (individual level).</w:t>
      </w:r>
    </w:p>
    <w:p>
      <w:pPr>
        <w:pStyle w:val="ListBullet"/>
        <w:spacing w:before="0" w:after="40"/>
      </w:pPr>
      <w:r>
        <w:rPr>
          <w:rFonts w:ascii="Calibri" w:hAnsi="Calibri"/>
          <w:b w:val="0"/>
          <w:i w:val="0"/>
          <w:color w:val="1B2330"/>
          <w:sz w:val="21"/>
        </w:rPr>
        <w:t>Reliable Change Index (RCI; Jacobson and Truax, 1991): the change must exceed measurement error (RCI &gt; 1.96).</w:t>
      </w:r>
    </w:p>
    <w:p>
      <w:pPr>
        <w:pStyle w:val="ListBullet"/>
        <w:spacing w:before="0" w:after="40"/>
      </w:pPr>
      <w:r>
        <w:rPr>
          <w:rFonts w:ascii="Calibri" w:hAnsi="Calibri"/>
          <w:b w:val="0"/>
          <w:i w:val="0"/>
          <w:color w:val="1B2330"/>
          <w:sz w:val="21"/>
        </w:rPr>
        <w:t>Clinically significant change: the client crosses a cutoff between the dysfunctional and functional populations.</w:t>
      </w:r>
    </w:p>
    <w:p>
      <w:pPr>
        <w:pStyle w:val="ListBullet"/>
        <w:spacing w:before="0" w:after="40"/>
      </w:pPr>
      <w:r>
        <w:rPr>
          <w:rFonts w:ascii="Calibri" w:hAnsi="Calibri"/>
          <w:b w:val="0"/>
          <w:i w:val="0"/>
          <w:color w:val="1B2330"/>
          <w:sz w:val="21"/>
        </w:rPr>
        <w:t>Effect size (Cohen's d) and percentage improvement.</w:t>
      </w:r>
    </w:p>
    <w:p>
      <w:pPr>
        <w:pStyle w:val="ListBullet"/>
        <w:spacing w:before="0" w:after="40"/>
      </w:pPr>
      <w:r>
        <w:rPr>
          <w:rFonts w:ascii="Calibri" w:hAnsi="Calibri"/>
          <w:b w:val="0"/>
          <w:i w:val="0"/>
          <w:color w:val="1B2330"/>
          <w:sz w:val="21"/>
        </w:rPr>
        <w:t>Single-case designs (AB, ABAB, multiple baseline) for individual evaluation.</w:t>
      </w:r>
    </w:p>
    <w:tbl>
      <w:tblPr>
        <w:tblW w:type="auto" w:w="0"/>
        <w:jc w:val="center"/>
        <w:tblLook w:firstColumn="1" w:firstRow="1" w:lastColumn="0" w:lastRow="0" w:noHBand="0" w:noVBand="1" w:val="04A0"/>
      </w:tblPr>
      <w:tblGrid>
        <w:gridCol w:w="9638"/>
      </w:tblGrid>
      <w:tr>
        <w:tc>
          <w:tcPr>
            <w:tcW w:type="dxa" w:w="9411"/>
            <w:tcBorders>
              <w:top w:val="single" w:sz="8" w:space="0" w:color="B23A48"/>
              <w:left w:val="single" w:sz="8" w:space="0" w:color="B23A48"/>
              <w:bottom w:val="single" w:sz="8" w:space="0" w:color="B23A48"/>
              <w:right w:val="single" w:sz="8" w:space="0" w:color="B23A48"/>
            </w:tcBorders>
            <w:shd w:val="clear" w:color="auto" w:fill="FDECEF"/>
          </w:tcPr>
          <w:p>
            <w:pPr>
              <w:spacing w:before="40" w:after="60"/>
            </w:pPr>
            <w:r>
              <w:rPr>
                <w:rFonts w:ascii="Segoe UI" w:hAnsi="Segoe UI"/>
                <w:b/>
                <w:i w:val="0"/>
                <w:color w:val="B23A48"/>
                <w:sz w:val="21"/>
              </w:rPr>
              <w:t>Two different RCIs — do not confuse them</w:t>
            </w:r>
          </w:p>
          <w:p>
            <w:pPr>
              <w:pStyle w:val="ListBullet"/>
              <w:spacing w:before="0" w:after="40"/>
            </w:pPr>
            <w:r>
              <w:rPr>
                <w:rFonts w:ascii="Calibri" w:hAnsi="Calibri"/>
                <w:b w:val="0"/>
                <w:i w:val="0"/>
                <w:color w:val="1B2330"/>
                <w:sz w:val="19"/>
              </w:rPr>
              <w:t>RCI (Act): Rehabilitation Council of India Act, 1992 — the regulator (Sections 3-4-10).</w:t>
            </w:r>
          </w:p>
          <w:p>
            <w:pPr>
              <w:pStyle w:val="ListBullet"/>
              <w:spacing w:before="0" w:after="40"/>
            </w:pPr>
            <w:r>
              <w:rPr>
                <w:rFonts w:ascii="Calibri" w:hAnsi="Calibri"/>
                <w:b w:val="0"/>
                <w:i w:val="0"/>
                <w:color w:val="1B2330"/>
                <w:sz w:val="19"/>
              </w:rPr>
              <w:t>RCI (statistic): Reliable Change Index (Jacobson &amp; Truax, 1991) — used here to judge whether an individual's change is reliable (&gt; 1.96).</w:t>
            </w:r>
          </w:p>
        </w:tc>
      </w:tr>
    </w:tbl>
    <w:p>
      <w:pPr>
        <w:spacing w:after="40"/>
      </w:pPr>
    </w:p>
    <w:p>
      <w:pPr>
        <w:spacing w:before="180" w:after="40"/>
      </w:pPr>
      <w:r>
        <w:rPr>
          <w:rFonts w:ascii="Segoe UI" w:hAnsi="Segoe UI"/>
          <w:b/>
          <w:i w:val="0"/>
          <w:color w:val="1B2330"/>
          <w:sz w:val="23"/>
        </w:rPr>
        <w:t>Good practice</w:t>
      </w:r>
    </w:p>
    <w:p>
      <w:pPr>
        <w:pStyle w:val="ListBullet"/>
        <w:spacing w:before="0" w:after="40"/>
      </w:pPr>
      <w:r>
        <w:rPr>
          <w:rFonts w:ascii="Calibri" w:hAnsi="Calibri"/>
          <w:b w:val="0"/>
          <w:i w:val="0"/>
          <w:color w:val="1B2330"/>
          <w:sz w:val="21"/>
        </w:rPr>
        <w:t>Use reliable and valid measures suited to the client's language, culture and literacy.</w:t>
      </w:r>
    </w:p>
    <w:p>
      <w:pPr>
        <w:pStyle w:val="ListBullet"/>
        <w:spacing w:before="0" w:after="40"/>
      </w:pPr>
      <w:r>
        <w:rPr>
          <w:rFonts w:ascii="Calibri" w:hAnsi="Calibri"/>
          <w:b w:val="0"/>
          <w:i w:val="0"/>
          <w:color w:val="1B2330"/>
          <w:sz w:val="21"/>
        </w:rPr>
        <w:t>Use the same measures before and after.</w:t>
      </w:r>
    </w:p>
    <w:p>
      <w:pPr>
        <w:pStyle w:val="ListBullet"/>
        <w:spacing w:before="0" w:after="40"/>
      </w:pPr>
      <w:r>
        <w:rPr>
          <w:rFonts w:ascii="Calibri" w:hAnsi="Calibri"/>
          <w:b w:val="0"/>
          <w:i w:val="0"/>
          <w:color w:val="1B2330"/>
          <w:sz w:val="21"/>
        </w:rPr>
        <w:t>Interpret with caution (placebo, regression to the mean, practice effects, response bias).</w:t>
      </w:r>
    </w:p>
    <w:p>
      <w:pPr>
        <w:pStyle w:val="ListBullet"/>
        <w:spacing w:before="0" w:after="40"/>
      </w:pPr>
      <w:r>
        <w:rPr>
          <w:rFonts w:ascii="Calibri" w:hAnsi="Calibri"/>
          <w:b w:val="0"/>
          <w:i w:val="0"/>
          <w:color w:val="1B2330"/>
          <w:sz w:val="21"/>
        </w:rPr>
        <w:t>Share results with the client and use them to plan further care.</w:t>
      </w:r>
    </w:p>
    <w:p>
      <w:pPr>
        <w:spacing w:before="160" w:after="40"/>
      </w:pPr>
      <w:r>
        <w:rPr>
          <w:rFonts w:ascii="Segoe UI" w:hAnsi="Segoe UI"/>
          <w:b/>
          <w:i w:val="0"/>
          <w:color w:val="2B4C7E"/>
          <w:sz w:val="21"/>
        </w:rPr>
        <w:t>Flow chart: Flow: measuring change across therapy</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Pre-assessment (baseline): diagnosis, severity, risk, strengths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Session-by-session monitoring (feedback-informed)</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Post-assessment with the SAME measures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Reliable change? RCI &gt; 1.96</w:t>
            </w:r>
          </w:p>
        </w:tc>
      </w:tr>
      <w:tr>
        <w:tc>
          <w:tcPr>
            <w:tcW w:type="dxa" w:w="8504"/>
          </w:tcPr>
          <w:p>
            <w:pPr>
              <w:spacing w:before="20" w:after="20"/>
              <w:jc w:val="center"/>
            </w:pPr>
            <w:r>
              <w:rPr>
                <w:rFonts w:ascii="Segoe UI" w:hAnsi="Segoe UI"/>
                <w:b/>
                <w:i w:val="0"/>
                <w:color w:val="2B4C7E"/>
                <w:sz w:val="26"/>
              </w:rPr>
              <w:t>↓</w:t>
            </w:r>
          </w:p>
        </w:tc>
      </w:tr>
    </w:tbl>
    <w:p>
      <w:pPr>
        <w:spacing w:before="20" w:after="0"/>
        <w:jc w:val="center"/>
      </w:pPr>
      <w:r>
        <w:rPr>
          <w:rFonts w:ascii="Segoe UI" w:hAnsi="Segoe UI"/>
          <w:b w:val="0"/>
          <w:i/>
          <w:color w:val="4A5568"/>
          <w:sz w:val="17"/>
        </w:rPr>
        <w:t>Yes + crosses clinical cutoff</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Clinically significant change</w:t>
            </w:r>
          </w:p>
        </w:tc>
      </w:tr>
    </w:tbl>
    <w:p>
      <w:pPr>
        <w:spacing w:before="20" w:after="0"/>
        <w:jc w:val="center"/>
      </w:pPr>
      <w:r>
        <w:rPr>
          <w:rFonts w:ascii="Segoe UI" w:hAnsi="Segoe UI"/>
          <w:b w:val="0"/>
          <w:i/>
          <w:color w:val="4A5568"/>
          <w:sz w:val="17"/>
        </w:rPr>
        <w:t>No / partial</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Revise plan; continue or refer</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BASE</w:t>
            </w:r>
            <w:r>
              <w:rPr>
                <w:rFonts w:ascii="Segoe UI" w:hAnsi="Segoe UI"/>
                <w:b/>
                <w:i w:val="0"/>
                <w:color w:val="8A5A00"/>
                <w:sz w:val="21"/>
              </w:rPr>
              <w:t xml:space="preserve">  —  the logic of pre/post assessment</w:t>
            </w:r>
          </w:p>
          <w:p>
            <w:pPr>
              <w:spacing w:before="0" w:after="20"/>
            </w:pPr>
            <w:r>
              <w:rPr>
                <w:rFonts w:ascii="Segoe UI" w:hAnsi="Segoe UI"/>
                <w:b/>
                <w:i w:val="0"/>
                <w:color w:val="C98A1B"/>
                <w:sz w:val="22"/>
              </w:rPr>
              <w:t xml:space="preserve">B  </w:t>
            </w:r>
            <w:r>
              <w:rPr>
                <w:rFonts w:ascii="Segoe UI" w:hAnsi="Segoe UI"/>
                <w:b/>
                <w:i w:val="0"/>
                <w:color w:val="1B2330"/>
                <w:sz w:val="19"/>
              </w:rPr>
              <w:t xml:space="preserve">Baseline — </w:t>
            </w:r>
            <w:r>
              <w:rPr>
                <w:rFonts w:ascii="Segoe UI" w:hAnsi="Segoe UI"/>
                <w:b w:val="0"/>
                <w:i w:val="0"/>
                <w:color w:val="4A5568"/>
                <w:sz w:val="19"/>
              </w:rPr>
              <w:t>pre-assessment benchmark</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Assess ongoing — </w:t>
            </w:r>
            <w:r>
              <w:rPr>
                <w:rFonts w:ascii="Segoe UI" w:hAnsi="Segoe UI"/>
                <w:b w:val="0"/>
                <w:i w:val="0"/>
                <w:color w:val="4A5568"/>
                <w:sz w:val="19"/>
              </w:rPr>
              <w:t>session-by-session monitoring</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Same measures — </w:t>
            </w:r>
            <w:r>
              <w:rPr>
                <w:rFonts w:ascii="Segoe UI" w:hAnsi="Segoe UI"/>
                <w:b w:val="0"/>
                <w:i w:val="0"/>
                <w:color w:val="4A5568"/>
                <w:sz w:val="19"/>
              </w:rPr>
              <w:t>same valid tools before and after</w:t>
            </w:r>
          </w:p>
          <w:p>
            <w:pPr>
              <w:spacing w:before="0" w:after="20"/>
            </w:pPr>
            <w:r>
              <w:rPr>
                <w:rFonts w:ascii="Segoe UI" w:hAnsi="Segoe UI"/>
                <w:b/>
                <w:i w:val="0"/>
                <w:color w:val="C98A1B"/>
                <w:sz w:val="22"/>
              </w:rPr>
              <w:t xml:space="preserve">E  </w:t>
            </w:r>
            <w:r>
              <w:rPr>
                <w:rFonts w:ascii="Segoe UI" w:hAnsi="Segoe UI"/>
                <w:b/>
                <w:i w:val="0"/>
                <w:color w:val="1B2330"/>
                <w:sz w:val="19"/>
              </w:rPr>
              <w:t xml:space="preserve">Evaluate change — </w:t>
            </w:r>
            <w:r>
              <w:rPr>
                <w:rFonts w:ascii="Segoe UI" w:hAnsi="Segoe UI"/>
                <w:b w:val="0"/>
                <w:i w:val="0"/>
                <w:color w:val="4A5568"/>
                <w:sz w:val="19"/>
              </w:rPr>
              <w:t>RCI, clinical significance, effect size</w:t>
            </w:r>
          </w:p>
        </w:tc>
      </w:tr>
    </w:tbl>
    <w:p>
      <w:pPr>
        <w:spacing w:after="40"/>
      </w:pPr>
    </w:p>
    <w:p>
      <w:pPr>
        <w:pStyle w:val="Heading1"/>
        <w:pageBreakBefore/>
      </w:pPr>
      <w:r>
        <w:rPr>
          <w:rFonts w:ascii="Segoe UI" w:hAnsi="Segoe UI"/>
          <w:b/>
          <w:i w:val="0"/>
          <w:color w:val="2B4C7E"/>
          <w:sz w:val="30"/>
        </w:rPr>
        <w:t>10. Practice of Evidence-Based Therapies (EBP)</w:t>
      </w:r>
    </w:p>
    <w:p>
      <w:pPr>
        <w:spacing w:before="180" w:after="40"/>
      </w:pPr>
      <w:r>
        <w:rPr>
          <w:rFonts w:ascii="Segoe UI" w:hAnsi="Segoe UI"/>
          <w:b/>
          <w:i w:val="0"/>
          <w:color w:val="1B2330"/>
          <w:sz w:val="23"/>
        </w:rPr>
        <w:t>Definition and origins</w:t>
      </w:r>
    </w:p>
    <w:p>
      <w:pPr>
        <w:pStyle w:val="ListBullet"/>
        <w:spacing w:before="0" w:after="40"/>
      </w:pPr>
      <w:r>
        <w:rPr>
          <w:rFonts w:ascii="Calibri" w:hAnsi="Calibri"/>
          <w:b w:val="0"/>
          <w:i w:val="0"/>
          <w:color w:val="1B2330"/>
          <w:sz w:val="21"/>
        </w:rPr>
        <w:t>APA Presidential Task Force (2006): EBP is the integration of the best available research with clinical expertise in the context of patient characteristics, culture and preferences (supported).</w:t>
      </w:r>
    </w:p>
    <w:p>
      <w:pPr>
        <w:pStyle w:val="ListBullet"/>
        <w:spacing w:before="0" w:after="40"/>
      </w:pPr>
      <w:r>
        <w:rPr>
          <w:rFonts w:ascii="Calibri" w:hAnsi="Calibri"/>
          <w:b w:val="0"/>
          <w:i w:val="0"/>
          <w:color w:val="1B2330"/>
          <w:sz w:val="21"/>
        </w:rPr>
        <w:t>The concept came from evidence-based medicine (Sackett).</w:t>
      </w:r>
    </w:p>
    <w:p>
      <w:pPr>
        <w:spacing w:before="180" w:after="40"/>
      </w:pPr>
      <w:r>
        <w:rPr>
          <w:rFonts w:ascii="Segoe UI" w:hAnsi="Segoe UI"/>
          <w:b/>
          <w:i w:val="0"/>
          <w:color w:val="1B2330"/>
          <w:sz w:val="23"/>
        </w:rPr>
        <w:t>Empirically supported treatments (ESTs)</w:t>
      </w:r>
    </w:p>
    <w:p>
      <w:pPr>
        <w:pStyle w:val="ListBullet"/>
        <w:spacing w:before="0" w:after="40"/>
      </w:pPr>
      <w:r>
        <w:rPr>
          <w:rFonts w:ascii="Calibri" w:hAnsi="Calibri"/>
          <w:b w:val="0"/>
          <w:i w:val="0"/>
          <w:color w:val="1B2330"/>
          <w:sz w:val="21"/>
        </w:rPr>
        <w:t>Division 12 (Society of Clinical Psychology, APA); Chambless and Hollon (1998) criteria:</w:t>
      </w:r>
    </w:p>
    <w:p>
      <w:pPr>
        <w:pStyle w:val="ListBullet2"/>
        <w:spacing w:before="0" w:after="20"/>
      </w:pPr>
      <w:r>
        <w:rPr>
          <w:rFonts w:ascii="Calibri" w:hAnsi="Calibri"/>
          <w:b w:val="0"/>
          <w:i w:val="0"/>
          <w:color w:val="1B2330"/>
          <w:sz w:val="20"/>
        </w:rPr>
        <w:t>well-established (≥ 2 good between-group studies by independent researchers, or a large series of single-case studies, showing superiority to placebo or another treatment, with manuals and clear samples);</w:t>
      </w:r>
    </w:p>
    <w:p>
      <w:pPr>
        <w:pStyle w:val="ListBullet2"/>
        <w:spacing w:before="0" w:after="20"/>
      </w:pPr>
      <w:r>
        <w:rPr>
          <w:rFonts w:ascii="Calibri" w:hAnsi="Calibri"/>
          <w:b w:val="0"/>
          <w:i w:val="0"/>
          <w:color w:val="1B2330"/>
          <w:sz w:val="20"/>
        </w:rPr>
        <w:t>probably efficacious.</w:t>
      </w:r>
    </w:p>
    <w:p>
      <w:pPr>
        <w:spacing w:before="180" w:after="40"/>
      </w:pPr>
      <w:r>
        <w:rPr>
          <w:rFonts w:ascii="Segoe UI" w:hAnsi="Segoe UI"/>
          <w:b/>
          <w:i w:val="0"/>
          <w:color w:val="1B2330"/>
          <w:sz w:val="23"/>
        </w:rPr>
        <w:t>Hierarchy of evidence</w:t>
      </w:r>
    </w:p>
    <w:p>
      <w:pPr>
        <w:pStyle w:val="ListBullet"/>
        <w:spacing w:before="0" w:after="40"/>
      </w:pPr>
      <w:r>
        <w:rPr>
          <w:rFonts w:ascii="Calibri" w:hAnsi="Calibri"/>
          <w:b w:val="0"/>
          <w:i w:val="0"/>
          <w:color w:val="1B2330"/>
          <w:sz w:val="21"/>
        </w:rPr>
        <w:t>Systematic reviews / meta-analyses of RCTs; then RCTs; controlled trials without randomisation; cohort and case-control; single-case studies; expert opinion.</w:t>
      </w:r>
    </w:p>
    <w:p>
      <w:pPr>
        <w:pStyle w:val="ListBullet"/>
        <w:spacing w:before="0" w:after="40"/>
      </w:pPr>
      <w:r>
        <w:rPr>
          <w:rFonts w:ascii="Calibri" w:hAnsi="Calibri"/>
          <w:b w:val="0"/>
          <w:i w:val="0"/>
          <w:color w:val="1B2330"/>
          <w:sz w:val="21"/>
        </w:rPr>
        <w:t>Efficacy (controlled conditions) vs effectiveness (real-world) vs clinical utility (feasible, acceptable, cost-effective).</w:t>
      </w:r>
    </w:p>
    <w:p>
      <w:pPr>
        <w:spacing w:before="180" w:after="40"/>
      </w:pPr>
      <w:r>
        <w:rPr>
          <w:rFonts w:ascii="Segoe UI" w:hAnsi="Segoe UI"/>
          <w:b/>
          <w:i w:val="0"/>
          <w:color w:val="1B2330"/>
          <w:sz w:val="23"/>
        </w:rPr>
        <w:t>Examples of well-supported treatments</w:t>
      </w:r>
    </w:p>
    <w:p>
      <w:pPr>
        <w:pStyle w:val="ListBullet"/>
        <w:spacing w:before="0" w:after="40"/>
      </w:pPr>
      <w:r>
        <w:rPr>
          <w:rFonts w:ascii="Calibri" w:hAnsi="Calibri"/>
          <w:b w:val="0"/>
          <w:i w:val="0"/>
          <w:color w:val="1B2330"/>
          <w:sz w:val="21"/>
        </w:rPr>
        <w:t>CBT for depression, panic, social anxiety, GAD.</w:t>
      </w:r>
    </w:p>
    <w:p>
      <w:pPr>
        <w:pStyle w:val="ListBullet"/>
        <w:spacing w:before="0" w:after="40"/>
      </w:pPr>
      <w:r>
        <w:rPr>
          <w:rFonts w:ascii="Calibri" w:hAnsi="Calibri"/>
          <w:b w:val="0"/>
          <w:i w:val="0"/>
          <w:color w:val="1B2330"/>
          <w:sz w:val="21"/>
        </w:rPr>
        <w:t>ERP for OCD; prolonged exposure, cognitive processing therapy and EMDR for PTSD.</w:t>
      </w:r>
    </w:p>
    <w:p>
      <w:pPr>
        <w:pStyle w:val="ListBullet"/>
        <w:spacing w:before="0" w:after="40"/>
      </w:pPr>
      <w:r>
        <w:rPr>
          <w:rFonts w:ascii="Calibri" w:hAnsi="Calibri"/>
          <w:b w:val="0"/>
          <w:i w:val="0"/>
          <w:color w:val="1B2330"/>
          <w:sz w:val="21"/>
        </w:rPr>
        <w:t>Behavioural activation and IPT for depression; DBT for borderline personality disorder.</w:t>
      </w:r>
    </w:p>
    <w:p>
      <w:pPr>
        <w:pStyle w:val="ListBullet"/>
        <w:spacing w:before="0" w:after="40"/>
      </w:pPr>
      <w:r>
        <w:rPr>
          <w:rFonts w:ascii="Calibri" w:hAnsi="Calibri"/>
          <w:b w:val="0"/>
          <w:i w:val="0"/>
          <w:color w:val="1B2330"/>
          <w:sz w:val="21"/>
        </w:rPr>
        <w:t>Family-based treatment for adolescent anorexia; parent management training for child conduct problems; CBT for insomnia.</w:t>
      </w:r>
    </w:p>
    <w:p>
      <w:pPr>
        <w:pStyle w:val="ListBullet"/>
        <w:spacing w:before="0" w:after="40"/>
      </w:pPr>
      <w:r>
        <w:rPr>
          <w:rFonts w:ascii="Calibri" w:hAnsi="Calibri"/>
          <w:b w:val="0"/>
          <w:i w:val="0"/>
          <w:color w:val="1B2330"/>
          <w:sz w:val="21"/>
        </w:rPr>
        <w:t>Social skills training, family psychoeducation and cognitive remediation for schizophrenia.</w:t>
      </w:r>
    </w:p>
    <w:p>
      <w:pPr>
        <w:spacing w:before="180" w:after="40"/>
      </w:pPr>
      <w:r>
        <w:rPr>
          <w:rFonts w:ascii="Segoe UI" w:hAnsi="Segoe UI"/>
          <w:b/>
          <w:i w:val="0"/>
          <w:color w:val="1B2330"/>
          <w:sz w:val="23"/>
        </w:rPr>
        <w:t>Guidelines and scaling up (WHO / India)</w:t>
      </w:r>
    </w:p>
    <w:p>
      <w:pPr>
        <w:pStyle w:val="ListBullet"/>
        <w:spacing w:before="0" w:after="40"/>
      </w:pPr>
      <w:r>
        <w:rPr>
          <w:rFonts w:ascii="Calibri" w:hAnsi="Calibri"/>
          <w:b w:val="0"/>
          <w:i w:val="0"/>
          <w:color w:val="1B2330"/>
          <w:sz w:val="21"/>
        </w:rPr>
        <w:t>NICE (UK), APA, and WHO mhGAP recommend specific treatments (supported).</w:t>
      </w:r>
    </w:p>
    <w:p>
      <w:pPr>
        <w:pStyle w:val="ListBullet"/>
        <w:spacing w:before="0" w:after="40"/>
      </w:pPr>
      <w:r>
        <w:rPr>
          <w:rFonts w:ascii="Calibri" w:hAnsi="Calibri"/>
          <w:b w:val="0"/>
          <w:i w:val="0"/>
          <w:color w:val="1B2330"/>
          <w:sz w:val="21"/>
        </w:rPr>
        <w:t>In India, culturally adapted low-intensity interventions delivered by lay counsellors (e.g. the Healthy Activity Programme in the PREMIUM trials in Goa, and the Thinking Healthy Programme) show evidence-based care can be scaled up (task-shifting).</w:t>
      </w:r>
    </w:p>
    <w:p>
      <w:pPr>
        <w:spacing w:before="180" w:after="40"/>
      </w:pPr>
      <w:r>
        <w:rPr>
          <w:rFonts w:ascii="Segoe UI" w:hAnsi="Segoe UI"/>
          <w:b/>
          <w:i w:val="0"/>
          <w:color w:val="1B2330"/>
          <w:sz w:val="23"/>
        </w:rPr>
        <w:t>Steps of EBP in the clinic</w:t>
      </w:r>
    </w:p>
    <w:p>
      <w:pPr>
        <w:pStyle w:val="ListBullet"/>
        <w:spacing w:before="0" w:after="40"/>
      </w:pPr>
      <w:r>
        <w:rPr>
          <w:rFonts w:ascii="Calibri" w:hAnsi="Calibri"/>
          <w:b w:val="0"/>
          <w:i w:val="0"/>
          <w:color w:val="1B2330"/>
          <w:sz w:val="21"/>
        </w:rPr>
        <w:t>Ask a clear clinical question.</w:t>
      </w:r>
    </w:p>
    <w:p>
      <w:pPr>
        <w:pStyle w:val="ListBullet"/>
        <w:spacing w:before="0" w:after="40"/>
      </w:pPr>
      <w:r>
        <w:rPr>
          <w:rFonts w:ascii="Calibri" w:hAnsi="Calibri"/>
          <w:b w:val="0"/>
          <w:i w:val="0"/>
          <w:color w:val="1B2330"/>
          <w:sz w:val="21"/>
        </w:rPr>
        <w:t>Search for the best evidence.</w:t>
      </w:r>
    </w:p>
    <w:p>
      <w:pPr>
        <w:pStyle w:val="ListBullet"/>
        <w:spacing w:before="0" w:after="40"/>
      </w:pPr>
      <w:r>
        <w:rPr>
          <w:rFonts w:ascii="Calibri" w:hAnsi="Calibri"/>
          <w:b w:val="0"/>
          <w:i w:val="0"/>
          <w:color w:val="1B2330"/>
          <w:sz w:val="21"/>
        </w:rPr>
        <w:t>Appraise it.</w:t>
      </w:r>
    </w:p>
    <w:p>
      <w:pPr>
        <w:pStyle w:val="ListBullet"/>
        <w:spacing w:before="0" w:after="40"/>
      </w:pPr>
      <w:r>
        <w:rPr>
          <w:rFonts w:ascii="Calibri" w:hAnsi="Calibri"/>
          <w:b w:val="0"/>
          <w:i w:val="0"/>
          <w:color w:val="1B2330"/>
          <w:sz w:val="21"/>
        </w:rPr>
        <w:t>Integrate it with clinical expertise and the client's values.</w:t>
      </w:r>
    </w:p>
    <w:p>
      <w:pPr>
        <w:pStyle w:val="ListBullet"/>
        <w:spacing w:before="0" w:after="40"/>
      </w:pPr>
      <w:r>
        <w:rPr>
          <w:rFonts w:ascii="Calibri" w:hAnsi="Calibri"/>
          <w:b w:val="0"/>
          <w:i w:val="0"/>
          <w:color w:val="1B2330"/>
          <w:sz w:val="21"/>
        </w:rPr>
        <w:t>Apply; evaluate the outcome.</w:t>
      </w:r>
    </w:p>
    <w:p>
      <w:pPr>
        <w:spacing w:before="180" w:after="40"/>
      </w:pPr>
      <w:r>
        <w:rPr>
          <w:rFonts w:ascii="Segoe UI" w:hAnsi="Segoe UI"/>
          <w:b/>
          <w:i w:val="0"/>
          <w:color w:val="1B2330"/>
          <w:sz w:val="23"/>
        </w:rPr>
        <w:t>The evidence debate and common factors</w:t>
      </w:r>
    </w:p>
    <w:p>
      <w:pPr>
        <w:pStyle w:val="ListBullet"/>
        <w:spacing w:before="0" w:after="40"/>
      </w:pPr>
      <w:r>
        <w:rPr>
          <w:rFonts w:ascii="Calibri" w:hAnsi="Calibri"/>
          <w:b w:val="0"/>
          <w:i w:val="0"/>
          <w:color w:val="1B2330"/>
          <w:sz w:val="21"/>
        </w:rPr>
        <w:t>Eysenck (1952) claimed psychotherapy was no more effective than spontaneous remission.</w:t>
      </w:r>
    </w:p>
    <w:p>
      <w:pPr>
        <w:pStyle w:val="ListBullet"/>
        <w:spacing w:before="0" w:after="40"/>
      </w:pPr>
      <w:r>
        <w:rPr>
          <w:rFonts w:ascii="Calibri" w:hAnsi="Calibri"/>
          <w:b w:val="0"/>
          <w:i w:val="0"/>
          <w:color w:val="1B2330"/>
          <w:sz w:val="21"/>
        </w:rPr>
        <w:t>Smith and Glass (1977) meta-analysed 375 studies and found a mean effect size of about 0.68 (the average treated person better off than about 75% of untreated persons).</w:t>
      </w:r>
    </w:p>
    <w:p>
      <w:pPr>
        <w:pStyle w:val="ListBullet"/>
        <w:spacing w:before="0" w:after="40"/>
      </w:pPr>
      <w:r>
        <w:rPr>
          <w:rFonts w:ascii="Calibri" w:hAnsi="Calibri"/>
          <w:b w:val="0"/>
          <w:i w:val="0"/>
          <w:color w:val="1B2330"/>
          <w:sz w:val="21"/>
        </w:rPr>
        <w:t>The "Dodo bird verdict" (Rosenzweig; Luborsky): all bona fide therapies work about equally, pointing to common factors.</w:t>
      </w:r>
    </w:p>
    <w:p>
      <w:pPr>
        <w:pStyle w:val="ListBullet"/>
        <w:spacing w:before="0" w:after="40"/>
      </w:pPr>
      <w:r>
        <w:rPr>
          <w:rFonts w:ascii="Calibri" w:hAnsi="Calibri"/>
          <w:b w:val="0"/>
          <w:i w:val="0"/>
          <w:color w:val="1B2330"/>
          <w:sz w:val="21"/>
        </w:rPr>
        <w:t>Lambert (1992) estimated contributions (approximate and debated, as the backbone frames them):</w:t>
      </w:r>
    </w:p>
    <w:p>
      <w:pPr>
        <w:pStyle w:val="ListBullet2"/>
        <w:spacing w:before="0" w:after="20"/>
      </w:pPr>
      <w:r>
        <w:rPr>
          <w:rFonts w:ascii="Calibri" w:hAnsi="Calibri"/>
          <w:b w:val="0"/>
          <w:i w:val="0"/>
          <w:color w:val="1B2330"/>
          <w:sz w:val="20"/>
        </w:rPr>
        <w:t>extratherapeutic / client factors ~40%;</w:t>
      </w:r>
    </w:p>
    <w:p>
      <w:pPr>
        <w:pStyle w:val="ListBullet2"/>
        <w:spacing w:before="0" w:after="20"/>
      </w:pPr>
      <w:r>
        <w:rPr>
          <w:rFonts w:ascii="Calibri" w:hAnsi="Calibri"/>
          <w:b w:val="0"/>
          <w:i w:val="0"/>
          <w:color w:val="1B2330"/>
          <w:sz w:val="20"/>
        </w:rPr>
        <w:t>relationship ~30%;</w:t>
      </w:r>
    </w:p>
    <w:p>
      <w:pPr>
        <w:pStyle w:val="ListBullet2"/>
        <w:spacing w:before="0" w:after="20"/>
      </w:pPr>
      <w:r>
        <w:rPr>
          <w:rFonts w:ascii="Calibri" w:hAnsi="Calibri"/>
          <w:b w:val="0"/>
          <w:i w:val="0"/>
          <w:color w:val="1B2330"/>
          <w:sz w:val="20"/>
        </w:rPr>
        <w:t>expectancy ~15%;</w:t>
      </w:r>
    </w:p>
    <w:p>
      <w:pPr>
        <w:pStyle w:val="ListBullet2"/>
        <w:spacing w:before="0" w:after="20"/>
      </w:pPr>
      <w:r>
        <w:rPr>
          <w:rFonts w:ascii="Calibri" w:hAnsi="Calibri"/>
          <w:b w:val="0"/>
          <w:i w:val="0"/>
          <w:color w:val="1B2330"/>
          <w:sz w:val="20"/>
        </w:rPr>
        <w:t>technique ~15%.</w:t>
      </w:r>
    </w:p>
    <w:p>
      <w:pPr>
        <w:pStyle w:val="ListBullet"/>
        <w:spacing w:before="0" w:after="40"/>
      </w:pPr>
      <w:r>
        <w:rPr>
          <w:rFonts w:ascii="Calibri" w:hAnsi="Calibri"/>
          <w:b w:val="0"/>
          <w:i w:val="0"/>
          <w:color w:val="1B2330"/>
          <w:sz w:val="21"/>
        </w:rPr>
        <w:t>Balance: both specific (model-based) and common (relationship) factors matter; evidence-based techniques work best within a strong relationship.</w:t>
      </w:r>
    </w:p>
    <w:p>
      <w:pPr>
        <w:spacing w:before="180" w:after="40"/>
      </w:pPr>
      <w:r>
        <w:rPr>
          <w:rFonts w:ascii="Segoe UI" w:hAnsi="Segoe UI"/>
          <w:b/>
          <w:i w:val="0"/>
          <w:color w:val="1B2330"/>
          <w:sz w:val="23"/>
        </w:rPr>
        <w:t>Criticisms and challenges of EBP</w:t>
      </w:r>
    </w:p>
    <w:p>
      <w:pPr>
        <w:pStyle w:val="ListBullet"/>
        <w:spacing w:before="0" w:after="40"/>
      </w:pPr>
      <w:r>
        <w:rPr>
          <w:rFonts w:ascii="Calibri" w:hAnsi="Calibri"/>
          <w:b w:val="0"/>
          <w:i w:val="0"/>
          <w:color w:val="1B2330"/>
          <w:sz w:val="21"/>
        </w:rPr>
        <w:t>RCT samples often unrepresentative (strict exclusion, no comorbidity); limited generalisability to diverse and Indian populations.</w:t>
      </w:r>
    </w:p>
    <w:p>
      <w:pPr>
        <w:pStyle w:val="ListBullet"/>
        <w:spacing w:before="0" w:after="40"/>
      </w:pPr>
      <w:r>
        <w:rPr>
          <w:rFonts w:ascii="Calibri" w:hAnsi="Calibri"/>
          <w:b w:val="0"/>
          <w:i w:val="0"/>
          <w:color w:val="1B2330"/>
          <w:sz w:val="21"/>
        </w:rPr>
        <w:t>Manuals can reduce flexibility; researcher allegiance effects; publication bias.</w:t>
      </w:r>
    </w:p>
    <w:p>
      <w:pPr>
        <w:pStyle w:val="ListBullet"/>
        <w:spacing w:before="0" w:after="40"/>
      </w:pPr>
      <w:r>
        <w:rPr>
          <w:rFonts w:ascii="Calibri" w:hAnsi="Calibri"/>
          <w:b w:val="0"/>
          <w:i w:val="0"/>
          <w:color w:val="1B2330"/>
          <w:sz w:val="21"/>
        </w:rPr>
        <w:t>Under-emphasis of common factors and the therapist's contribution.</w:t>
      </w:r>
    </w:p>
    <w:p>
      <w:pPr>
        <w:pStyle w:val="ListBullet"/>
        <w:spacing w:before="0" w:after="40"/>
      </w:pPr>
      <w:r>
        <w:rPr>
          <w:rFonts w:ascii="Calibri" w:hAnsi="Calibri"/>
          <w:b w:val="0"/>
          <w:i w:val="0"/>
          <w:color w:val="1B2330"/>
          <w:sz w:val="21"/>
        </w:rPr>
        <w:t>Outcome focus on symptom measures rather than broader well-being or meaning.</w:t>
      </w:r>
    </w:p>
    <w:p>
      <w:pPr>
        <w:pStyle w:val="ListBullet"/>
        <w:spacing w:before="0" w:after="40"/>
      </w:pPr>
      <w:r>
        <w:rPr>
          <w:rFonts w:ascii="Calibri" w:hAnsi="Calibri"/>
          <w:b w:val="0"/>
          <w:i w:val="0"/>
          <w:color w:val="1B2330"/>
          <w:sz w:val="21"/>
        </w:rPr>
        <w:t>Practice-based evidence and routine outcome monitoring complement RCTs; cultural adaptation and task shifting are important in India.</w:t>
      </w:r>
    </w:p>
    <w:p>
      <w:pPr>
        <w:spacing w:before="160" w:after="40"/>
      </w:pPr>
      <w:r>
        <w:rPr>
          <w:rFonts w:ascii="Segoe UI" w:hAnsi="Segoe UI"/>
          <w:b/>
          <w:i w:val="0"/>
          <w:color w:val="2B4C7E"/>
          <w:sz w:val="21"/>
        </w:rPr>
        <w:t>Flow chart: Flow: EBP in the clinic (Ask-Acquire-Appraise-Apply-Assess)</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Ask a focused clinical question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Acquire the best available research evidence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Appraise the evidence (hierarchy: meta-analysis &gt; RCT &gt; ...)</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Integrate with clinical expertise + client values/culture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Apply the intervention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Assess the outcome (monitor, revise)</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5 A's</w:t>
            </w:r>
            <w:r>
              <w:rPr>
                <w:rFonts w:ascii="Segoe UI" w:hAnsi="Segoe UI"/>
                <w:b/>
                <w:i w:val="0"/>
                <w:color w:val="8A5A00"/>
                <w:sz w:val="21"/>
              </w:rPr>
              <w:t xml:space="preserve">  —  the steps of evidence-based practice</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Ask — </w:t>
            </w:r>
            <w:r>
              <w:rPr>
                <w:rFonts w:ascii="Segoe UI" w:hAnsi="Segoe UI"/>
                <w:b w:val="0"/>
                <w:i w:val="0"/>
                <w:color w:val="4A5568"/>
                <w:sz w:val="19"/>
              </w:rPr>
              <w:t>ask a clear clinical question</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Acquire — </w:t>
            </w:r>
            <w:r>
              <w:rPr>
                <w:rFonts w:ascii="Segoe UI" w:hAnsi="Segoe UI"/>
                <w:b w:val="0"/>
                <w:i w:val="0"/>
                <w:color w:val="4A5568"/>
                <w:sz w:val="19"/>
              </w:rPr>
              <w:t>search for the best evidence</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Appraise — </w:t>
            </w:r>
            <w:r>
              <w:rPr>
                <w:rFonts w:ascii="Segoe UI" w:hAnsi="Segoe UI"/>
                <w:b w:val="0"/>
                <w:i w:val="0"/>
                <w:color w:val="4A5568"/>
                <w:sz w:val="19"/>
              </w:rPr>
              <w:t>critically appraise the evidence</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Apply — </w:t>
            </w:r>
            <w:r>
              <w:rPr>
                <w:rFonts w:ascii="Segoe UI" w:hAnsi="Segoe UI"/>
                <w:b w:val="0"/>
                <w:i w:val="0"/>
                <w:color w:val="4A5568"/>
                <w:sz w:val="19"/>
              </w:rPr>
              <w:t>integrate with expertise + client values, then apply</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Assess — </w:t>
            </w:r>
            <w:r>
              <w:rPr>
                <w:rFonts w:ascii="Segoe UI" w:hAnsi="Segoe UI"/>
                <w:b w:val="0"/>
                <w:i w:val="0"/>
                <w:color w:val="4A5568"/>
                <w:sz w:val="19"/>
              </w:rPr>
              <w:t>evaluate and revise the outcome</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b w:val="0"/>
        <w:i w:val="0"/>
        <w:color w:val="4A5568"/>
        <w:sz w:val="17"/>
      </w:rPr>
      <w:t>Made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