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 xml:space="preserve">Several topics now carry a </w:t>
      </w:r>
      <w:r>
        <w:rPr>
          <w:b/>
          <w:color w:val="0F2744"/>
        </w:rPr>
        <w:t>labelled diagram</w:t>
      </w:r>
      <w:r>
        <w:t>; use each figure as a visual map, matching its labels to the numbered points and the flowchart so you can both picture and describe the structure in the exam.</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and because every thought, feeling and behaviour ultimately rests on how these cells fire and connect, they are the natural starting point for a clinical psychologist studying the biology of behaviour.</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jc w:val="center"/>
      </w:pPr>
      <w:r>
        <w:drawing>
          <wp:inline xmlns:a="http://schemas.openxmlformats.org/drawingml/2006/main" xmlns:pic="http://schemas.openxmlformats.org/drawingml/2006/picture">
            <wp:extent cx="5029200" cy="3661886"/>
            <wp:docPr id="1" name="Picture 1"/>
            <wp:cNvGraphicFramePr>
              <a:graphicFrameLocks noChangeAspect="1"/>
            </wp:cNvGraphicFramePr>
            <a:graphic>
              <a:graphicData uri="http://schemas.openxmlformats.org/drawingml/2006/picture">
                <pic:pic>
                  <pic:nvPicPr>
                    <pic:cNvPr id="0" name="neuron.png"/>
                    <pic:cNvPicPr/>
                  </pic:nvPicPr>
                  <pic:blipFill>
                    <a:blip r:embed="rId10"/>
                    <a:stretch>
                      <a:fillRect/>
                    </a:stretch>
                  </pic:blipFill>
                  <pic:spPr>
                    <a:xfrm>
                      <a:off x="0" y="0"/>
                      <a:ext cx="5029200" cy="3661886"/>
                    </a:xfrm>
                    <a:prstGeom prst="rect"/>
                  </pic:spPr>
                </pic:pic>
              </a:graphicData>
            </a:graphic>
          </wp:inline>
        </w:drawing>
      </w:r>
    </w:p>
    <w:p>
      <w:pPr>
        <w:jc w:val="center"/>
      </w:pPr>
      <w:r>
        <w:rPr>
          <w:i/>
          <w:color w:val="5A6A7E"/>
          <w:sz w:val="18"/>
        </w:rPr>
        <w:t>Figure 1. Labelled structure of a typical neuron, showing the dendrites, cell body (soma), axon hillock, myelinated axon, nodes of Ranvier and the axon terminals — study it alongside the DRAMA flowchart below.</w:t>
      </w:r>
    </w:p>
    <w:p>
      <w:pPr>
        <w:jc w:val="center"/>
      </w:pPr>
      <w:r>
        <w:rPr>
          <w:i/>
          <w:color w:val="5A6A7E"/>
          <w:sz w:val="16"/>
        </w:rPr>
        <w:t>Source: Wikimedia Commons, “Complete neuron cell diagram” by LadyofHats (Mariana Ruiz Villarreal). License: Public domain.</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and far from being mere packing, they shape how well neurons signal, which is why glial dysfunction now sits at the centre of our understanding of demyelinating and neurodegenerative disorders a clinical psychologist will meet.</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glia.png"/>
                    <pic:cNvPicPr/>
                  </pic:nvPicPr>
                  <pic:blipFill>
                    <a:blip r:embed="rId11"/>
                    <a:stretch>
                      <a:fillRect/>
                    </a:stretch>
                  </pic:blipFill>
                  <pic:spPr>
                    <a:xfrm>
                      <a:off x="0" y="0"/>
                      <a:ext cx="5029200" cy="4023360"/>
                    </a:xfrm>
                    <a:prstGeom prst="rect"/>
                  </pic:spPr>
                </pic:pic>
              </a:graphicData>
            </a:graphic>
          </wp:inline>
        </w:drawing>
      </w:r>
    </w:p>
    <w:p>
      <w:pPr>
        <w:jc w:val="center"/>
      </w:pPr>
      <w:r>
        <w:rPr>
          <w:i/>
          <w:color w:val="5A6A7E"/>
          <w:sz w:val="18"/>
        </w:rPr>
        <w:t>Figure 2. The main types of neuroglia shown together around neurons — astrocytes, oligodendrocytes, microglia and ependymal cells — matching the AOMRS mnemonic of glial jobs.</w:t>
      </w:r>
    </w:p>
    <w:p>
      <w:pPr>
        <w:jc w:val="center"/>
      </w:pPr>
      <w:r>
        <w:rPr>
          <w:i/>
          <w:color w:val="5A6A7E"/>
          <w:sz w:val="16"/>
        </w:rPr>
        <w:t>Source: Wikimedia Commons, “Blausen 0870 Types of Neuroglia” by BruceBlaus / Blausen.com staff (2014). License: CC BY 3.0.</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and understanding it explains one of the central puzzles of clinical neuroscience, namely why some psychiatric and neurological drugs reach the brain and work while others are turned away at the door.</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bbb.png"/>
                    <pic:cNvPicPr/>
                  </pic:nvPicPr>
                  <pic:blipFill>
                    <a:blip r:embed="rId12"/>
                    <a:stretch>
                      <a:fillRect/>
                    </a:stretch>
                  </pic:blipFill>
                  <pic:spPr>
                    <a:xfrm>
                      <a:off x="0" y="0"/>
                      <a:ext cx="5029200" cy="5029200"/>
                    </a:xfrm>
                    <a:prstGeom prst="rect"/>
                  </pic:spPr>
                </pic:pic>
              </a:graphicData>
            </a:graphic>
          </wp:inline>
        </w:drawing>
      </w:r>
    </w:p>
    <w:p>
      <w:pPr>
        <w:jc w:val="center"/>
      </w:pPr>
      <w:r>
        <w:rPr>
          <w:i/>
          <w:color w:val="5A6A7E"/>
          <w:sz w:val="18"/>
        </w:rPr>
        <w:t>Figure 3. The blood-brain barrier at a brain capillary — tightly joined endothelial cells wrapped by astrocyte end-feet form the selective gate described in the GUARD mnemonic.</w:t>
      </w:r>
    </w:p>
    <w:p>
      <w:pPr>
        <w:jc w:val="center"/>
      </w:pPr>
      <w:r>
        <w:rPr>
          <w:i/>
          <w:color w:val="5A6A7E"/>
          <w:sz w:val="16"/>
        </w:rPr>
        <w:t>Source: Wikimedia Commons, “Blood-Brain Barrier (NIH BioArt 688)” by Ryan Kissinger, NIH / NIAID (NIH BioArt). License: Public domain.</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and this baseline is worth mastering because psychoactive drugs, anaesthetics and ion imbalances all change behaviour by nudging this very voltage.</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and following its exact sequence of ion movements shows a clinical psychologist precisely where local anaesthetics, toxins and some drugs act to switch signalling on or off.</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jc w:val="center"/>
      </w:pPr>
      <w:r>
        <w:drawing>
          <wp:inline xmlns:a="http://schemas.openxmlformats.org/drawingml/2006/main" xmlns:pic="http://schemas.openxmlformats.org/drawingml/2006/picture">
            <wp:extent cx="5029200" cy="4971574"/>
            <wp:docPr id="4" name="Picture 4"/>
            <wp:cNvGraphicFramePr>
              <a:graphicFrameLocks noChangeAspect="1"/>
            </wp:cNvGraphicFramePr>
            <a:graphic>
              <a:graphicData uri="http://schemas.openxmlformats.org/drawingml/2006/picture">
                <pic:pic>
                  <pic:nvPicPr>
                    <pic:cNvPr id="0" name="action_potential.png"/>
                    <pic:cNvPicPr/>
                  </pic:nvPicPr>
                  <pic:blipFill>
                    <a:blip r:embed="rId13"/>
                    <a:stretch>
                      <a:fillRect/>
                    </a:stretch>
                  </pic:blipFill>
                  <pic:spPr>
                    <a:xfrm>
                      <a:off x="0" y="0"/>
                      <a:ext cx="5029200" cy="4971574"/>
                    </a:xfrm>
                    <a:prstGeom prst="rect"/>
                  </pic:spPr>
                </pic:pic>
              </a:graphicData>
            </a:graphic>
          </wp:inline>
        </w:drawing>
      </w:r>
    </w:p>
    <w:p>
      <w:pPr>
        <w:jc w:val="center"/>
      </w:pPr>
      <w:r>
        <w:rPr>
          <w:i/>
          <w:color w:val="5A6A7E"/>
          <w:sz w:val="18"/>
        </w:rPr>
        <w:t>Figure 4. The action-potential graph of membrane voltage against time, showing the threshold, the depolarising upstroke, repolarisation and the hyperpolarisation undershoot before the cell returns to rest.</w:t>
      </w:r>
    </w:p>
    <w:p>
      <w:pPr>
        <w:jc w:val="center"/>
      </w:pPr>
      <w:r>
        <w:rPr>
          <w:i/>
          <w:color w:val="5A6A7E"/>
          <w:sz w:val="16"/>
        </w:rPr>
        <w:t>Source: Wikimedia Commons, “Action potential” by Chris 73 / Diberri / tiZom. License: CC BY-SA 3.0.</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and because almost every psychiatric medication works here, the synapse is the single most important meeting point between the biology of behaviour and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jc w:val="center"/>
      </w:pPr>
      <w:r>
        <w:drawing>
          <wp:inline xmlns:a="http://schemas.openxmlformats.org/drawingml/2006/main" xmlns:pic="http://schemas.openxmlformats.org/drawingml/2006/picture">
            <wp:extent cx="5029200" cy="6268010"/>
            <wp:docPr id="5" name="Picture 5"/>
            <wp:cNvGraphicFramePr>
              <a:graphicFrameLocks noChangeAspect="1"/>
            </wp:cNvGraphicFramePr>
            <a:graphic>
              <a:graphicData uri="http://schemas.openxmlformats.org/drawingml/2006/picture">
                <pic:pic>
                  <pic:nvPicPr>
                    <pic:cNvPr id="0" name="synapse.jpg"/>
                    <pic:cNvPicPr/>
                  </pic:nvPicPr>
                  <pic:blipFill>
                    <a:blip r:embed="rId14"/>
                    <a:stretch>
                      <a:fillRect/>
                    </a:stretch>
                  </pic:blipFill>
                  <pic:spPr>
                    <a:xfrm>
                      <a:off x="0" y="0"/>
                      <a:ext cx="5029200" cy="6268010"/>
                    </a:xfrm>
                    <a:prstGeom prst="rect"/>
                  </pic:spPr>
                </pic:pic>
              </a:graphicData>
            </a:graphic>
          </wp:inline>
        </w:drawing>
      </w:r>
    </w:p>
    <w:p>
      <w:pPr>
        <w:jc w:val="center"/>
      </w:pPr>
      <w:r>
        <w:rPr>
          <w:i/>
          <w:color w:val="5A6A7E"/>
          <w:sz w:val="18"/>
        </w:rPr>
        <w:t>Figure 5. A chemical synapse, showing the presynaptic terminal with neurotransmitter-filled vesicles, the synaptic cleft and the receptors on the postsynaptic membrane — the sequence set out in the flowchart below.</w:t>
      </w:r>
    </w:p>
    <w:p>
      <w:pPr>
        <w:jc w:val="center"/>
      </w:pPr>
      <w:r>
        <w:rPr>
          <w:i/>
          <w:color w:val="5A6A7E"/>
          <w:sz w:val="16"/>
        </w:rPr>
        <w:t>Source: Wikimedia Commons, “Chemical synapse schema (cropped)” by User:Looie496, illustrated by Christy Krames for the US NIH / National Institute on Aging. License: Public domain.</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and this broader, slower chemistry is what links the nervous and endocrine systems to lasting states such as stress, mood, sleep and arousal that are central to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Figure image sources (online)</w:t>
      </w:r>
    </w:p>
    <w:p>
      <w:pPr>
        <w:pStyle w:val="ListBullet"/>
      </w:pPr>
      <w:r>
        <w:t>Figure 1 — Wikimedia Commons, “Complete neuron cell diagram” by LadyofHats (Mariana Ruiz Villarreal). License: Public domain. Via Wikimedia Commons.</w:t>
      </w:r>
    </w:p>
    <w:p>
      <w:pPr>
        <w:pStyle w:val="ListBullet"/>
      </w:pPr>
      <w:r>
        <w:t>Figure 2 — Wikimedia Commons, “Blausen 0870 Types of Neuroglia” by BruceBlaus / Blausen.com staff (2014). License: CC BY 3.0. Via Wikimedia Commons.</w:t>
      </w:r>
    </w:p>
    <w:p>
      <w:pPr>
        <w:pStyle w:val="ListBullet"/>
      </w:pPr>
      <w:r>
        <w:t>Figure 3 — Wikimedia Commons, “Blood-Brain Barrier (NIH BioArt 688)” by Ryan Kissinger, NIH / NIAID (NIH BioArt). License: Public domain. Via Wikimedia Commons.</w:t>
      </w:r>
    </w:p>
    <w:p>
      <w:pPr>
        <w:pStyle w:val="ListBullet"/>
      </w:pPr>
      <w:r>
        <w:t>Figure 4 — Wikimedia Commons, “Action potential” by Chris 73 / Diberri / tiZom. License: CC BY-SA 3.0. Via Wikimedia Commons.</w:t>
      </w:r>
    </w:p>
    <w:p>
      <w:pPr>
        <w:pStyle w:val="ListBullet"/>
      </w:pPr>
      <w:r>
        <w:t>Figure 5 — Wikimedia Commons, “Chemical synapse schema (cropped)” by User:Looie496, illustrated by Christy Krames for the US NIH / National Institute on Aging. License: Public domain. Via Wikimedia Commons.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