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PSYCHOLOGICAL ASSESSMENT REPORT</w:t>
      </w:r>
    </w:p>
    <w:p/>
    <w:p>
      <w:pPr>
        <w:spacing w:before="200" w:after="80"/>
      </w:pPr>
      <w:r>
        <w:rPr>
          <w:b/>
          <w:sz w:val="26"/>
        </w:rPr>
        <w:t>SOCIO-DEMOGRAPHIC DETAILS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Particulars</w:t>
            </w:r>
          </w:p>
        </w:tc>
        <w:tc>
          <w:tcPr>
            <w:tcW w:type="dxa" w:w="4320"/>
          </w:tcPr>
          <w:p>
            <w:r/>
            <w:r>
              <w:rPr>
                <w:b/>
              </w:rPr>
              <w:t>Details</w:t>
            </w:r>
          </w:p>
        </w:tc>
      </w:tr>
      <w:tr>
        <w:tc>
          <w:tcPr>
            <w:tcW w:type="dxa" w:w="4320"/>
          </w:tcPr>
          <w:p>
            <w:r>
              <w:t>Name</w:t>
            </w:r>
          </w:p>
        </w:tc>
        <w:tc>
          <w:tcPr>
            <w:tcW w:type="dxa" w:w="4320"/>
          </w:tcPr>
          <w:p>
            <w:r>
              <w:t>Nikita Prajapati</w:t>
            </w:r>
          </w:p>
        </w:tc>
      </w:tr>
      <w:tr>
        <w:tc>
          <w:tcPr>
            <w:tcW w:type="dxa" w:w="4320"/>
          </w:tcPr>
          <w:p>
            <w:r>
              <w:t>Age</w:t>
            </w:r>
          </w:p>
        </w:tc>
        <w:tc>
          <w:tcPr>
            <w:tcW w:type="dxa" w:w="4320"/>
          </w:tcPr>
          <w:p>
            <w:r>
              <w:t>18 years</w:t>
            </w:r>
          </w:p>
        </w:tc>
      </w:tr>
      <w:tr>
        <w:tc>
          <w:tcPr>
            <w:tcW w:type="dxa" w:w="4320"/>
          </w:tcPr>
          <w:p>
            <w:r>
              <w:t>Gender</w:t>
            </w:r>
          </w:p>
        </w:tc>
        <w:tc>
          <w:tcPr>
            <w:tcW w:type="dxa" w:w="4320"/>
          </w:tcPr>
          <w:p>
            <w:r>
              <w:t>Female</w:t>
            </w:r>
          </w:p>
        </w:tc>
      </w:tr>
      <w:tr>
        <w:tc>
          <w:tcPr>
            <w:tcW w:type="dxa" w:w="4320"/>
          </w:tcPr>
          <w:p>
            <w:r>
              <w:t>Date of Birth</w:t>
            </w:r>
          </w:p>
        </w:tc>
        <w:tc>
          <w:tcPr>
            <w:tcW w:type="dxa" w:w="4320"/>
          </w:tcPr>
          <w:p>
            <w:r>
              <w:t>01/01/2007</w:t>
            </w:r>
          </w:p>
        </w:tc>
      </w:tr>
      <w:tr>
        <w:tc>
          <w:tcPr>
            <w:tcW w:type="dxa" w:w="4320"/>
          </w:tcPr>
          <w:p>
            <w:r>
              <w:t>Education</w:t>
            </w:r>
          </w:p>
        </w:tc>
        <w:tc>
          <w:tcPr>
            <w:tcW w:type="dxa" w:w="4320"/>
          </w:tcPr>
          <w:p>
            <w:r>
              <w:t>No Formal Education</w:t>
            </w:r>
          </w:p>
        </w:tc>
      </w:tr>
      <w:tr>
        <w:tc>
          <w:tcPr>
            <w:tcW w:type="dxa" w:w="4320"/>
          </w:tcPr>
          <w:p>
            <w:r>
              <w:t>Occupation</w:t>
            </w:r>
          </w:p>
        </w:tc>
        <w:tc>
          <w:tcPr>
            <w:tcW w:type="dxa" w:w="4320"/>
          </w:tcPr>
          <w:p>
            <w:r>
              <w:t>Unemployed</w:t>
            </w:r>
          </w:p>
        </w:tc>
      </w:tr>
      <w:tr>
        <w:tc>
          <w:tcPr>
            <w:tcW w:type="dxa" w:w="4320"/>
          </w:tcPr>
          <w:p>
            <w:r>
              <w:t>Marital Status</w:t>
            </w:r>
          </w:p>
        </w:tc>
        <w:tc>
          <w:tcPr>
            <w:tcW w:type="dxa" w:w="4320"/>
          </w:tcPr>
          <w:p>
            <w:r>
              <w:t>Unmarried</w:t>
            </w:r>
          </w:p>
        </w:tc>
      </w:tr>
      <w:tr>
        <w:tc>
          <w:tcPr>
            <w:tcW w:type="dxa" w:w="4320"/>
          </w:tcPr>
          <w:p>
            <w:r>
              <w:t>Religion</w:t>
            </w:r>
          </w:p>
        </w:tc>
        <w:tc>
          <w:tcPr>
            <w:tcW w:type="dxa" w:w="4320"/>
          </w:tcPr>
          <w:p>
            <w:r>
              <w:t>Hindu</w:t>
            </w:r>
          </w:p>
        </w:tc>
      </w:tr>
      <w:tr>
        <w:tc>
          <w:tcPr>
            <w:tcW w:type="dxa" w:w="4320"/>
          </w:tcPr>
          <w:p>
            <w:r>
              <w:t>Socio-economic Status</w:t>
            </w:r>
          </w:p>
        </w:tc>
        <w:tc>
          <w:tcPr>
            <w:tcW w:type="dxa" w:w="4320"/>
          </w:tcPr>
          <w:p>
            <w:r>
              <w:t>Low SES</w:t>
            </w:r>
          </w:p>
        </w:tc>
      </w:tr>
      <w:tr>
        <w:tc>
          <w:tcPr>
            <w:tcW w:type="dxa" w:w="4320"/>
          </w:tcPr>
          <w:p>
            <w:r>
              <w:t>OPD No.</w:t>
            </w:r>
          </w:p>
        </w:tc>
        <w:tc>
          <w:tcPr>
            <w:tcW w:type="dxa" w:w="4320"/>
          </w:tcPr>
          <w:p>
            <w:r>
              <w:t>260004500</w:t>
            </w:r>
          </w:p>
        </w:tc>
      </w:tr>
      <w:tr>
        <w:tc>
          <w:tcPr>
            <w:tcW w:type="dxa" w:w="4320"/>
          </w:tcPr>
          <w:p>
            <w:r>
              <w:t>Address</w:t>
            </w:r>
          </w:p>
        </w:tc>
        <w:tc>
          <w:tcPr>
            <w:tcW w:type="dxa" w:w="4320"/>
          </w:tcPr>
          <w:p>
            <w:r>
              <w:t>Penchi, Guna</w:t>
            </w:r>
          </w:p>
        </w:tc>
      </w:tr>
      <w:tr>
        <w:tc>
          <w:tcPr>
            <w:tcW w:type="dxa" w:w="4320"/>
          </w:tcPr>
          <w:p>
            <w:r>
              <w:t>Test administered on</w:t>
            </w:r>
          </w:p>
        </w:tc>
        <w:tc>
          <w:tcPr>
            <w:tcW w:type="dxa" w:w="4320"/>
          </w:tcPr>
          <w:p>
            <w:r>
              <w:t>30/01/2026</w:t>
            </w:r>
          </w:p>
        </w:tc>
      </w:tr>
      <w:tr>
        <w:tc>
          <w:tcPr>
            <w:tcW w:type="dxa" w:w="4320"/>
          </w:tcPr>
          <w:p>
            <w:r>
              <w:t>Reason for testing</w:t>
            </w:r>
          </w:p>
        </w:tc>
        <w:tc>
          <w:tcPr>
            <w:tcW w:type="dxa" w:w="4320"/>
          </w:tcPr>
          <w:p>
            <w:r>
              <w:t>Evaluation of Intellectual Disability</w:t>
            </w:r>
          </w:p>
        </w:tc>
      </w:tr>
      <w:tr>
        <w:tc>
          <w:tcPr>
            <w:tcW w:type="dxa" w:w="4320"/>
          </w:tcPr>
          <w:p>
            <w:r>
              <w:t>Case worked up by</w:t>
            </w:r>
          </w:p>
        </w:tc>
        <w:tc>
          <w:tcPr>
            <w:tcW w:type="dxa" w:w="4320"/>
          </w:tcPr>
          <w:p>
            <w:r>
              <w:t>Avani Shah (M.Phil. 1st year trainee)</w:t>
            </w:r>
          </w:p>
        </w:tc>
      </w:tr>
      <w:tr>
        <w:tc>
          <w:tcPr>
            <w:tcW w:type="dxa" w:w="4320"/>
          </w:tcPr>
          <w:p>
            <w:r>
              <w:t>Supervised by</w:t>
            </w:r>
          </w:p>
        </w:tc>
        <w:tc>
          <w:tcPr>
            <w:tcW w:type="dxa" w:w="4320"/>
          </w:tcPr>
          <w:p>
            <w:r>
              <w:t>Ms. Samriddhi Oli (Assistant Professor)</w:t>
            </w:r>
          </w:p>
        </w:tc>
      </w:tr>
    </w:tbl>
    <w:p/>
    <w:p>
      <w:pPr>
        <w:spacing w:before="200" w:after="80"/>
      </w:pPr>
      <w:r>
        <w:rPr>
          <w:b/>
          <w:sz w:val="24"/>
        </w:rPr>
        <w:t>INFORMANT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Name</w:t>
            </w:r>
          </w:p>
        </w:tc>
        <w:tc>
          <w:tcPr>
            <w:tcW w:type="dxa" w:w="2880"/>
          </w:tcPr>
          <w:p>
            <w:r/>
            <w:r>
              <w:rPr>
                <w:b/>
              </w:rPr>
              <w:t>Relationship</w:t>
            </w:r>
          </w:p>
        </w:tc>
        <w:tc>
          <w:tcPr>
            <w:tcW w:type="dxa" w:w="2880"/>
          </w:tcPr>
          <w:p>
            <w:r/>
            <w:r>
              <w:rPr>
                <w:b/>
              </w:rPr>
              <w:t>Duration</w:t>
            </w:r>
          </w:p>
        </w:tc>
      </w:tr>
      <w:tr>
        <w:tc>
          <w:tcPr>
            <w:tcW w:type="dxa" w:w="2880"/>
          </w:tcPr>
          <w:p>
            <w:r>
              <w:t>Morebai Prajapati</w:t>
            </w:r>
          </w:p>
        </w:tc>
        <w:tc>
          <w:tcPr>
            <w:tcW w:type="dxa" w:w="2880"/>
          </w:tcPr>
          <w:p>
            <w:r>
              <w:t>Mother</w:t>
            </w:r>
          </w:p>
        </w:tc>
        <w:tc>
          <w:tcPr>
            <w:tcW w:type="dxa" w:w="2880"/>
          </w:tcPr>
          <w:p>
            <w:r>
              <w:t>Since birth</w:t>
            </w:r>
          </w:p>
        </w:tc>
      </w:tr>
    </w:tbl>
    <w:p>
      <w:pPr>
        <w:spacing w:after="80"/>
      </w:pPr>
      <w:r>
        <w:t>The information provided by the informant was considered reliable and adequate.</w:t>
      </w:r>
    </w:p>
    <w:p>
      <w:pPr>
        <w:spacing w:before="200" w:after="80"/>
      </w:pPr>
      <w:r>
        <w:rPr>
          <w:b/>
          <w:sz w:val="26"/>
        </w:rPr>
        <w:t>CHIEF COMPLAINTS (as per informant)</w:t>
      </w:r>
    </w:p>
    <w:p>
      <w:pPr>
        <w:spacing w:after="80"/>
      </w:pPr>
      <w:r>
        <w:t>Since birth:</w:t>
      </w:r>
    </w:p>
    <w:p>
      <w:pPr>
        <w:pStyle w:val="ListParagraph"/>
        <w:spacing w:after="40"/>
        <w:ind w:left="360"/>
      </w:pPr>
      <w:r>
        <w:t>•  Low academic understanding and poor communication skills</w:t>
      </w:r>
    </w:p>
    <w:p>
      <w:pPr>
        <w:spacing w:after="80"/>
      </w:pPr>
      <w:r>
        <w:t>Since the past 15 days (current episode), present for about 15 days every month over the past one year:</w:t>
      </w:r>
    </w:p>
    <w:p>
      <w:pPr>
        <w:pStyle w:val="ListParagraph"/>
        <w:spacing w:after="40"/>
        <w:ind w:left="360"/>
      </w:pPr>
      <w:r>
        <w:t>•  Over-talkativeness</w:t>
      </w:r>
    </w:p>
    <w:p>
      <w:pPr>
        <w:pStyle w:val="ListParagraph"/>
        <w:spacing w:after="40"/>
        <w:ind w:left="360"/>
      </w:pPr>
      <w:r>
        <w:t>•  Wandering around the house</w:t>
      </w:r>
    </w:p>
    <w:p>
      <w:pPr>
        <w:pStyle w:val="ListParagraph"/>
        <w:spacing w:after="40"/>
        <w:ind w:left="360"/>
      </w:pPr>
      <w:r>
        <w:t>•  Anger outbursts</w:t>
      </w:r>
    </w:p>
    <w:p>
      <w:pPr>
        <w:pStyle w:val="ListParagraph"/>
        <w:spacing w:after="40"/>
        <w:ind w:left="360"/>
      </w:pPr>
      <w:r>
        <w:t>•  Sleep disturbances and poor appetite</w:t>
      </w:r>
    </w:p>
    <w:p>
      <w:pPr>
        <w:spacing w:before="200" w:after="80"/>
      </w:pPr>
      <w:r>
        <w:rPr>
          <w:b/>
          <w:sz w:val="26"/>
        </w:rPr>
        <w:t>HISTORY OF PRESENT ILLNESS</w:t>
      </w:r>
    </w:p>
    <w:p>
      <w:pPr>
        <w:spacing w:after="40"/>
      </w:pPr>
      <w:r>
        <w:rPr>
          <w:b/>
        </w:rPr>
        <w:t xml:space="preserve">Total Duration: </w:t>
      </w:r>
      <w:r>
        <w:t>Since birth (intellectual difficulties); manic/affective symptoms for the past one year, current episode for the past 15 days.</w:t>
      </w:r>
    </w:p>
    <w:p>
      <w:pPr>
        <w:spacing w:after="40"/>
      </w:pPr>
      <w:r>
        <w:rPr>
          <w:b/>
        </w:rPr>
        <w:t xml:space="preserve">Onset: </w:t>
      </w:r>
      <w:r>
        <w:t>Insidious.</w:t>
      </w:r>
    </w:p>
    <w:p>
      <w:pPr>
        <w:spacing w:after="40"/>
      </w:pPr>
      <w:r>
        <w:rPr>
          <w:b/>
        </w:rPr>
        <w:t xml:space="preserve">Course: </w:t>
      </w:r>
      <w:r>
        <w:t>Intellectual disability has been chronic and continuous since early childhood; the affective (manic) symptoms have followed an episodic course over the past one year.</w:t>
      </w:r>
    </w:p>
    <w:p>
      <w:pPr>
        <w:spacing w:after="40"/>
      </w:pPr>
      <w:r>
        <w:rPr>
          <w:b/>
        </w:rPr>
        <w:t xml:space="preserve">Progress: </w:t>
      </w:r>
      <w:r>
        <w:t>Intellectual functioning has remained static (no improvement and no deterioration); affective symptoms are episodic, recurring for approximately 15 days every month with return to baseline in between.</w:t>
      </w:r>
    </w:p>
    <w:p>
      <w:pPr>
        <w:spacing w:after="40"/>
      </w:pPr>
      <w:r>
        <w:rPr>
          <w:b/>
        </w:rPr>
        <w:t xml:space="preserve">Predisposing Factor: </w:t>
      </w:r>
      <w:r>
        <w:t>Delayed developmental milestones.</w:t>
      </w:r>
    </w:p>
    <w:p>
      <w:pPr>
        <w:spacing w:after="40"/>
      </w:pPr>
      <w:r>
        <w:rPr>
          <w:b/>
        </w:rPr>
        <w:t xml:space="preserve">Precipitating Factor: </w:t>
      </w:r>
      <w:r>
        <w:t>Could not be clearly elicited.</w:t>
      </w:r>
    </w:p>
    <w:p>
      <w:pPr>
        <w:spacing w:after="40"/>
      </w:pPr>
      <w:r>
        <w:rPr>
          <w:b/>
        </w:rPr>
        <w:t xml:space="preserve">Perpetuating Factor: </w:t>
      </w:r>
      <w:r>
        <w:t>Poor medical compliance, poor family support, and limited family insight into the illness.</w:t>
      </w:r>
    </w:p>
    <w:p>
      <w:pPr>
        <w:spacing w:after="80"/>
      </w:pPr>
      <w:r>
        <w:t>Index patient, N.P., is an 18-year-old unmarried Hindu female with no formal education, belonging to a low socio-economic background, residing in Guna. She presented with chief complaints of poor understanding of academics and social situations since early childhood, along with over-talkativeness, poor sleep, poor appetite, and wandering around the house over the past one year, with the current episode present for the past 15 days. The informant was considered reliable, and the information obtained was largely consistent.</w:t>
      </w:r>
    </w:p>
    <w:p>
      <w:pPr>
        <w:spacing w:after="80"/>
      </w:pPr>
      <w:r>
        <w:t>According to the informant, the patient was born with low birth weight through a full-term (nine months) normal hospital delivery and was kept under observation for three days after birth. All her developmental milestones were delayed. Since childhood, she has had difficulty following instructions and understanding academics, and is unable to play games involving rules. She has poor self-care skills, is unable to clean herself properly, particularly during menstruation, and at times removes her clothes in inappropriate places. She has difficulty understanding social situations, is unable to tell time by looking at a clock, does not perform any household work, and cannot read or write. She is unable to handle money independently. Since early childhood, she has shown behaviours such as lying, stealing, and cruelty towards animals.</w:t>
      </w:r>
    </w:p>
    <w:p>
      <w:pPr>
        <w:spacing w:after="80"/>
      </w:pPr>
      <w:r>
        <w:t>Over the past one year, a change in her behaviour was noticed. She began talking excessively, with speech that is loud, fast, and often irrelevant, illogical, and inconsistent, and she tends to exaggerate information. Her sleep and appetite became markedly reduced. She frequently runs around the house, becomes physically aggressive without clear reason, hits family members, and throws objects when angry.</w:t>
      </w:r>
    </w:p>
    <w:p>
      <w:pPr>
        <w:spacing w:after="80"/>
      </w:pPr>
      <w:r>
        <w:t>The informant reports that these symptoms occur for about 15 days every month, following which the patient returns to her usual baseline level of functioning. This pattern has been present for the past one year.</w:t>
      </w:r>
    </w:p>
    <w:p>
      <w:pPr>
        <w:spacing w:after="40"/>
      </w:pPr>
      <w:r>
        <w:rPr>
          <w:b/>
        </w:rPr>
        <w:t xml:space="preserve">Reason for Consultation: </w:t>
      </w:r>
      <w:r>
        <w:t>The family reported primarily for issuance of an Intellectual Disability certificate in order to avail government aid. The patient reported to MAN Hospital on 21st January 2026 and was admitted to the District Hospital, Guna on 27th January 2026 in view of the over-talkativeness and behavioural disturbance.</w:t>
      </w:r>
    </w:p>
    <w:p>
      <w:pPr>
        <w:spacing w:before="200" w:after="80"/>
      </w:pPr>
      <w:r>
        <w:rPr>
          <w:b/>
          <w:sz w:val="26"/>
        </w:rPr>
        <w:t>BIOLOGICAL FUNCTIONING</w:t>
      </w:r>
    </w:p>
    <w:p>
      <w:pPr>
        <w:spacing w:after="80"/>
      </w:pPr>
      <w:r>
        <w:t>The patient's biological functioning shows disturbances. Sleep has been reduced over the past 15 days. Appetite is poor. Menstruation has been irregular, with no menstrual bleeding reported over the past 15 days, and she is unable to maintain personal hygiene during her periods. With respect to bladder functioning, she frequently reports an urge to use the washroom but often does not actually pass urine, suggesting poor bladder control and regulation. Sexual behaviour is reported to be socially inappropriate. Occupational functioning is impaired, as she is not engaged in any formal occupation and does not perform household chores.</w:t>
      </w:r>
    </w:p>
    <w:p>
      <w:pPr>
        <w:spacing w:before="200" w:after="80"/>
      </w:pPr>
      <w:r>
        <w:rPr>
          <w:b/>
          <w:sz w:val="26"/>
        </w:rPr>
        <w:t>NEGATIVE HISTORY</w:t>
      </w:r>
    </w:p>
    <w:p>
      <w:pPr>
        <w:pStyle w:val="ListParagraph"/>
        <w:spacing w:after="40"/>
        <w:ind w:left="360"/>
      </w:pPr>
      <w:r>
        <w:t>•  No history suggestive of epilepsy, seizures, head injury, or loss of consciousness.</w:t>
      </w:r>
    </w:p>
    <w:p>
      <w:pPr>
        <w:pStyle w:val="ListParagraph"/>
        <w:spacing w:after="40"/>
        <w:ind w:left="360"/>
      </w:pPr>
      <w:r>
        <w:t>•  No history suggestive of intake of any substance including alcohol, tobacco, nicotine, caffeine, or any other drugs, or of dependence or withdrawal.</w:t>
      </w:r>
    </w:p>
    <w:p>
      <w:pPr>
        <w:pStyle w:val="ListParagraph"/>
        <w:spacing w:after="40"/>
        <w:ind w:left="360"/>
      </w:pPr>
      <w:r>
        <w:t>•  No history suggestive of hallucinations, delusions, or other psychotic thought disturbances.</w:t>
      </w:r>
    </w:p>
    <w:p>
      <w:pPr>
        <w:pStyle w:val="ListParagraph"/>
        <w:spacing w:after="40"/>
        <w:ind w:left="360"/>
      </w:pPr>
      <w:r>
        <w:t>•  No history suggestive of persistent sadness, anhedonia, or other depressive features.</w:t>
      </w:r>
    </w:p>
    <w:p>
      <w:pPr>
        <w:pStyle w:val="ListParagraph"/>
        <w:spacing w:after="40"/>
        <w:ind w:left="360"/>
      </w:pPr>
      <w:r>
        <w:t>•  No history suggestive of generalized worry, panic, or phobic avoidance.</w:t>
      </w:r>
    </w:p>
    <w:p>
      <w:pPr>
        <w:pStyle w:val="ListParagraph"/>
        <w:spacing w:after="40"/>
        <w:ind w:left="360"/>
      </w:pPr>
      <w:r>
        <w:t>•  No history suggestive of intrusive thoughts, repetitive behaviours, or dissociative episodes.</w:t>
      </w:r>
    </w:p>
    <w:p>
      <w:pPr>
        <w:pStyle w:val="ListParagraph"/>
        <w:spacing w:after="40"/>
        <w:ind w:left="360"/>
      </w:pPr>
      <w:r>
        <w:t>•  No history suggestive of disturbed eating pattern or body-image disturbance.</w:t>
      </w:r>
    </w:p>
    <w:p>
      <w:pPr>
        <w:pStyle w:val="ListParagraph"/>
        <w:spacing w:after="40"/>
        <w:ind w:left="360"/>
      </w:pPr>
      <w:r>
        <w:t>•  No history suggestive of disorientation.</w:t>
      </w:r>
    </w:p>
    <w:p>
      <w:pPr>
        <w:pStyle w:val="ListParagraph"/>
        <w:spacing w:after="40"/>
        <w:ind w:left="360"/>
      </w:pPr>
      <w:r>
        <w:t>•  No history suggestive of suicidal ideation, suicidal attempt, or any self-harm behaviour.</w:t>
      </w:r>
    </w:p>
    <w:p>
      <w:pPr>
        <w:pStyle w:val="ListParagraph"/>
        <w:spacing w:after="40"/>
        <w:ind w:left="360"/>
      </w:pPr>
      <w:r>
        <w:t>•  No history suggestive of homicidal ideation.</w:t>
      </w:r>
    </w:p>
    <w:p>
      <w:pPr>
        <w:spacing w:before="200" w:after="80"/>
      </w:pPr>
      <w:r>
        <w:rPr>
          <w:b/>
          <w:sz w:val="26"/>
        </w:rPr>
        <w:t>TREATMENT HISTORY</w:t>
      </w:r>
    </w:p>
    <w:p>
      <w:pPr>
        <w:spacing w:after="40"/>
      </w:pPr>
      <w:r>
        <w:rPr>
          <w:b/>
        </w:rPr>
        <w:t xml:space="preserve">Past Medical History: </w:t>
      </w:r>
      <w:r>
        <w:t>No significant past medical illness reported.</w:t>
      </w:r>
    </w:p>
    <w:p>
      <w:pPr>
        <w:spacing w:after="40"/>
      </w:pPr>
      <w:r>
        <w:rPr>
          <w:b/>
        </w:rPr>
        <w:t xml:space="preserve">Past Psychiatric History: </w:t>
      </w:r>
      <w:r>
        <w:t>No significant past psychiatric treatment history reported.</w:t>
      </w:r>
    </w:p>
    <w:p>
      <w:pPr>
        <w:spacing w:before="200" w:after="80"/>
      </w:pPr>
      <w:r>
        <w:rPr>
          <w:b/>
          <w:sz w:val="26"/>
        </w:rPr>
        <w:t>FAMILY HISTORY</w:t>
      </w:r>
    </w:p>
    <w:p>
      <w:pPr>
        <w:spacing w:after="40"/>
      </w:pPr>
      <w:r>
        <w:rPr>
          <w:b/>
        </w:rPr>
        <w:t xml:space="preserve">Family History of Medical/Psychiatric Disorders: </w:t>
      </w:r>
      <w:r>
        <w:t>No significant family history of medical or psychiatric illness reported.</w:t>
      </w:r>
    </w:p>
    <w:p>
      <w:pPr>
        <w:spacing w:after="40"/>
      </w:pPr>
      <w:r>
        <w:rPr>
          <w:b/>
        </w:rPr>
        <w:t xml:space="preserve">Living Arrangement: </w:t>
      </w:r>
      <w:r>
        <w:t>Lives with parents and siblings in a nuclear family.</w:t>
      </w:r>
    </w:p>
    <w:p>
      <w:pPr>
        <w:spacing w:after="40"/>
      </w:pPr>
      <w:r>
        <w:rPr>
          <w:b/>
        </w:rPr>
        <w:t xml:space="preserve">Primary Caregiver: </w:t>
      </w:r>
      <w:r>
        <w:t>Father and mother.</w:t>
      </w:r>
    </w:p>
    <w:p>
      <w:pPr>
        <w:spacing w:after="40"/>
      </w:pPr>
      <w:r>
        <w:rPr>
          <w:b/>
        </w:rPr>
        <w:t xml:space="preserve">Type of Communication: </w:t>
      </w:r>
      <w:r>
        <w:t>Communication within the family is avoidant.</w:t>
      </w:r>
    </w:p>
    <w:p>
      <w:pPr>
        <w:spacing w:after="40"/>
      </w:pPr>
      <w:r>
        <w:rPr>
          <w:b/>
        </w:rPr>
        <w:t xml:space="preserve">Family Understanding of Illness: </w:t>
      </w:r>
      <w:r>
        <w:t>Family has poor understanding of the illness.</w:t>
      </w:r>
    </w:p>
    <w:p>
      <w:pPr>
        <w:spacing w:after="40"/>
      </w:pPr>
      <w:r>
        <w:rPr>
          <w:b/>
        </w:rPr>
        <w:t xml:space="preserve">Family Members' Attitude Towards Patient: </w:t>
      </w:r>
      <w:r>
        <w:t>Rejecting and indifferent.</w:t>
      </w:r>
    </w:p>
    <w:p>
      <w:pPr>
        <w:spacing w:after="40"/>
      </w:pPr>
      <w:r>
        <w:rPr>
          <w:b/>
        </w:rPr>
        <w:t xml:space="preserve">Family Stressors and Discords: </w:t>
      </w:r>
      <w:r>
        <w:t>Significant financial stress and caregiver burden related to the patient's intellectual disability.</w:t>
      </w:r>
    </w:p>
    <w:p>
      <w:pPr>
        <w:spacing w:before="200" w:after="80"/>
      </w:pPr>
      <w:r>
        <w:rPr>
          <w:b/>
          <w:sz w:val="26"/>
        </w:rPr>
        <w:t>PERSONAL HISTORY</w:t>
      </w:r>
    </w:p>
    <w:p>
      <w:pPr>
        <w:spacing w:after="40"/>
      </w:pPr>
      <w:r>
        <w:rPr>
          <w:b/>
        </w:rPr>
        <w:t xml:space="preserve">Birth and Early Development: </w:t>
      </w:r>
      <w:r>
        <w:t>Born of a full-term (nine months) gestation through normal hospital delivery, with low birth weight; kept under observation for three days after birth.</w:t>
      </w:r>
    </w:p>
    <w:p>
      <w:pPr>
        <w:spacing w:after="40"/>
      </w:pPr>
      <w:r>
        <w:rPr>
          <w:b/>
        </w:rPr>
        <w:t xml:space="preserve">Developmental Milestones: </w:t>
      </w:r>
      <w:r>
        <w:t>All developmental milestones (motor, speech, language, and self-care) were delayed.</w:t>
      </w:r>
    </w:p>
    <w:p>
      <w:pPr>
        <w:spacing w:after="40"/>
      </w:pPr>
      <w:r>
        <w:rPr>
          <w:b/>
        </w:rPr>
        <w:t xml:space="preserve">Behaviour During Childhood: </w:t>
      </w:r>
      <w:r>
        <w:t>Frequent temper tantrums and nail biting were reported, along with lying and stealing.</w:t>
      </w:r>
    </w:p>
    <w:p>
      <w:pPr>
        <w:spacing w:after="40"/>
      </w:pPr>
      <w:r>
        <w:rPr>
          <w:b/>
        </w:rPr>
        <w:t xml:space="preserve">Physical Illness During Childhood: </w:t>
      </w:r>
      <w:r>
        <w:t>No chronic physical illness reported. Cruelty towards animals was noted from an early age.</w:t>
      </w:r>
    </w:p>
    <w:p>
      <w:pPr>
        <w:spacing w:after="40"/>
      </w:pPr>
      <w:r>
        <w:rPr>
          <w:b/>
        </w:rPr>
        <w:t xml:space="preserve">Home Atmosphere: </w:t>
      </w:r>
      <w:r>
        <w:t>Reported to be conflictual, with frequent fights among siblings.</w:t>
      </w:r>
    </w:p>
    <w:p>
      <w:pPr>
        <w:spacing w:after="40"/>
      </w:pPr>
      <w:r>
        <w:rPr>
          <w:b/>
        </w:rPr>
        <w:t xml:space="preserve">Scholastic and Extracurricular Activities: </w:t>
      </w:r>
      <w:r>
        <w:t>No formal education; no involvement in structured or extracurricular activities. She is frequently observed running around the house.</w:t>
      </w:r>
    </w:p>
    <w:p>
      <w:pPr>
        <w:spacing w:after="40"/>
      </w:pPr>
      <w:r>
        <w:rPr>
          <w:b/>
        </w:rPr>
        <w:t xml:space="preserve">Menstrual History: </w:t>
      </w:r>
      <w:r>
        <w:t>Menarche attained at the age of 13 years, with a regular five-day cycle; however, she is unable to maintain hygiene during menstruation.</w:t>
      </w:r>
    </w:p>
    <w:p>
      <w:pPr>
        <w:spacing w:after="40"/>
      </w:pPr>
      <w:r>
        <w:rPr>
          <w:b/>
        </w:rPr>
        <w:t xml:space="preserve">Sexual History: </w:t>
      </w:r>
      <w:r>
        <w:t>Socially inappropriate behaviour reported, including removing clothes in front of others.</w:t>
      </w:r>
    </w:p>
    <w:p>
      <w:pPr>
        <w:spacing w:after="40"/>
      </w:pPr>
      <w:r>
        <w:rPr>
          <w:b/>
        </w:rPr>
        <w:t xml:space="preserve">Substance Use History: </w:t>
      </w:r>
      <w:r>
        <w:t>No history of substance use reported.</w:t>
      </w:r>
    </w:p>
    <w:p>
      <w:pPr>
        <w:spacing w:after="40"/>
      </w:pPr>
      <w:r>
        <w:rPr>
          <w:b/>
        </w:rPr>
        <w:t xml:space="preserve">Forensic History: </w:t>
      </w:r>
      <w:r>
        <w:t>No significant forensic history reported.</w:t>
      </w:r>
    </w:p>
    <w:p>
      <w:pPr>
        <w:spacing w:after="40"/>
      </w:pPr>
      <w:r>
        <w:rPr>
          <w:b/>
        </w:rPr>
        <w:t xml:space="preserve">General Pattern of Living: </w:t>
      </w:r>
      <w:r>
        <w:t>Largely dependent on caregivers for routine functioning. She holds fluctuating beliefs in magic and God.</w:t>
      </w:r>
    </w:p>
    <w:p>
      <w:pPr>
        <w:spacing w:before="200" w:after="80"/>
      </w:pPr>
      <w:r>
        <w:rPr>
          <w:b/>
          <w:sz w:val="26"/>
        </w:rPr>
        <w:t>PREMORBID FUNCTIONING</w:t>
      </w:r>
    </w:p>
    <w:p>
      <w:pPr>
        <w:spacing w:after="80"/>
      </w:pPr>
      <w:r>
        <w:t>The patient's premorbid functioning suggests that she was socially interactive and would engage easily with others. She did not assist with household chores, and her attitude towards work and responsibility was inadequate, as she could not be trusted with tasks. Her reaction to stress was characterized by temper tantrums and poor coping. There was limited engagement in intellectual activities or hobbies, consistent with her intellectual functioning. Her premorbid mood was predominantly euthymic. Interpersonally, she had difficulty forming and maintaining relationships. Energy levels were generally high, although she did not take initiative independently. No significant fantasy life or daydreaming was reported. Her attitude towards self reflected poor self-care, and her moral and religious standards were poorly developed.</w:t>
      </w:r>
    </w:p>
    <w:p>
      <w:pPr>
        <w:spacing w:before="200" w:after="80"/>
      </w:pPr>
      <w:r>
        <w:rPr>
          <w:b/>
          <w:sz w:val="26"/>
        </w:rPr>
        <w:t>MENTAL STATUS EXAMINATION</w:t>
      </w:r>
    </w:p>
    <w:p>
      <w:pPr>
        <w:spacing w:before="120" w:after="80"/>
      </w:pPr>
      <w:r>
        <w:rPr>
          <w:b/>
          <w:sz w:val="24"/>
        </w:rPr>
        <w:t>General Appearance and Behaviour</w:t>
      </w:r>
    </w:p>
    <w:p>
      <w:pPr>
        <w:spacing w:after="40"/>
      </w:pPr>
      <w:r>
        <w:rPr>
          <w:b/>
        </w:rPr>
        <w:t xml:space="preserve">Physical Appearance: </w:t>
      </w:r>
      <w:r>
        <w:t>The patient appeared untidy and inadequately groomed.</w:t>
      </w:r>
    </w:p>
    <w:p>
      <w:pPr>
        <w:spacing w:after="40"/>
      </w:pPr>
      <w:r>
        <w:rPr>
          <w:b/>
        </w:rPr>
        <w:t xml:space="preserve">Entered into the Room: </w:t>
      </w:r>
      <w:r>
        <w:t>The patient was brought into the interview room with coercion.</w:t>
      </w:r>
    </w:p>
    <w:p>
      <w:pPr>
        <w:spacing w:after="40"/>
      </w:pPr>
      <w:r>
        <w:rPr>
          <w:b/>
        </w:rPr>
        <w:t xml:space="preserve">Facial Expression and Body Language: </w:t>
      </w:r>
      <w:r>
        <w:t>Facial expression appeared uninterested and irritable.</w:t>
      </w:r>
    </w:p>
    <w:p>
      <w:pPr>
        <w:spacing w:after="40"/>
      </w:pPr>
      <w:r>
        <w:rPr>
          <w:b/>
        </w:rPr>
        <w:t xml:space="preserve">Personal Hygiene: </w:t>
      </w:r>
      <w:r>
        <w:t>Personal hygiene was not adequately maintained.</w:t>
      </w:r>
    </w:p>
    <w:p>
      <w:pPr>
        <w:spacing w:after="40"/>
      </w:pPr>
      <w:r>
        <w:rPr>
          <w:b/>
        </w:rPr>
        <w:t xml:space="preserve">Eye Contact: </w:t>
      </w:r>
      <w:r>
        <w:t>Eye contact was not established or maintained.</w:t>
      </w:r>
    </w:p>
    <w:p>
      <w:pPr>
        <w:spacing w:after="40"/>
      </w:pPr>
      <w:r>
        <w:rPr>
          <w:b/>
        </w:rPr>
        <w:t xml:space="preserve">Attitude Towards the Examiner: </w:t>
      </w:r>
      <w:r>
        <w:t>The patient was uncooperative during the assessment.</w:t>
      </w:r>
    </w:p>
    <w:p>
      <w:pPr>
        <w:spacing w:after="40"/>
      </w:pPr>
      <w:r>
        <w:rPr>
          <w:b/>
        </w:rPr>
        <w:t xml:space="preserve">Rapport: </w:t>
      </w:r>
      <w:r>
        <w:t>Rapport was established with difficulty.</w:t>
      </w:r>
    </w:p>
    <w:p>
      <w:pPr>
        <w:spacing w:after="40"/>
      </w:pPr>
      <w:r>
        <w:rPr>
          <w:b/>
        </w:rPr>
        <w:t xml:space="preserve">Behaviour During the Interview: </w:t>
      </w:r>
      <w:r>
        <w:t>The patient was markedly restless and overactive, had difficulty remaining seated, and frequently wandered around the room, requiring repeated prompting. Temper tantrums were observed during the interview.</w:t>
      </w:r>
    </w:p>
    <w:p>
      <w:pPr>
        <w:spacing w:after="40"/>
      </w:pPr>
      <w:r>
        <w:rPr>
          <w:b/>
        </w:rPr>
        <w:t xml:space="preserve">Psychomotor Activity: </w:t>
      </w:r>
      <w:r>
        <w:t>Psychomotor activity was increased.</w:t>
      </w:r>
    </w:p>
    <w:p>
      <w:pPr>
        <w:spacing w:before="120" w:after="80"/>
      </w:pPr>
      <w:r>
        <w:rPr>
          <w:b/>
          <w:sz w:val="24"/>
        </w:rPr>
        <w:t>Speech</w:t>
      </w:r>
    </w:p>
    <w:p>
      <w:pPr>
        <w:spacing w:after="40"/>
      </w:pPr>
      <w:r>
        <w:rPr>
          <w:b/>
        </w:rPr>
        <w:t xml:space="preserve">Coherence: </w:t>
      </w:r>
      <w:r>
        <w:t>Speech was articulate and understandable in form, but the content was often incoherent, illogical, and inconsistent.</w:t>
      </w:r>
    </w:p>
    <w:p>
      <w:pPr>
        <w:spacing w:after="40"/>
      </w:pPr>
      <w:r>
        <w:rPr>
          <w:b/>
        </w:rPr>
        <w:t xml:space="preserve">Relevance: </w:t>
      </w:r>
      <w:r>
        <w:t>Speech was frequently irrelevant to the questions asked.</w:t>
      </w:r>
    </w:p>
    <w:p>
      <w:pPr>
        <w:spacing w:after="40"/>
      </w:pPr>
      <w:r>
        <w:rPr>
          <w:b/>
        </w:rPr>
        <w:t xml:space="preserve">Tone: </w:t>
      </w:r>
      <w:r>
        <w:t>Loud.</w:t>
      </w:r>
    </w:p>
    <w:p>
      <w:pPr>
        <w:spacing w:after="40"/>
      </w:pPr>
      <w:r>
        <w:rPr>
          <w:b/>
        </w:rPr>
        <w:t xml:space="preserve">Tempo: </w:t>
      </w:r>
      <w:r>
        <w:t>Fast (pressured).</w:t>
      </w:r>
    </w:p>
    <w:p>
      <w:pPr>
        <w:spacing w:after="40"/>
      </w:pPr>
      <w:r>
        <w:rPr>
          <w:b/>
        </w:rPr>
        <w:t xml:space="preserve">Reaction Time: </w:t>
      </w:r>
      <w:r>
        <w:t>Decreased.</w:t>
      </w:r>
    </w:p>
    <w:p>
      <w:pPr>
        <w:spacing w:after="40"/>
      </w:pPr>
      <w:r>
        <w:rPr>
          <w:b/>
        </w:rPr>
        <w:t xml:space="preserve">Volume: </w:t>
      </w:r>
      <w:r>
        <w:t>Increased.</w:t>
      </w:r>
    </w:p>
    <w:p>
      <w:pPr>
        <w:spacing w:before="120" w:after="80"/>
      </w:pPr>
      <w:r>
        <w:rPr>
          <w:b/>
          <w:sz w:val="24"/>
        </w:rPr>
        <w:t>Thought</w:t>
      </w:r>
    </w:p>
    <w:p>
      <w:pPr>
        <w:spacing w:after="40"/>
      </w:pPr>
      <w:r>
        <w:rPr>
          <w:b/>
        </w:rPr>
        <w:t xml:space="preserve">Form: </w:t>
      </w:r>
      <w:r>
        <w:t>Loss of abstract thinking was present.</w:t>
      </w:r>
    </w:p>
    <w:p>
      <w:pPr>
        <w:spacing w:after="40"/>
      </w:pPr>
      <w:r>
        <w:rPr>
          <w:b/>
        </w:rPr>
        <w:t xml:space="preserve">Stream: </w:t>
      </w:r>
      <w:r>
        <w:t>Circumstantiality was observed.</w:t>
      </w:r>
    </w:p>
    <w:p>
      <w:pPr>
        <w:spacing w:after="40"/>
      </w:pPr>
      <w:r>
        <w:rPr>
          <w:b/>
        </w:rPr>
        <w:t xml:space="preserve">Possession: </w:t>
      </w:r>
      <w:r>
        <w:t>No abnormality of thought possession observed.</w:t>
      </w:r>
    </w:p>
    <w:p>
      <w:pPr>
        <w:spacing w:after="40"/>
      </w:pPr>
      <w:r>
        <w:rPr>
          <w:b/>
        </w:rPr>
        <w:t xml:space="preserve">Content: </w:t>
      </w:r>
      <w:r>
        <w:t>No delusional content elicited.</w:t>
      </w:r>
    </w:p>
    <w:p>
      <w:pPr>
        <w:spacing w:before="120" w:after="80"/>
      </w:pPr>
      <w:r>
        <w:rPr>
          <w:b/>
          <w:sz w:val="24"/>
        </w:rPr>
        <w:t>Mood and Affect</w:t>
      </w:r>
    </w:p>
    <w:p>
      <w:pPr>
        <w:spacing w:after="40"/>
      </w:pPr>
      <w:r>
        <w:rPr>
          <w:b/>
        </w:rPr>
        <w:t xml:space="preserve">Subjective: </w:t>
      </w:r>
      <w:r>
        <w:t>The patient reported her mood as “good”.</w:t>
      </w:r>
    </w:p>
    <w:p>
      <w:pPr>
        <w:spacing w:after="40"/>
      </w:pPr>
      <w:r>
        <w:rPr>
          <w:b/>
        </w:rPr>
        <w:t xml:space="preserve">Objective: </w:t>
      </w:r>
      <w:r>
        <w:t>Affect appeared elevated.</w:t>
      </w:r>
    </w:p>
    <w:p>
      <w:pPr>
        <w:spacing w:before="120" w:after="80"/>
      </w:pPr>
      <w:r>
        <w:rPr>
          <w:b/>
          <w:sz w:val="24"/>
        </w:rPr>
        <w:t>Sensorium and Perception</w:t>
      </w:r>
    </w:p>
    <w:p>
      <w:pPr>
        <w:spacing w:after="80"/>
      </w:pPr>
      <w:r>
        <w:t>No evidence of illusions, hallucinations, or pseudo-hallucinations was observed or reported.</w:t>
      </w:r>
    </w:p>
    <w:p>
      <w:pPr>
        <w:spacing w:before="120" w:after="80"/>
      </w:pPr>
      <w:r>
        <w:rPr>
          <w:b/>
          <w:sz w:val="24"/>
        </w:rPr>
        <w:t>Higher Cognitive Functions</w:t>
      </w:r>
    </w:p>
    <w:p>
      <w:pPr>
        <w:spacing w:after="40"/>
      </w:pPr>
      <w:r>
        <w:rPr>
          <w:b/>
        </w:rPr>
        <w:t xml:space="preserve">Level of Consciousness: </w:t>
      </w:r>
      <w:r>
        <w:t>The patient was conscious and responsive to stimuli.</w:t>
      </w:r>
    </w:p>
    <w:p>
      <w:pPr>
        <w:spacing w:after="40"/>
      </w:pPr>
      <w:r>
        <w:rPr>
          <w:b/>
        </w:rPr>
        <w:t xml:space="preserve">Orientation: </w:t>
      </w:r>
      <w:r>
        <w:t>Oriented to time, place, and person.</w:t>
      </w:r>
    </w:p>
    <w:p>
      <w:pPr>
        <w:spacing w:after="40"/>
      </w:pPr>
      <w:r>
        <w:rPr>
          <w:b/>
        </w:rPr>
        <w:t xml:space="preserve">Attention and Concentration: </w:t>
      </w:r>
      <w:r>
        <w:t>Attention could be aroused but was sustained only briefly. Serial subtraction could not be assessed adequately owing to the lack of formal education.</w:t>
      </w:r>
    </w:p>
    <w:p>
      <w:pPr>
        <w:spacing w:after="40"/>
      </w:pPr>
      <w:r>
        <w:rPr>
          <w:b/>
        </w:rPr>
        <w:t xml:space="preserve">Memory: </w:t>
      </w:r>
      <w:r>
        <w:t>Immediate, recent, and remote memory appeared grossly intact to the extent assessable.</w:t>
      </w:r>
    </w:p>
    <w:p>
      <w:pPr>
        <w:spacing w:after="40"/>
      </w:pPr>
      <w:r>
        <w:rPr>
          <w:b/>
        </w:rPr>
        <w:t xml:space="preserve">Abstractability: </w:t>
      </w:r>
      <w:r>
        <w:t>Abstract thinking was impaired, with loss of abstraction noted on testing.</w:t>
      </w:r>
    </w:p>
    <w:p>
      <w:pPr>
        <w:spacing w:after="40"/>
      </w:pPr>
      <w:r>
        <w:rPr>
          <w:b/>
        </w:rPr>
        <w:t xml:space="preserve">General Intelligence and Comprehension: </w:t>
      </w:r>
      <w:r>
        <w:t>General information and comprehension were impaired. Overall intellectual functioning appeared to be below average, falling within the mild intellectual disability range.</w:t>
      </w:r>
    </w:p>
    <w:p>
      <w:pPr>
        <w:spacing w:before="120" w:after="80"/>
      </w:pPr>
      <w:r>
        <w:rPr>
          <w:b/>
          <w:sz w:val="24"/>
        </w:rPr>
        <w:t>Judgment</w:t>
      </w:r>
    </w:p>
    <w:p>
      <w:pPr>
        <w:spacing w:after="40"/>
      </w:pPr>
      <w:r>
        <w:rPr>
          <w:b/>
        </w:rPr>
        <w:t xml:space="preserve">Personal Judgment: </w:t>
      </w:r>
      <w:r>
        <w:t>Impaired.</w:t>
      </w:r>
    </w:p>
    <w:p>
      <w:pPr>
        <w:spacing w:after="40"/>
      </w:pPr>
      <w:r>
        <w:rPr>
          <w:b/>
        </w:rPr>
        <w:t xml:space="preserve">Social Judgment: </w:t>
      </w:r>
      <w:r>
        <w:t>Impaired.</w:t>
      </w:r>
    </w:p>
    <w:p>
      <w:pPr>
        <w:spacing w:after="40"/>
      </w:pPr>
      <w:r>
        <w:rPr>
          <w:b/>
        </w:rPr>
        <w:t xml:space="preserve">Test Judgment: </w:t>
      </w:r>
      <w:r>
        <w:t>Impaired.</w:t>
      </w:r>
    </w:p>
    <w:p>
      <w:pPr>
        <w:spacing w:before="120" w:after="80"/>
      </w:pPr>
      <w:r>
        <w:rPr>
          <w:b/>
          <w:sz w:val="24"/>
        </w:rPr>
        <w:t>Insight</w:t>
      </w:r>
    </w:p>
    <w:p>
      <w:pPr>
        <w:spacing w:after="80"/>
      </w:pPr>
      <w:r>
        <w:t>Insight was assessed as Grade 1 (denial of illness), as the patient did not acknowledge having any difficulties and lacked awareness of her condition.</w:t>
      </w:r>
    </w:p>
    <w:p>
      <w:pPr>
        <w:spacing w:before="200" w:after="80"/>
      </w:pPr>
      <w:r>
        <w:rPr>
          <w:b/>
          <w:sz w:val="26"/>
        </w:rPr>
        <w:t>TESTS ADMINISTERED</w:t>
      </w:r>
    </w:p>
    <w:p>
      <w:pPr>
        <w:pStyle w:val="ListParagraph"/>
        <w:spacing w:after="40"/>
        <w:ind w:left="360"/>
      </w:pPr>
      <w:r>
        <w:t>•  Vineland Social Maturity Scale (VSMS)</w:t>
      </w:r>
    </w:p>
    <w:p>
      <w:pPr>
        <w:pStyle w:val="ListParagraph"/>
        <w:spacing w:after="40"/>
        <w:ind w:left="360"/>
      </w:pPr>
      <w:r>
        <w:t>•  Seguin Form Board Test (SFBT)</w:t>
      </w:r>
    </w:p>
    <w:p>
      <w:pPr>
        <w:pStyle w:val="ListParagraph"/>
        <w:spacing w:after="40"/>
        <w:ind w:left="360"/>
      </w:pPr>
      <w:r>
        <w:t>•  Binet-Kamat Test of Intelligence (BKT)</w:t>
      </w:r>
    </w:p>
    <w:p>
      <w:pPr>
        <w:pStyle w:val="ListParagraph"/>
        <w:spacing w:after="40"/>
        <w:ind w:left="360"/>
      </w:pPr>
      <w:r>
        <w:t>•  Young Mania Rating Scale (YMRS)</w:t>
      </w:r>
    </w:p>
    <w:p>
      <w:pPr>
        <w:spacing w:before="200" w:after="80"/>
      </w:pPr>
      <w:r>
        <w:rPr>
          <w:b/>
          <w:sz w:val="26"/>
        </w:rPr>
        <w:t>RATIONALE OF THE TESTS</w:t>
      </w:r>
    </w:p>
    <w:p>
      <w:pPr>
        <w:spacing w:after="80"/>
      </w:pPr>
      <w:r>
        <w:rPr>
          <w:b/>
        </w:rPr>
        <w:t xml:space="preserve">Vineland Social Maturity Scale (VSMS): </w:t>
      </w:r>
      <w:r>
        <w:t>The Vineland Social Maturity Scale (VSMS) was administered to assess the patient's social competence and adaptive functioning across various domains, including communication, self-help skills, socialization, and daily living abilities.</w:t>
      </w:r>
    </w:p>
    <w:p>
      <w:pPr>
        <w:spacing w:after="80"/>
      </w:pPr>
      <w:r>
        <w:rPr>
          <w:b/>
        </w:rPr>
        <w:t xml:space="preserve">Seguin Form Board Test (SFBT): </w:t>
      </w:r>
      <w:r>
        <w:t>The Seguin Form Board Test (SFBT) was administered to understand the patient's thinking and learning ability without relying on speech. As the patient's verbal expression is limited and impaired, this test helps assess non-verbal abilities such as visual perception, matching, problem-solving, and hand-eye coordination, and provides an estimate of non-verbal intellectual functioning when formal verbal testing is difficult.</w:t>
      </w:r>
    </w:p>
    <w:p>
      <w:pPr>
        <w:spacing w:after="80"/>
      </w:pPr>
      <w:r>
        <w:rPr>
          <w:b/>
        </w:rPr>
        <w:t xml:space="preserve">Binet-Kamat Test of Intelligence (BKT): </w:t>
      </w:r>
      <w:r>
        <w:t>The Binet-Kamat Test of Intelligence (BKT) was administered to assess the patient's intellectual functioning and to screen for any possible cognitive deficits. Establishing the individual's level of intellectual ability was considered essential in order to confirm the presence of Intellectual Disability and to ensure that the behavioural manifestations observed are not secondary to low cognitive functioning.</w:t>
      </w:r>
    </w:p>
    <w:p>
      <w:pPr>
        <w:spacing w:after="80"/>
      </w:pPr>
      <w:r>
        <w:rPr>
          <w:b/>
        </w:rPr>
        <w:t xml:space="preserve">Young Mania Rating Scale (YMRS): </w:t>
      </w:r>
      <w:r>
        <w:t>The Young Mania Rating Scale (YMRS) is designed to provide a standardized, reliable, and sensitive clinician-rated measure of manic symptom severity, enabling accurate assessment, monitoring, and treatment evaluation of affective (manic) symptoms.</w:t>
      </w:r>
    </w:p>
    <w:p>
      <w:pPr>
        <w:spacing w:before="200" w:after="80"/>
      </w:pPr>
      <w:r>
        <w:rPr>
          <w:b/>
          <w:sz w:val="26"/>
        </w:rPr>
        <w:t>BEHAVIOURAL OBSERVATIONS</w:t>
      </w:r>
    </w:p>
    <w:p>
      <w:pPr>
        <w:spacing w:after="80"/>
      </w:pPr>
      <w:r>
        <w:t>The patient was uncooperative during the assessment session and appeared markedly restless and active. She had difficulty remaining seated and frequently moved around the room, requiring repeated prompting to sit in one place. Eye contact was not established or maintained. She followed simple instructions when presented clearly. Speech was loud and fast, often irrelevant and inconsistent. Temper tantrums and wandering behaviour were observed during the interview. Thoughts were circumstantial, and loss of abstract thinking was present. Rapport was established with difficulty.</w:t>
      </w:r>
    </w:p>
    <w:p>
      <w:pPr>
        <w:spacing w:before="200" w:after="80"/>
      </w:pPr>
      <w:r>
        <w:rPr>
          <w:b/>
          <w:sz w:val="26"/>
        </w:rPr>
        <w:t>RESULTS AND INTERPRETATION</w:t>
      </w:r>
    </w:p>
    <w:p>
      <w:pPr>
        <w:spacing w:before="120" w:after="80"/>
      </w:pPr>
      <w:r>
        <w:rPr>
          <w:b/>
          <w:sz w:val="24"/>
        </w:rPr>
        <w:t>Vineland Social Maturity Scale (VSMS)</w:t>
      </w:r>
    </w:p>
    <w:p>
      <w:pPr>
        <w:spacing w:after="80"/>
      </w:pPr>
      <w:r>
        <w:t>On the VSMS, the social age of the patient was found to be 8 years 3 months, as against the chronological age of 18 years, yielding a Social Quotient (SQ) of 55, indicating mild disability in social and adaptive functioning.</w:t>
      </w:r>
    </w:p>
    <w:p>
      <w:pPr>
        <w:spacing w:after="80"/>
      </w:pPr>
      <w:r>
        <w:t>Table 1: VSMS domains and percentage of disability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rPr>
              <w:t>Area</w:t>
            </w:r>
          </w:p>
        </w:tc>
        <w:tc>
          <w:tcPr>
            <w:tcW w:type="dxa" w:w="2160"/>
          </w:tcPr>
          <w:p>
            <w:r/>
            <w:r>
              <w:rPr>
                <w:b/>
              </w:rPr>
              <w:t>Social Age</w:t>
            </w:r>
          </w:p>
        </w:tc>
        <w:tc>
          <w:tcPr>
            <w:tcW w:type="dxa" w:w="2160"/>
          </w:tcPr>
          <w:p>
            <w:r/>
            <w:r>
              <w:rPr>
                <w:b/>
              </w:rPr>
              <w:t>Percentage of Disability</w:t>
            </w:r>
          </w:p>
        </w:tc>
        <w:tc>
          <w:tcPr>
            <w:tcW w:type="dxa" w:w="2160"/>
          </w:tcPr>
          <w:p>
            <w:r/>
            <w:r>
              <w:rPr>
                <w:b/>
              </w:rPr>
              <w:t>Indication</w:t>
            </w:r>
          </w:p>
        </w:tc>
      </w:tr>
      <w:tr>
        <w:tc>
          <w:tcPr>
            <w:tcW w:type="dxa" w:w="2160"/>
          </w:tcPr>
          <w:p>
            <w:r>
              <w:t>1. Self-help General</w:t>
            </w:r>
          </w:p>
        </w:tc>
        <w:tc>
          <w:tcPr>
            <w:tcW w:type="dxa" w:w="2160"/>
          </w:tcPr>
          <w:p>
            <w:r>
              <w:t>7 years</w:t>
            </w:r>
          </w:p>
        </w:tc>
        <w:tc>
          <w:tcPr>
            <w:tcW w:type="dxa" w:w="2160"/>
          </w:tcPr>
          <w:p>
            <w:r>
              <w:t>Moderate disability – 75%</w:t>
            </w:r>
          </w:p>
        </w:tc>
        <w:tc>
          <w:tcPr>
            <w:tcW w:type="dxa" w:w="2160"/>
          </w:tcPr>
          <w:p>
            <w:r>
              <w:t>She requires supervision for routine personal tasks, consistent with reported difficulties in managing personal hygiene, especially during menstruation.</w:t>
            </w:r>
          </w:p>
        </w:tc>
      </w:tr>
      <w:tr>
        <w:tc>
          <w:tcPr>
            <w:tcW w:type="dxa" w:w="2160"/>
          </w:tcPr>
          <w:p>
            <w:r>
              <w:t>2. Self-help Eating</w:t>
            </w:r>
          </w:p>
        </w:tc>
        <w:tc>
          <w:tcPr>
            <w:tcW w:type="dxa" w:w="2160"/>
          </w:tcPr>
          <w:p>
            <w:r>
              <w:t>14 years</w:t>
            </w:r>
          </w:p>
        </w:tc>
        <w:tc>
          <w:tcPr>
            <w:tcW w:type="dxa" w:w="2160"/>
          </w:tcPr>
          <w:p>
            <w:r>
              <w:t>Age appropriate</w:t>
            </w:r>
          </w:p>
        </w:tc>
        <w:tc>
          <w:tcPr>
            <w:tcW w:type="dxa" w:w="2160"/>
          </w:tcPr>
          <w:p>
            <w:r>
              <w:t>She can eat independently but may show poor consistency and needs occasional assistance.</w:t>
            </w:r>
          </w:p>
        </w:tc>
      </w:tr>
      <w:tr>
        <w:tc>
          <w:tcPr>
            <w:tcW w:type="dxa" w:w="2160"/>
          </w:tcPr>
          <w:p>
            <w:r>
              <w:t>3. Self-help Dressing</w:t>
            </w:r>
          </w:p>
        </w:tc>
        <w:tc>
          <w:tcPr>
            <w:tcW w:type="dxa" w:w="2160"/>
          </w:tcPr>
          <w:p>
            <w:r>
              <w:t>9 years</w:t>
            </w:r>
          </w:p>
        </w:tc>
        <w:tc>
          <w:tcPr>
            <w:tcW w:type="dxa" w:w="2160"/>
          </w:tcPr>
          <w:p>
            <w:r>
              <w:t>Mild disability – 50%</w:t>
            </w:r>
          </w:p>
        </w:tc>
        <w:tc>
          <w:tcPr>
            <w:tcW w:type="dxa" w:w="2160"/>
          </w:tcPr>
          <w:p>
            <w:r>
              <w:t>She shows mild impairment in dressing skills, including inappropriate dressing behaviour (e.g., removing clothes in unsuitable situations), indicating poor judgment and partial dependence.</w:t>
            </w:r>
          </w:p>
        </w:tc>
      </w:tr>
      <w:tr>
        <w:tc>
          <w:tcPr>
            <w:tcW w:type="dxa" w:w="2160"/>
          </w:tcPr>
          <w:p>
            <w:r>
              <w:t>4. Self-direction</w:t>
            </w:r>
          </w:p>
        </w:tc>
        <w:tc>
          <w:tcPr>
            <w:tcW w:type="dxa" w:w="2160"/>
          </w:tcPr>
          <w:p>
            <w:r>
              <w:t>8 years 3 months</w:t>
            </w:r>
          </w:p>
        </w:tc>
        <w:tc>
          <w:tcPr>
            <w:tcW w:type="dxa" w:w="2160"/>
          </w:tcPr>
          <w:p>
            <w:r>
              <w:t>Moderate disability – 75%</w:t>
            </w:r>
          </w:p>
        </w:tc>
        <w:tc>
          <w:tcPr>
            <w:tcW w:type="dxa" w:w="2160"/>
          </w:tcPr>
          <w:p>
            <w:r>
              <w:t>She shows reduced ability to plan, make decisions, and regulate behaviour, which explains her inability to manage money, follow instructions, and act appropriately in daily situations.</w:t>
            </w:r>
          </w:p>
        </w:tc>
      </w:tr>
      <w:tr>
        <w:tc>
          <w:tcPr>
            <w:tcW w:type="dxa" w:w="2160"/>
          </w:tcPr>
          <w:p>
            <w:r>
              <w:t>5. Occupation</w:t>
            </w:r>
          </w:p>
        </w:tc>
        <w:tc>
          <w:tcPr>
            <w:tcW w:type="dxa" w:w="2160"/>
          </w:tcPr>
          <w:p>
            <w:r>
              <w:t>8 years 6 months</w:t>
            </w:r>
          </w:p>
        </w:tc>
        <w:tc>
          <w:tcPr>
            <w:tcW w:type="dxa" w:w="2160"/>
          </w:tcPr>
          <w:p>
            <w:r>
              <w:t>Moderate disability – 75%</w:t>
            </w:r>
          </w:p>
        </w:tc>
        <w:tc>
          <w:tcPr>
            <w:tcW w:type="dxa" w:w="2160"/>
          </w:tcPr>
          <w:p>
            <w:r>
              <w:t>She can do simple tasks with guidance but finds it difficult to use tools and complete complex activities, such as household work or structured activities.</w:t>
            </w:r>
          </w:p>
        </w:tc>
      </w:tr>
      <w:tr>
        <w:tc>
          <w:tcPr>
            <w:tcW w:type="dxa" w:w="2160"/>
          </w:tcPr>
          <w:p>
            <w:r>
              <w:t>6. Locomotion</w:t>
            </w:r>
          </w:p>
        </w:tc>
        <w:tc>
          <w:tcPr>
            <w:tcW w:type="dxa" w:w="2160"/>
          </w:tcPr>
          <w:p>
            <w:r>
              <w:t>14 years 6 months</w:t>
            </w:r>
          </w:p>
        </w:tc>
        <w:tc>
          <w:tcPr>
            <w:tcW w:type="dxa" w:w="2160"/>
          </w:tcPr>
          <w:p>
            <w:r>
              <w:t>Age appropriate</w:t>
            </w:r>
          </w:p>
        </w:tc>
        <w:tc>
          <w:tcPr>
            <w:tcW w:type="dxa" w:w="2160"/>
          </w:tcPr>
          <w:p>
            <w:r>
              <w:t>She can move around independently but demonstrates poor safety awareness and impulsivity.</w:t>
            </w:r>
          </w:p>
        </w:tc>
      </w:tr>
      <w:tr>
        <w:tc>
          <w:tcPr>
            <w:tcW w:type="dxa" w:w="2160"/>
          </w:tcPr>
          <w:p>
            <w:r>
              <w:t>7. Communication</w:t>
            </w:r>
          </w:p>
        </w:tc>
        <w:tc>
          <w:tcPr>
            <w:tcW w:type="dxa" w:w="2160"/>
          </w:tcPr>
          <w:p>
            <w:r>
              <w:t>5 years 3 months</w:t>
            </w:r>
          </w:p>
        </w:tc>
        <w:tc>
          <w:tcPr>
            <w:tcW w:type="dxa" w:w="2160"/>
          </w:tcPr>
          <w:p>
            <w:r>
              <w:t>Severe disability – 90%</w:t>
            </w:r>
          </w:p>
        </w:tc>
        <w:tc>
          <w:tcPr>
            <w:tcW w:type="dxa" w:w="2160"/>
          </w:tcPr>
          <w:p>
            <w:r>
              <w:t>She has severe deficits in understanding and expressing language, which explains her inability to read, write, tell time, and understand social or academic information. Her speech disturbances (irrelevant, illogical talk) further reflect impaired communication and cognitive processing.</w:t>
            </w:r>
          </w:p>
        </w:tc>
      </w:tr>
      <w:tr>
        <w:tc>
          <w:tcPr>
            <w:tcW w:type="dxa" w:w="2160"/>
          </w:tcPr>
          <w:p>
            <w:r>
              <w:t>8. Socialization</w:t>
            </w:r>
          </w:p>
        </w:tc>
        <w:tc>
          <w:tcPr>
            <w:tcW w:type="dxa" w:w="2160"/>
          </w:tcPr>
          <w:p>
            <w:r>
              <w:t>10 years 3 months</w:t>
            </w:r>
          </w:p>
        </w:tc>
        <w:tc>
          <w:tcPr>
            <w:tcW w:type="dxa" w:w="2160"/>
          </w:tcPr>
          <w:p>
            <w:r>
              <w:t>Mild disability – 50%</w:t>
            </w:r>
          </w:p>
        </w:tc>
        <w:tc>
          <w:tcPr>
            <w:tcW w:type="dxa" w:w="2160"/>
          </w:tcPr>
          <w:p>
            <w:r>
              <w:t>She demonstrates mild impairment in social interaction, including difficulty understanding social norms, inappropriate behaviours, and problematic behaviours such as lying, stealing, and cruelty to animals.</w:t>
            </w:r>
          </w:p>
        </w:tc>
      </w:tr>
    </w:tbl>
    <w:p>
      <w:pPr>
        <w:spacing w:before="160" w:after="80"/>
      </w:pPr>
      <w:r>
        <w:rPr>
          <w:b/>
          <w:sz w:val="24"/>
        </w:rPr>
        <w:t>Seguin Form Board Test (SFBT)</w:t>
      </w:r>
    </w:p>
    <w:p>
      <w:pPr>
        <w:spacing w:after="80"/>
      </w:pPr>
      <w:r>
        <w:t>Table 2: SFBT trial-wise time taken</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Trial</w:t>
            </w:r>
          </w:p>
        </w:tc>
        <w:tc>
          <w:tcPr>
            <w:tcW w:type="dxa" w:w="4320"/>
          </w:tcPr>
          <w:p>
            <w:r/>
            <w:r>
              <w:rPr>
                <w:b/>
              </w:rPr>
              <w:t>Time Taken</w:t>
            </w:r>
          </w:p>
        </w:tc>
      </w:tr>
      <w:tr>
        <w:tc>
          <w:tcPr>
            <w:tcW w:type="dxa" w:w="4320"/>
          </w:tcPr>
          <w:p>
            <w:r>
              <w:t>1st Trial</w:t>
            </w:r>
          </w:p>
        </w:tc>
        <w:tc>
          <w:tcPr>
            <w:tcW w:type="dxa" w:w="4320"/>
          </w:tcPr>
          <w:p>
            <w:r>
              <w:t>65 seconds</w:t>
            </w:r>
          </w:p>
        </w:tc>
      </w:tr>
      <w:tr>
        <w:tc>
          <w:tcPr>
            <w:tcW w:type="dxa" w:w="4320"/>
          </w:tcPr>
          <w:p>
            <w:r>
              <w:t>2nd Trial</w:t>
            </w:r>
          </w:p>
        </w:tc>
        <w:tc>
          <w:tcPr>
            <w:tcW w:type="dxa" w:w="4320"/>
          </w:tcPr>
          <w:p>
            <w:r>
              <w:t>48 seconds</w:t>
            </w:r>
          </w:p>
        </w:tc>
      </w:tr>
      <w:tr>
        <w:tc>
          <w:tcPr>
            <w:tcW w:type="dxa" w:w="4320"/>
          </w:tcPr>
          <w:p>
            <w:r>
              <w:t>3rd Trial</w:t>
            </w:r>
          </w:p>
        </w:tc>
        <w:tc>
          <w:tcPr>
            <w:tcW w:type="dxa" w:w="4320"/>
          </w:tcPr>
          <w:p>
            <w:r>
              <w:t>39 seconds</w:t>
            </w:r>
          </w:p>
        </w:tc>
      </w:tr>
    </w:tbl>
    <w:p>
      <w:pPr>
        <w:spacing w:after="80"/>
      </w:pPr>
      <w:r>
        <w:t>Overall Impression:</w:t>
      </w:r>
    </w:p>
    <w:p>
      <w:pPr>
        <w:spacing w:after="80"/>
      </w:pPr>
      <w:r>
        <w:rPr>
          <w:b/>
        </w:rPr>
        <w:t xml:space="preserve">First Trial (65 seconds): </w:t>
      </w:r>
      <w:r>
        <w:t>In the first trial of the Seguin Form Board Test (SFBT), the patient took 65 seconds to complete the task. This duration considerably exceeds normative expectations across age groups, corresponding to a mental age level below 3 to 4 years if scored independently. The extended completion time reflects marked initial difficulties in visuospatial organization and motor planning, typical of early task familiarization, with hesitation, prolonged trial-and-error placement, and limited strategic sequencing.</w:t>
      </w:r>
    </w:p>
    <w:p>
      <w:pPr>
        <w:spacing w:after="80"/>
      </w:pPr>
      <w:r>
        <w:rPr>
          <w:b/>
        </w:rPr>
        <w:t xml:space="preserve">Second Trial (48 seconds): </w:t>
      </w:r>
      <w:r>
        <w:t>The second trial resulted in a completion time of 48 seconds, aligning approximately with a 4 to 5-year mental age, showing meaningful improvement in block placement efficiency and perceptual matching compared with the first trial. This suggests emerging familiarity with the spatial demands of the task, though the pace of improvement remains slower than expected and continues to reflect moderate delays in processing speed and visuomotor coordination.</w:t>
      </w:r>
    </w:p>
    <w:p>
      <w:pPr>
        <w:spacing w:after="80"/>
      </w:pPr>
      <w:r>
        <w:rPr>
          <w:b/>
        </w:rPr>
        <w:t xml:space="preserve">Third Trial (39 seconds): </w:t>
      </w:r>
      <w:r>
        <w:t>In the third trial, the patient achieved 39 seconds, the shortest time recorded. Per standard SFBT norms, this corresponds to an approximate mental age of 6 to 7 years, demonstrating the patient's peak visuomotor integration and perceptual speed. As the SFBT protocol uses the best trial for final scoring (MA = 6–7 years), the IQ estimate falls in the range of approximately 35–41, consistent with the moderate intellectual disability range on this non-verbal measure.</w:t>
      </w:r>
    </w:p>
    <w:p>
      <w:pPr>
        <w:spacing w:before="160" w:after="80"/>
      </w:pPr>
      <w:r>
        <w:rPr>
          <w:b/>
          <w:sz w:val="24"/>
        </w:rPr>
        <w:t>Binet-Kamat Test of Intelligence (BKT)</w:t>
      </w:r>
    </w:p>
    <w:p>
      <w:pPr>
        <w:spacing w:after="80"/>
      </w:pPr>
      <w:r>
        <w:t>Index Patient N.P. obtained a BKT IQ of 50. The prorated BKT IQ is 60 and the prorated Mental Age is 114 months, i.e., 9 years 6 months. This falls within the range of 55–69, which according to the Wechsler/WHO classification indicates that the patient's IQ falls within the 'Mild' range, suggestive of 50% intellectual disability.</w:t>
      </w:r>
    </w:p>
    <w:p>
      <w:pPr>
        <w:spacing w:after="80"/>
      </w:pPr>
      <w:r>
        <w:t>Table 3: Domain-wise classification of items adapted to BKT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Domain</w:t>
            </w:r>
          </w:p>
        </w:tc>
        <w:tc>
          <w:tcPr>
            <w:tcW w:type="dxa" w:w="2880"/>
          </w:tcPr>
          <w:p>
            <w:r/>
            <w:r>
              <w:rPr>
                <w:b/>
              </w:rPr>
              <w:t>Mental Age</w:t>
            </w:r>
          </w:p>
        </w:tc>
        <w:tc>
          <w:tcPr>
            <w:tcW w:type="dxa" w:w="2880"/>
          </w:tcPr>
          <w:p>
            <w:r/>
            <w:r>
              <w:rPr>
                <w:b/>
              </w:rPr>
              <w:t>Interpretation</w:t>
            </w:r>
          </w:p>
        </w:tc>
      </w:tr>
      <w:tr>
        <w:tc>
          <w:tcPr>
            <w:tcW w:type="dxa" w:w="2880"/>
          </w:tcPr>
          <w:p>
            <w:r>
              <w:t>Language</w:t>
            </w:r>
          </w:p>
        </w:tc>
        <w:tc>
          <w:tcPr>
            <w:tcW w:type="dxa" w:w="2880"/>
          </w:tcPr>
          <w:p>
            <w:r>
              <w:t>8 years</w:t>
            </w:r>
          </w:p>
        </w:tc>
        <w:tc>
          <w:tcPr>
            <w:tcW w:type="dxa" w:w="2880"/>
          </w:tcPr>
          <w:p>
            <w:r>
              <w:t>Indicates limited but functional linguistic comprehension and expression. She is likely able to understand simple verbal instructions and communicate basic needs, while her ability to understand complex language, abstract ideas, and contextual meaning is impaired, leading to difficulty in academic learning and social understanding.</w:t>
            </w:r>
          </w:p>
        </w:tc>
      </w:tr>
      <w:tr>
        <w:tc>
          <w:tcPr>
            <w:tcW w:type="dxa" w:w="2880"/>
          </w:tcPr>
          <w:p>
            <w:r>
              <w:t>Meaningful Memory</w:t>
            </w:r>
          </w:p>
        </w:tc>
        <w:tc>
          <w:tcPr>
            <w:tcW w:type="dxa" w:w="2880"/>
          </w:tcPr>
          <w:p>
            <w:r>
              <w:t>7 years</w:t>
            </w:r>
          </w:p>
        </w:tc>
        <w:tc>
          <w:tcPr>
            <w:tcW w:type="dxa" w:w="2880"/>
          </w:tcPr>
          <w:p>
            <w:r>
              <w:t>Performance on meaningful memory tasks indicates difficulty in retaining and recalling personally relevant or contextual information. She may remember basic routines and familiar experiences but struggles with recalling detailed narratives or applying learned information to new situations, manifesting as forgetfulness, inconsistent learning, and reduced academic retention.</w:t>
            </w:r>
          </w:p>
        </w:tc>
      </w:tr>
      <w:tr>
        <w:tc>
          <w:tcPr>
            <w:tcW w:type="dxa" w:w="2880"/>
          </w:tcPr>
          <w:p>
            <w:r>
              <w:t>Non-Meaningful Memory</w:t>
            </w:r>
          </w:p>
        </w:tc>
        <w:tc>
          <w:tcPr>
            <w:tcW w:type="dxa" w:w="2880"/>
          </w:tcPr>
          <w:p>
            <w:r>
              <w:t>4 years</w:t>
            </w:r>
          </w:p>
        </w:tc>
        <w:tc>
          <w:tcPr>
            <w:tcW w:type="dxa" w:w="2880"/>
          </w:tcPr>
          <w:p>
            <w:r>
              <w:t>Ability to recall unrelated or rote material suggests poor short-term and mechanical memory. She may have difficulty memorising even simple unrelated information such as numbers, lists, or basic facts, indicating weak encoding and retention capacity.</w:t>
            </w:r>
          </w:p>
        </w:tc>
      </w:tr>
      <w:tr>
        <w:tc>
          <w:tcPr>
            <w:tcW w:type="dxa" w:w="2880"/>
          </w:tcPr>
          <w:p>
            <w:r>
              <w:t>Non-Verbal Reasoning</w:t>
            </w:r>
          </w:p>
        </w:tc>
        <w:tc>
          <w:tcPr>
            <w:tcW w:type="dxa" w:w="2880"/>
          </w:tcPr>
          <w:p>
            <w:r>
              <w:t>4 years</w:t>
            </w:r>
          </w:p>
        </w:tc>
        <w:tc>
          <w:tcPr>
            <w:tcW w:type="dxa" w:w="2880"/>
          </w:tcPr>
          <w:p>
            <w:r>
              <w:t>Reflects difficulty in understanding patterns, relationships, and visuospatial problem-solving. She is likely able to manage only very simple tasks, indicating poor perceptual reasoning and difficulty dealing with new or unfamiliar situations that require independent problem-solving.</w:t>
            </w:r>
          </w:p>
        </w:tc>
      </w:tr>
      <w:tr>
        <w:tc>
          <w:tcPr>
            <w:tcW w:type="dxa" w:w="2880"/>
          </w:tcPr>
          <w:p>
            <w:r>
              <w:t>Verbal Reasoning</w:t>
            </w:r>
          </w:p>
        </w:tc>
        <w:tc>
          <w:tcPr>
            <w:tcW w:type="dxa" w:w="2880"/>
          </w:tcPr>
          <w:p>
            <w:r>
              <w:t>Not attained</w:t>
            </w:r>
          </w:p>
        </w:tc>
        <w:tc>
          <w:tcPr>
            <w:tcW w:type="dxa" w:w="2880"/>
          </w:tcPr>
          <w:p>
            <w:r>
              <w:t>Verbal reasoning ability is not developed, indicating a severe deficit in understanding relationships within language, drawing inferences, and logical thinking using verbal material. This suggests an inability to engage in higher-order thinking, abstract reasoning, or problem-solving through language.</w:t>
            </w:r>
          </w:p>
        </w:tc>
      </w:tr>
      <w:tr>
        <w:tc>
          <w:tcPr>
            <w:tcW w:type="dxa" w:w="2880"/>
          </w:tcPr>
          <w:p>
            <w:r>
              <w:t>Numerical Reasoning</w:t>
            </w:r>
          </w:p>
        </w:tc>
        <w:tc>
          <w:tcPr>
            <w:tcW w:type="dxa" w:w="2880"/>
          </w:tcPr>
          <w:p>
            <w:r>
              <w:t>Not attained</w:t>
            </w:r>
          </w:p>
        </w:tc>
        <w:tc>
          <w:tcPr>
            <w:tcW w:type="dxa" w:w="2880"/>
          </w:tcPr>
          <w:p>
            <w:r>
              <w:t>Numerical reasoning is not attained, indicating an absence of basic number concepts and mathematical understanding. This explains her inability to manage money, tell time, or perform even simple calculations, significantly affecting her daily functioning.</w:t>
            </w:r>
          </w:p>
        </w:tc>
      </w:tr>
      <w:tr>
        <w:tc>
          <w:tcPr>
            <w:tcW w:type="dxa" w:w="2880"/>
          </w:tcPr>
          <w:p>
            <w:r>
              <w:t>Conceptual Thinking</w:t>
            </w:r>
          </w:p>
        </w:tc>
        <w:tc>
          <w:tcPr>
            <w:tcW w:type="dxa" w:w="2880"/>
          </w:tcPr>
          <w:p>
            <w:r>
              <w:t>Not attained</w:t>
            </w:r>
          </w:p>
        </w:tc>
        <w:tc>
          <w:tcPr>
            <w:tcW w:type="dxa" w:w="2880"/>
          </w:tcPr>
          <w:p>
            <w:r>
              <w:t>Conceptual thinking ability is not developed, reflecting a lack of understanding of abstract ideas, categorisation, and relationships. Her thinking remains highly concrete, with difficulty generalising, comparing, or applying learned concepts to different contexts.</w:t>
            </w:r>
          </w:p>
        </w:tc>
      </w:tr>
      <w:tr>
        <w:tc>
          <w:tcPr>
            <w:tcW w:type="dxa" w:w="2880"/>
          </w:tcPr>
          <w:p>
            <w:r>
              <w:t>Visuo-motor</w:t>
            </w:r>
          </w:p>
        </w:tc>
        <w:tc>
          <w:tcPr>
            <w:tcW w:type="dxa" w:w="2880"/>
          </w:tcPr>
          <w:p>
            <w:r>
              <w:t>7 years</w:t>
            </w:r>
          </w:p>
        </w:tc>
        <w:tc>
          <w:tcPr>
            <w:tcW w:type="dxa" w:w="2880"/>
          </w:tcPr>
          <w:p>
            <w:r>
              <w:t>Visuo-motor coordination indicates some ability to perform tasks involving visual perception and motor coordination, but with limitations. She may perform simple tasks but struggles with more complex activities requiring precision, sequencing, or coordination.</w:t>
            </w:r>
          </w:p>
        </w:tc>
      </w:tr>
      <w:tr>
        <w:tc>
          <w:tcPr>
            <w:tcW w:type="dxa" w:w="2880"/>
          </w:tcPr>
          <w:p>
            <w:r>
              <w:t>Social Intelligence</w:t>
            </w:r>
          </w:p>
        </w:tc>
        <w:tc>
          <w:tcPr>
            <w:tcW w:type="dxa" w:w="2880"/>
          </w:tcPr>
          <w:p>
            <w:r>
              <w:t>6 years</w:t>
            </w:r>
          </w:p>
        </w:tc>
        <w:tc>
          <w:tcPr>
            <w:tcW w:type="dxa" w:w="2880"/>
          </w:tcPr>
          <w:p>
            <w:r>
              <w:t>Social intelligence indicates poor understanding of social norms, relationships, and appropriate behaviour. She may interact at a very basic level but has difficulty interpreting social cues and regulating behaviour, reflected in her inappropriate social behaviours, poor judgment, and difficulty adapting to social expectations.</w:t>
            </w:r>
          </w:p>
        </w:tc>
      </w:tr>
    </w:tbl>
    <w:p>
      <w:pPr>
        <w:spacing w:before="160" w:after="80"/>
      </w:pPr>
      <w:r>
        <w:rPr>
          <w:b/>
          <w:sz w:val="24"/>
        </w:rPr>
        <w:t>Young Mania Rating Scale (YMRS)</w:t>
      </w:r>
    </w:p>
    <w:p>
      <w:pPr>
        <w:spacing w:after="80"/>
      </w:pPr>
      <w:r>
        <w:t>On the Young Mania Rating Scale, the patient obtained a total score of 23, indicating a moderate range of manic symptom severity. This indicates the presence of clinically significant manic features such as increased talkativeness, elevated or irritable mood, reduced need for sleep, heightened activity levels, and poor impulse control. The score is consistent with the behavioural changes reported over the past year, including episodic aggression, overactivity, and disturbed sleep, and suggests an ongoing affective (manic) episode of moderate intensity requiring treatment and psychiatric management.</w:t>
      </w:r>
    </w:p>
    <w:p>
      <w:pPr>
        <w:spacing w:before="200" w:after="80"/>
      </w:pPr>
      <w:r>
        <w:rPr>
          <w:b/>
          <w:sz w:val="26"/>
        </w:rPr>
        <w:t>DIAGNOSTIC FORMULATION</w:t>
      </w:r>
    </w:p>
    <w:p>
      <w:pPr>
        <w:spacing w:after="80"/>
      </w:pPr>
      <w:r>
        <w:t>Index patient, N.P., an 18-year-old unmarried Hindu female with no formal education, belonging to a low socio-economic background, presented with chief complaints of poor understanding of academics and social situations since early childhood, along with over-talkativeness, wandering behaviour, anger outbursts, incoherent speech, decreased need for sleep, poor appetite, and increased physical restlessness over the past one year, with the current episode present for the past 15 days.</w:t>
      </w:r>
    </w:p>
    <w:p>
      <w:pPr>
        <w:spacing w:after="80"/>
      </w:pPr>
      <w:r>
        <w:t>Developmental history reveals low birth weight and delay across all developmental milestones, with long-standing difficulty in academics, communication, self-care, money handling, and social understanding, along with early-onset behaviours such as lying, stealing, and cruelty towards animals. The course of the intellectual difficulties has been chronic and static since early childhood, consistent with a developmental intellectual disability rather than an acquired decline. Superimposed on this, the affective (manic) symptoms have followed an insidious onset and an episodic course over the past one year, with each episode lasting approximately 15 days and followed by a return to baseline functioning.</w:t>
      </w:r>
    </w:p>
    <w:p>
      <w:pPr>
        <w:spacing w:after="80"/>
      </w:pPr>
      <w:r>
        <w:t>Mental status examination revealed an untidy, uncooperative patient with increased psychomotor activity, loud and fast speech that was often irrelevant and inconsistent, circumstantiality, loss of abstract thinking, elevated affect, and Grade 1 insight (denial of illness), with no perceptual abnormalities. Psychological assessment converges with the clinical picture: the VSMS yielded a Social Quotient of 55 (social age 8 years 3 months), indicating mild impairment in social and adaptive functioning; the BKT yielded a prorated IQ of 60 (mental age 9 years 6 months), placing her within the mild intellectual disability range (50% disability); the SFBT yielded a non-verbal mental age of 6–7 years; and the YMRS score of 23 indicated a moderate level of manic symptom severity.</w:t>
      </w:r>
    </w:p>
    <w:p>
      <w:pPr>
        <w:spacing w:after="80"/>
      </w:pPr>
      <w:r>
        <w:t>Predisposing factors include delayed developmental milestones, while perpetuating factors include poor social support and limited family insight into the illness. Overall, the findings indicate significant deficits in communication, attention regulation, behavioural control, and academic functioning, in the context of intellectual disability, along with the presence of moderate affective (manic) symptoms.</w:t>
      </w:r>
    </w:p>
    <w:p>
      <w:pPr>
        <w:spacing w:before="200" w:after="80"/>
      </w:pPr>
      <w:r>
        <w:rPr>
          <w:b/>
          <w:sz w:val="26"/>
        </w:rPr>
        <w:t>PROVISIONAL DIAGNOSIS (ICD-10)</w:t>
      </w:r>
    </w:p>
    <w:p>
      <w:pPr>
        <w:spacing w:after="80"/>
      </w:pPr>
      <w:r>
        <w:t>F70 Mild Mental Retardation (Mild Intellectual Disability) with comorbid F30.0 Hypomania.</w:t>
      </w:r>
    </w:p>
    <w:p>
      <w:pPr>
        <w:spacing w:before="200" w:after="80"/>
      </w:pPr>
      <w:r>
        <w:rPr>
          <w:b/>
          <w:sz w:val="26"/>
        </w:rPr>
        <w:t>POINTS IN FAVOUR</w:t>
      </w:r>
    </w:p>
    <w:p>
      <w:pPr>
        <w:spacing w:after="80"/>
      </w:pPr>
      <w:r>
        <w:t>Mild Intellectual Disability (F70):</w:t>
      </w:r>
    </w:p>
    <w:p>
      <w:pPr>
        <w:pStyle w:val="ListParagraph"/>
        <w:spacing w:after="40"/>
        <w:ind w:left="360"/>
      </w:pPr>
      <w:r>
        <w:t>•  VSMS Social Quotient of 55, indicating mild impairment in social and adaptive functioning (50% disability).</w:t>
      </w:r>
    </w:p>
    <w:p>
      <w:pPr>
        <w:pStyle w:val="ListParagraph"/>
        <w:spacing w:after="40"/>
        <w:ind w:left="360"/>
      </w:pPr>
      <w:r>
        <w:t>•  BKT prorated IQ of 60 (mental age 9 years 6 months), within the mild intellectual disability range (50% disability).</w:t>
      </w:r>
    </w:p>
    <w:p>
      <w:pPr>
        <w:pStyle w:val="ListParagraph"/>
        <w:spacing w:after="40"/>
        <w:ind w:left="360"/>
      </w:pPr>
      <w:r>
        <w:t>•  Delayed developmental milestones and long-standing difficulty in academics, communication, self-care, and money handling since early childhood.</w:t>
      </w:r>
    </w:p>
    <w:p>
      <w:pPr>
        <w:pStyle w:val="ListParagraph"/>
        <w:spacing w:after="40"/>
        <w:ind w:left="360"/>
      </w:pPr>
      <w:r>
        <w:t>•  Broad-based cognitive deficits across BKT domains (verbal reasoning, numerical reasoning, and conceptual thinking not attained) rather than isolated domain weakness.</w:t>
      </w:r>
    </w:p>
    <w:p>
      <w:pPr>
        <w:pStyle w:val="ListParagraph"/>
        <w:spacing w:after="40"/>
        <w:ind w:left="360"/>
      </w:pPr>
      <w:r>
        <w:t>•  Chronic and stable course from early childhood, consistent with a developmental intellectual disability.</w:t>
      </w:r>
    </w:p>
    <w:p>
      <w:pPr>
        <w:spacing w:after="80"/>
      </w:pPr>
      <w:r>
        <w:t>Comorbid Hypomania (F30.0):</w:t>
      </w:r>
    </w:p>
    <w:p>
      <w:pPr>
        <w:pStyle w:val="ListParagraph"/>
        <w:spacing w:after="40"/>
        <w:ind w:left="360"/>
      </w:pPr>
      <w:r>
        <w:t>•  Over-talkativeness with loud, fast, and pressured speech.</w:t>
      </w:r>
    </w:p>
    <w:p>
      <w:pPr>
        <w:pStyle w:val="ListParagraph"/>
        <w:spacing w:after="40"/>
        <w:ind w:left="360"/>
      </w:pPr>
      <w:r>
        <w:t>•  Decreased need for sleep and poor appetite.</w:t>
      </w:r>
    </w:p>
    <w:p>
      <w:pPr>
        <w:pStyle w:val="ListParagraph"/>
        <w:spacing w:after="40"/>
        <w:ind w:left="360"/>
      </w:pPr>
      <w:r>
        <w:t>•  Increased activity, wandering, and running around the house.</w:t>
      </w:r>
    </w:p>
    <w:p>
      <w:pPr>
        <w:pStyle w:val="ListParagraph"/>
        <w:spacing w:after="40"/>
        <w:ind w:left="360"/>
      </w:pPr>
      <w:r>
        <w:t>•  Anger outbursts and irritability.</w:t>
      </w:r>
    </w:p>
    <w:p>
      <w:pPr>
        <w:pStyle w:val="ListParagraph"/>
        <w:spacing w:after="40"/>
        <w:ind w:left="360"/>
      </w:pPr>
      <w:r>
        <w:t>•  Elevated mood with YMRS score of 23 (moderate manic symptom severity).</w:t>
      </w:r>
    </w:p>
    <w:p>
      <w:pPr>
        <w:pStyle w:val="ListParagraph"/>
        <w:spacing w:after="40"/>
        <w:ind w:left="360"/>
      </w:pPr>
      <w:r>
        <w:t>•  Episodic course, recurring for approximately 15 days every month over the past one year.</w:t>
      </w:r>
    </w:p>
    <w:p>
      <w:pPr>
        <w:spacing w:before="200" w:after="80"/>
      </w:pPr>
      <w:r>
        <w:rPr>
          <w:b/>
          <w:sz w:val="26"/>
        </w:rPr>
        <w:t>DIFFERENTIAL DIAGNOSIS</w:t>
      </w:r>
    </w:p>
    <w:p>
      <w:pPr>
        <w:spacing w:after="80"/>
      </w:pPr>
      <w:r>
        <w:t>F31 Bipolar Affective Disorder (to be considered in view of the recurrent, episodic affective presentation).</w:t>
      </w:r>
    </w:p>
    <w:p>
      <w:pPr>
        <w:spacing w:before="200" w:after="80"/>
      </w:pPr>
      <w:r>
        <w:rPr>
          <w:b/>
          <w:sz w:val="26"/>
        </w:rPr>
        <w:t>RECOMMENDATIONS AND SUGGESTIONS</w:t>
      </w:r>
    </w:p>
    <w:p>
      <w:pPr>
        <w:spacing w:after="80"/>
      </w:pPr>
      <w:r>
        <w:rPr>
          <w:b/>
        </w:rPr>
        <w:t xml:space="preserve">1. </w:t>
      </w:r>
      <w:r>
        <w:t>Psychiatric referral and pharmacological management for the affective (manic) symptoms, with regular monitoring of mood, sleep, and behaviour.</w:t>
      </w:r>
    </w:p>
    <w:p>
      <w:pPr>
        <w:spacing w:after="80"/>
      </w:pPr>
      <w:r>
        <w:rPr>
          <w:b/>
        </w:rPr>
        <w:t xml:space="preserve">2. </w:t>
      </w:r>
      <w:r>
        <w:t>Parent and caregiver training to help the family understand the patient's difficulties, manage anger outbursts, and improve compliance with instructions.</w:t>
      </w:r>
    </w:p>
    <w:p>
      <w:pPr>
        <w:spacing w:after="80"/>
      </w:pPr>
      <w:r>
        <w:rPr>
          <w:b/>
        </w:rPr>
        <w:t xml:space="preserve">3. </w:t>
      </w:r>
      <w:r>
        <w:t>Emotional regulation training to help her recognise basic emotions, reduce frustration, and learn simple coping skills.</w:t>
      </w:r>
    </w:p>
    <w:p>
      <w:pPr>
        <w:spacing w:after="80"/>
      </w:pPr>
      <w:r>
        <w:rPr>
          <w:b/>
        </w:rPr>
        <w:t xml:space="preserve">4. </w:t>
      </w:r>
      <w:r>
        <w:t>Social skills training to improve turn-taking, sharing, eye contact, following simple social rules, and appropriate interaction with peers.</w:t>
      </w:r>
    </w:p>
    <w:p>
      <w:pPr>
        <w:spacing w:after="80"/>
      </w:pPr>
      <w:r>
        <w:rPr>
          <w:b/>
        </w:rPr>
        <w:t xml:space="preserve">5. </w:t>
      </w:r>
      <w:r>
        <w:t>Applied Behaviour Analysis (ABA)-based intervention programme to systematically increase attention, sitting behaviour, communication attempts, and functional skills.</w:t>
      </w:r>
    </w:p>
    <w:p>
      <w:pPr>
        <w:spacing w:after="80"/>
      </w:pPr>
      <w:r>
        <w:rPr>
          <w:b/>
        </w:rPr>
        <w:t xml:space="preserve">6. </w:t>
      </w:r>
      <w:r>
        <w:t>Issuance of disability certification and linkage to applicable government welfare schemes and special-education/vocational support services.</w:t>
      </w:r>
    </w:p>
    <w:p>
      <w:pPr>
        <w:spacing w:after="80"/>
      </w:pPr>
      <w:r>
        <w:rPr>
          <w:b/>
        </w:rPr>
        <w:t xml:space="preserve">7. </w:t>
      </w:r>
      <w:r>
        <w:t>Regular follow-up and monitoring to track symptom progression and modify intervention strategies as required.</w:t>
      </w:r>
    </w:p>
    <w:p/>
    <w:tbl>
      <w:tblPr>
        <w:tblW w:type="auto" w:w="0"/>
        <w:tblLook w:firstColumn="1" w:firstRow="1" w:lastColumn="0" w:lastRow="0" w:noHBand="0" w:noVBand="1" w:val="04A0"/>
      </w:tblPr>
      <w:tblGrid>
        <w:gridCol w:w="4320"/>
        <w:gridCol w:w="4320"/>
      </w:tblGrid>
      <w:tr>
        <w:tc>
          <w:tcPr>
            <w:tcW w:type="dxa" w:w="4320"/>
          </w:tcPr>
          <w:p>
            <w:r/>
            <w:r>
              <w:rPr>
                <w:b/>
              </w:rPr>
              <w:t>Assessed by:</w:t>
            </w:r>
          </w:p>
          <w:p>
            <w:r/>
          </w:p>
          <w:p>
            <w:r>
              <w:t>Avani Shah</w:t>
            </w:r>
          </w:p>
          <w:p>
            <w:r>
              <w:t>M.Phil. Clinical Psychology, 1st Year Trainee</w:t>
            </w:r>
          </w:p>
          <w:p>
            <w:r>
              <w:t>Department of Clinical Psychology</w:t>
            </w:r>
          </w:p>
          <w:p>
            <w:r>
              <w:t>MAN College of Special Education and Psychological Studies, Guna, M.P.</w:t>
            </w:r>
          </w:p>
        </w:tc>
        <w:tc>
          <w:tcPr>
            <w:tcW w:type="dxa" w:w="4320"/>
          </w:tcPr>
          <w:p>
            <w:r/>
            <w:r>
              <w:rPr>
                <w:b/>
              </w:rPr>
              <w:t>Supervised by:</w:t>
            </w:r>
          </w:p>
          <w:p>
            <w:r/>
          </w:p>
          <w:p>
            <w:r>
              <w:t>Ms. Samriddhi Oli</w:t>
            </w:r>
          </w:p>
          <w:p>
            <w:r>
              <w:t>Assistant Professor (CRR No. A107111)</w:t>
            </w:r>
          </w:p>
          <w:p>
            <w:r>
              <w:t>Department of Clinical Psychology</w:t>
            </w:r>
          </w:p>
          <w:p>
            <w:r>
              <w:t>MAN College of Special Education and Psychological Studies, Guna, M.P.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