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120"/>
        <w:jc w:val="center"/>
      </w:pPr>
      <w:r>
        <w:rPr>
          <w:rFonts w:ascii="Segoe UI" w:hAnsi="Segoe UI"/>
          <w:b w:val="0"/>
          <w:i w:val="0"/>
          <w:color w:val="4A5568"/>
          <w:sz w:val="22"/>
        </w:rPr>
        <w:t>M.PHIL. CLINICAL PSYCHOLOGY  •  STUDY NOTES</w:t>
      </w:r>
    </w:p>
    <w:p>
      <w:pPr>
        <w:spacing w:before="120" w:after="120"/>
        <w:jc w:val="center"/>
      </w:pPr>
      <w:r>
        <w:rPr>
          <w:rFonts w:ascii="Segoe UI" w:hAnsi="Segoe UI"/>
          <w:b/>
          <w:i w:val="0"/>
          <w:color w:val="2B4C7E"/>
          <w:sz w:val="52"/>
        </w:rPr>
        <w:t>Psychotherapy — Unit I: Introduction to Psychotherapy</w:t>
      </w:r>
    </w:p>
    <w:p>
      <w:pPr>
        <w:spacing w:before="40" w:after="200"/>
        <w:jc w:val="center"/>
      </w:pPr>
      <w:r>
        <w:rPr>
          <w:rFonts w:ascii="Segoe UI" w:hAnsi="Segoe UI"/>
          <w:b w:val="0"/>
          <w:i w:val="0"/>
          <w:color w:val="1B2330"/>
          <w:sz w:val="30"/>
        </w:rPr>
        <w:t>M.Phil. Clinical Psychology</w:t>
      </w:r>
    </w:p>
    <w:p>
      <w:pPr>
        <w:spacing w:before="400" w:after="120"/>
        <w:jc w:val="center"/>
      </w:pPr>
      <w:r>
        <w:rPr>
          <w:rFonts w:ascii="Segoe UI" w:hAnsi="Segoe UI"/>
          <w:b/>
          <w:i w:val="0"/>
          <w:color w:val="1B2330"/>
          <w:sz w:val="26"/>
        </w:rPr>
        <w:t>Made by Tejas Dangodra | M.Phil. Clinical Psychology</w:t>
      </w:r>
    </w:p>
    <w:p>
      <w:pPr>
        <w:spacing w:before="480" w:after="0"/>
        <w:jc w:val="center"/>
      </w:pPr>
      <w:r>
        <w:rPr>
          <w:rFonts w:ascii="Calibri" w:hAnsi="Calibri"/>
          <w:b w:val="0"/>
          <w:i w:val="0"/>
          <w:color w:val="4A5568"/>
          <w:sz w:val="20"/>
        </w:rPr>
        <w:t>Scope — Unit I: Introduction to Psychotherapy. Definitions; objectives; training of professional therapists; ethical and legal issues; rights and responsibilities; consent and assent (minors); planning and recording of sessions; structuring and goal setting; pre- and post-assessment; and the practice of evidence-based therapies. Bullet-point study format, with a flow chart and a mnemonic for each of the ten topics.</w:t>
      </w:r>
    </w:p>
    <w:p>
      <w:r>
        <w:br w:type="page"/>
      </w:r>
    </w:p>
    <w:p>
      <w:pPr>
        <w:pStyle w:val="Heading1"/>
      </w:pPr>
      <w:r>
        <w:rPr>
          <w:rFonts w:ascii="Segoe UI" w:hAnsi="Segoe UI"/>
          <w:b/>
          <w:i w:val="0"/>
          <w:color w:val="2B4C7E"/>
          <w:sz w:val="30"/>
        </w:rPr>
        <w:t>Contents</w:t>
      </w:r>
    </w:p>
    <w:p>
      <w:pPr>
        <w:pStyle w:val="ListNumber"/>
        <w:spacing w:before="0" w:after="20"/>
      </w:pPr>
      <w:r>
        <w:rPr>
          <w:rFonts w:ascii="Calibri" w:hAnsi="Calibri"/>
          <w:b w:val="0"/>
          <w:i w:val="0"/>
          <w:color w:val="1B2330"/>
          <w:sz w:val="22"/>
        </w:rPr>
        <w:t>Definitions of Psychotherapy</w:t>
      </w:r>
    </w:p>
    <w:p>
      <w:pPr>
        <w:pStyle w:val="ListNumber"/>
        <w:spacing w:before="0" w:after="20"/>
      </w:pPr>
      <w:r>
        <w:rPr>
          <w:rFonts w:ascii="Calibri" w:hAnsi="Calibri"/>
          <w:b w:val="0"/>
          <w:i w:val="0"/>
          <w:color w:val="1B2330"/>
          <w:sz w:val="22"/>
        </w:rPr>
        <w:t>Objectives (Goals) of Psychotherapy</w:t>
      </w:r>
    </w:p>
    <w:p>
      <w:pPr>
        <w:pStyle w:val="ListNumber"/>
        <w:spacing w:before="0" w:after="20"/>
      </w:pPr>
      <w:r>
        <w:rPr>
          <w:rFonts w:ascii="Calibri" w:hAnsi="Calibri"/>
          <w:b w:val="0"/>
          <w:i w:val="0"/>
          <w:color w:val="1B2330"/>
          <w:sz w:val="22"/>
        </w:rPr>
        <w:t>Issues in Training Professional Therapists</w:t>
      </w:r>
    </w:p>
    <w:p>
      <w:pPr>
        <w:pStyle w:val="ListNumber"/>
        <w:spacing w:before="0" w:after="20"/>
      </w:pPr>
      <w:r>
        <w:rPr>
          <w:rFonts w:ascii="Calibri" w:hAnsi="Calibri"/>
          <w:b w:val="0"/>
          <w:i w:val="0"/>
          <w:color w:val="1B2330"/>
          <w:sz w:val="22"/>
        </w:rPr>
        <w:t>Ethical and Legal Issues in Therapy Work</w:t>
      </w:r>
    </w:p>
    <w:p>
      <w:pPr>
        <w:pStyle w:val="ListNumber"/>
        <w:spacing w:before="0" w:after="20"/>
      </w:pPr>
      <w:r>
        <w:rPr>
          <w:rFonts w:ascii="Calibri" w:hAnsi="Calibri"/>
          <w:b w:val="0"/>
          <w:i w:val="0"/>
          <w:color w:val="1B2330"/>
          <w:sz w:val="22"/>
        </w:rPr>
        <w:t>Rights and Responsibilities in Psychotherapy</w:t>
      </w:r>
    </w:p>
    <w:p>
      <w:pPr>
        <w:pStyle w:val="ListNumber"/>
        <w:spacing w:before="0" w:after="20"/>
      </w:pPr>
      <w:r>
        <w:rPr>
          <w:rFonts w:ascii="Calibri" w:hAnsi="Calibri"/>
          <w:b w:val="0"/>
          <w:i w:val="0"/>
          <w:color w:val="1B2330"/>
          <w:sz w:val="22"/>
        </w:rPr>
        <w:t>Consent and Assent (Including Minors)</w:t>
      </w:r>
    </w:p>
    <w:p>
      <w:pPr>
        <w:pStyle w:val="ListNumber"/>
        <w:spacing w:before="0" w:after="20"/>
      </w:pPr>
      <w:r>
        <w:rPr>
          <w:rFonts w:ascii="Calibri" w:hAnsi="Calibri"/>
          <w:b w:val="0"/>
          <w:i w:val="0"/>
          <w:color w:val="1B2330"/>
          <w:sz w:val="22"/>
        </w:rPr>
        <w:t>Planning and Recording of Therapy Sessions</w:t>
      </w:r>
    </w:p>
    <w:p>
      <w:pPr>
        <w:pStyle w:val="ListNumber"/>
        <w:spacing w:before="0" w:after="20"/>
      </w:pPr>
      <w:r>
        <w:rPr>
          <w:rFonts w:ascii="Calibri" w:hAnsi="Calibri"/>
          <w:b w:val="0"/>
          <w:i w:val="0"/>
          <w:color w:val="1B2330"/>
          <w:sz w:val="22"/>
        </w:rPr>
        <w:t>Structuring Therapy and Setting Goals</w:t>
      </w:r>
    </w:p>
    <w:p>
      <w:pPr>
        <w:pStyle w:val="ListNumber"/>
        <w:spacing w:before="0" w:after="20"/>
      </w:pPr>
      <w:r>
        <w:rPr>
          <w:rFonts w:ascii="Calibri" w:hAnsi="Calibri"/>
          <w:b w:val="0"/>
          <w:i w:val="0"/>
          <w:color w:val="1B2330"/>
          <w:sz w:val="22"/>
        </w:rPr>
        <w:t>Pre- and Post-Assessment</w:t>
      </w:r>
    </w:p>
    <w:p>
      <w:pPr>
        <w:pStyle w:val="ListNumber"/>
        <w:spacing w:before="0" w:after="20"/>
      </w:pPr>
      <w:r>
        <w:rPr>
          <w:rFonts w:ascii="Calibri" w:hAnsi="Calibri"/>
          <w:b w:val="0"/>
          <w:i w:val="0"/>
          <w:color w:val="1B2330"/>
          <w:sz w:val="22"/>
        </w:rPr>
        <w:t>Practice of Evidence-Based Therapies (EBP)</w:t>
      </w:r>
    </w:p>
    <w:tbl>
      <w:tblPr>
        <w:tblW w:type="auto" w:w="0"/>
        <w:jc w:val="center"/>
        <w:tblLook w:firstColumn="1" w:firstRow="1" w:lastColumn="0" w:lastRow="0" w:noHBand="0" w:noVBand="1" w:val="04A0"/>
      </w:tblPr>
      <w:tblGrid>
        <w:gridCol w:w="9638"/>
      </w:tblGrid>
      <w:tr>
        <w:tc>
          <w:tcPr>
            <w:tcW w:type="dxa" w:w="9411"/>
            <w:tcBorders>
              <w:top w:val="single" w:sz="8" w:space="0" w:color="B23A48"/>
              <w:left w:val="single" w:sz="8" w:space="0" w:color="B23A48"/>
              <w:bottom w:val="single" w:sz="8" w:space="0" w:color="B23A48"/>
              <w:right w:val="single" w:sz="8" w:space="0" w:color="B23A48"/>
            </w:tcBorders>
            <w:shd w:val="clear" w:color="auto" w:fill="FDECEF"/>
          </w:tcPr>
          <w:p>
            <w:pPr>
              <w:spacing w:before="40" w:after="60"/>
            </w:pPr>
            <w:r>
              <w:rPr>
                <w:rFonts w:ascii="Segoe UI" w:hAnsi="Segoe UI"/>
                <w:b/>
                <w:i w:val="0"/>
                <w:color w:val="B23A48"/>
                <w:sz w:val="21"/>
              </w:rPr>
              <w:t>A note on sources (read first)</w:t>
            </w:r>
          </w:p>
          <w:p>
            <w:pPr>
              <w:pStyle w:val="ListBullet"/>
              <w:spacing w:before="0" w:after="40"/>
            </w:pPr>
            <w:r>
              <w:rPr>
                <w:rFonts w:ascii="Calibri" w:hAnsi="Calibri"/>
                <w:b w:val="0"/>
                <w:i w:val="0"/>
                <w:color w:val="1B2330"/>
                <w:sz w:val="19"/>
              </w:rPr>
              <w:t>PRIMARY (used directly): the course backbone "Psychotherapy Exam Notes" (Unit I), which is the organised spine of these notes, plus a secondary set of typed psychotherapy notes used for supporting definitions.</w:t>
            </w:r>
          </w:p>
          <w:p>
            <w:pPr>
              <w:pStyle w:val="ListBullet"/>
              <w:spacing w:before="0" w:after="40"/>
            </w:pPr>
            <w:r>
              <w:rPr>
                <w:rFonts w:ascii="Calibri" w:hAnsi="Calibri"/>
                <w:b w:val="0"/>
                <w:i w:val="0"/>
                <w:color w:val="1B2330"/>
                <w:sz w:val="19"/>
              </w:rPr>
              <w:t>SUPPORTED and stated as such: RCI (Rehabilitation Council of India Act, 1992), the APA Ethical Principles and the APA (2006) definition of evidence-based practice, and WHO mhGAP / task-shifting. These appear in the backbone and are presented directly.</w:t>
            </w:r>
          </w:p>
          <w:p>
            <w:pPr>
              <w:pStyle w:val="ListBullet"/>
              <w:spacing w:before="0" w:after="40"/>
            </w:pPr>
            <w:r>
              <w:rPr>
                <w:rFonts w:ascii="Calibri" w:hAnsi="Calibri"/>
                <w:b w:val="0"/>
                <w:i w:val="0"/>
                <w:color w:val="1B2330"/>
                <w:sz w:val="19"/>
              </w:rPr>
              <w:t>SECONDARY / paraphrased: IACP (Indian Association of Clinical Psychologists) code of ethics was NOT accessible and is absent from the extracted sources. Every IACP mention below is flagged SECONDARY and paraphrased from general knowledge only — no clause numbers, no quoted text, no dates are asserted for it.</w:t>
            </w:r>
          </w:p>
          <w:p>
            <w:pPr>
              <w:pStyle w:val="ListBullet"/>
              <w:spacing w:before="0" w:after="40"/>
            </w:pPr>
            <w:r>
              <w:rPr>
                <w:rFonts w:ascii="Calibri" w:hAnsi="Calibri"/>
                <w:b w:val="0"/>
                <w:i w:val="0"/>
                <w:color w:val="1B2330"/>
                <w:sz w:val="19"/>
              </w:rPr>
              <w:t>Integrity: no laws, citations, clause numbers, page numbers or statistics have been invented. Where the backbone gives figures (Lambert's percentages; Eysenck 1952; Smith &amp; Glass 1977) they are reproduced and flagged as approximate / debated, exactly as the backbone frames them.</w:t>
            </w:r>
          </w:p>
        </w:tc>
      </w:tr>
    </w:tbl>
    <w:p>
      <w:pPr>
        <w:spacing w:after="40"/>
      </w:pPr>
    </w:p>
    <w:p>
      <w:pPr>
        <w:pStyle w:val="Heading1"/>
        <w:pageBreakBefore/>
      </w:pPr>
      <w:r>
        <w:rPr>
          <w:rFonts w:ascii="Segoe UI" w:hAnsi="Segoe UI"/>
          <w:b/>
          <w:i w:val="0"/>
          <w:color w:val="2B4C7E"/>
          <w:sz w:val="30"/>
        </w:rPr>
        <w:t>1. Definitions of Psychotherapy</w:t>
      </w:r>
    </w:p>
    <w:p>
      <w:pPr>
        <w:spacing w:before="180" w:after="40"/>
      </w:pPr>
      <w:r>
        <w:rPr>
          <w:rFonts w:ascii="Segoe UI" w:hAnsi="Segoe UI"/>
          <w:b/>
          <w:i w:val="0"/>
          <w:color w:val="1B2330"/>
          <w:sz w:val="23"/>
        </w:rPr>
        <w:t>Meaning and origin of the word</w:t>
      </w:r>
    </w:p>
    <w:p>
      <w:pPr>
        <w:pStyle w:val="ListBullet"/>
        <w:spacing w:before="0" w:after="40"/>
      </w:pPr>
      <w:r>
        <w:rPr>
          <w:rFonts w:ascii="Calibri" w:hAnsi="Calibri"/>
          <w:b w:val="0"/>
          <w:i w:val="0"/>
          <w:color w:val="1B2330"/>
          <w:sz w:val="21"/>
        </w:rPr>
        <w:t>Etymology (Kleinke, 1994): "psychotherapy" literally means caring for another person's soul or being, from the Greek:</w:t>
      </w:r>
    </w:p>
    <w:p>
      <w:pPr>
        <w:pStyle w:val="ListBullet2"/>
        <w:spacing w:before="0" w:after="20"/>
      </w:pPr>
      <w:r>
        <w:rPr>
          <w:rFonts w:ascii="Calibri" w:hAnsi="Calibri"/>
          <w:b w:val="0"/>
          <w:i w:val="0"/>
          <w:color w:val="1B2330"/>
          <w:sz w:val="20"/>
        </w:rPr>
        <w:t>psyche — "soul" or "being";</w:t>
      </w:r>
    </w:p>
    <w:p>
      <w:pPr>
        <w:pStyle w:val="ListBullet2"/>
        <w:spacing w:before="0" w:after="20"/>
      </w:pPr>
      <w:r>
        <w:rPr>
          <w:rFonts w:ascii="Calibri" w:hAnsi="Calibri"/>
          <w:b w:val="0"/>
          <w:i w:val="0"/>
          <w:color w:val="1B2330"/>
          <w:sz w:val="20"/>
        </w:rPr>
        <w:t>therapeutikos — "caring for another".</w:t>
      </w:r>
    </w:p>
    <w:p>
      <w:pPr>
        <w:pStyle w:val="ListBullet"/>
        <w:spacing w:before="0" w:after="40"/>
      </w:pPr>
      <w:r>
        <w:rPr>
          <w:rFonts w:ascii="Calibri" w:hAnsi="Calibri"/>
          <w:b w:val="0"/>
          <w:i w:val="0"/>
          <w:color w:val="1B2330"/>
          <w:sz w:val="21"/>
        </w:rPr>
        <w:t>Umbrella term: it covers an enormous range of interventions, modalities and integrative strategies used to improve quality of life and health.</w:t>
      </w:r>
    </w:p>
    <w:p>
      <w:pPr>
        <w:pStyle w:val="ListBullet"/>
        <w:spacing w:before="0" w:after="40"/>
      </w:pPr>
      <w:r>
        <w:rPr>
          <w:rFonts w:ascii="Calibri" w:hAnsi="Calibri"/>
          <w:b w:val="0"/>
          <w:i w:val="0"/>
          <w:color w:val="1B2330"/>
          <w:sz w:val="21"/>
        </w:rPr>
        <w:t>Historical root — the "talking cure": Anna O., an early psychoanalytic patient of Breuer, called her treatment the "talking cure"; an elegant if vague description — talking, expressing and sharing one's pain can itself be healing. It is a foundational frame, though too loose for contemporary researchers.</w:t>
      </w:r>
    </w:p>
    <w:p>
      <w:pPr>
        <w:spacing w:before="180" w:after="40"/>
      </w:pPr>
      <w:r>
        <w:rPr>
          <w:rFonts w:ascii="Segoe UI" w:hAnsi="Segoe UI"/>
          <w:b/>
          <w:i w:val="0"/>
          <w:color w:val="1B2330"/>
          <w:sz w:val="23"/>
        </w:rPr>
        <w:t>Some shorter "favourite" definitions (secondary notes; imprecise but illustrative)</w:t>
      </w:r>
    </w:p>
    <w:p>
      <w:pPr>
        <w:pStyle w:val="ListBullet"/>
        <w:spacing w:before="0" w:after="40"/>
      </w:pPr>
      <w:r>
        <w:rPr>
          <w:rFonts w:ascii="Calibri" w:hAnsi="Calibri"/>
          <w:b w:val="0"/>
          <w:i w:val="0"/>
          <w:color w:val="1B2330"/>
          <w:sz w:val="21"/>
        </w:rPr>
        <w:t>Korchin (1976): "a conversation with a therapeutic purpose."</w:t>
      </w:r>
    </w:p>
    <w:p>
      <w:pPr>
        <w:pStyle w:val="ListBullet"/>
        <w:spacing w:before="0" w:after="40"/>
      </w:pPr>
      <w:r>
        <w:rPr>
          <w:rFonts w:ascii="Calibri" w:hAnsi="Calibri"/>
          <w:b w:val="0"/>
          <w:i w:val="0"/>
          <w:color w:val="1B2330"/>
          <w:sz w:val="21"/>
        </w:rPr>
        <w:t>Schofield (1964): "the purchase of friendship."</w:t>
      </w:r>
    </w:p>
    <w:p>
      <w:pPr>
        <w:pStyle w:val="ListBullet"/>
        <w:spacing w:before="0" w:after="40"/>
      </w:pPr>
      <w:r>
        <w:rPr>
          <w:rFonts w:ascii="Calibri" w:hAnsi="Calibri"/>
          <w:b w:val="0"/>
          <w:i w:val="0"/>
          <w:color w:val="1B2330"/>
          <w:sz w:val="21"/>
        </w:rPr>
        <w:t>Bruch (1981): a situation in which two people interact and try to understand one another, with the specific goal of accomplishing something beneficial for the complaining person.</w:t>
      </w:r>
    </w:p>
    <w:p>
      <w:pPr>
        <w:pStyle w:val="ListBullet"/>
        <w:spacing w:before="0" w:after="40"/>
      </w:pPr>
      <w:r>
        <w:rPr>
          <w:rFonts w:ascii="Calibri" w:hAnsi="Calibri"/>
          <w:b w:val="0"/>
          <w:i w:val="0"/>
          <w:color w:val="1B2330"/>
          <w:sz w:val="21"/>
        </w:rPr>
        <w:t>J. Watkins (1983): "when one person with an emotional disorder gets help from another person who has less of an emotional disorder."</w:t>
      </w:r>
    </w:p>
    <w:p>
      <w:pPr>
        <w:spacing w:before="180" w:after="40"/>
      </w:pPr>
      <w:r>
        <w:rPr>
          <w:rFonts w:ascii="Segoe UI" w:hAnsi="Segoe UI"/>
          <w:b/>
          <w:i w:val="0"/>
          <w:color w:val="1B2330"/>
          <w:sz w:val="23"/>
        </w:rPr>
        <w:t>Classic definitions</w:t>
      </w:r>
    </w:p>
    <w:p>
      <w:pPr>
        <w:pStyle w:val="ListBullet"/>
        <w:spacing w:before="0" w:after="40"/>
      </w:pPr>
      <w:r>
        <w:rPr>
          <w:rFonts w:ascii="Calibri" w:hAnsi="Calibri"/>
          <w:b w:val="0"/>
          <w:i w:val="0"/>
          <w:color w:val="1B2330"/>
          <w:sz w:val="21"/>
        </w:rPr>
        <w:t>Wolberg (1954): a form of treatment for problems of an emotional nature, in which a trained person deliberately establishes a professional relationship with the patient in order to:</w:t>
      </w:r>
    </w:p>
    <w:p>
      <w:pPr>
        <w:pStyle w:val="ListBullet2"/>
        <w:spacing w:before="0" w:after="20"/>
      </w:pPr>
      <w:r>
        <w:rPr>
          <w:rFonts w:ascii="Calibri" w:hAnsi="Calibri"/>
          <w:b w:val="0"/>
          <w:i w:val="0"/>
          <w:color w:val="1B2330"/>
          <w:sz w:val="20"/>
        </w:rPr>
        <w:t>remove, modify or retard existing symptoms;</w:t>
      </w:r>
    </w:p>
    <w:p>
      <w:pPr>
        <w:pStyle w:val="ListBullet2"/>
        <w:spacing w:before="0" w:after="20"/>
      </w:pPr>
      <w:r>
        <w:rPr>
          <w:rFonts w:ascii="Calibri" w:hAnsi="Calibri"/>
          <w:b w:val="0"/>
          <w:i w:val="0"/>
          <w:color w:val="1B2330"/>
          <w:sz w:val="20"/>
        </w:rPr>
        <w:t>mediate (change) disturbed patterns of behaviour;</w:t>
      </w:r>
    </w:p>
    <w:p>
      <w:pPr>
        <w:pStyle w:val="ListBullet2"/>
        <w:spacing w:before="0" w:after="20"/>
      </w:pPr>
      <w:r>
        <w:rPr>
          <w:rFonts w:ascii="Calibri" w:hAnsi="Calibri"/>
          <w:b w:val="0"/>
          <w:i w:val="0"/>
          <w:color w:val="1B2330"/>
          <w:sz w:val="20"/>
        </w:rPr>
        <w:t>promote positive personality growth and development.</w:t>
      </w:r>
    </w:p>
    <w:p>
      <w:pPr>
        <w:pStyle w:val="ListBullet"/>
        <w:spacing w:before="0" w:after="40"/>
      </w:pPr>
      <w:r>
        <w:rPr>
          <w:rFonts w:ascii="Calibri" w:hAnsi="Calibri"/>
          <w:b w:val="0"/>
          <w:i w:val="0"/>
          <w:color w:val="1B2330"/>
          <w:sz w:val="21"/>
        </w:rPr>
        <w:t>Jerome Frank (1961, Persuasion and Healing): a planned, emotionally charged, confiding interaction between a trained, socially sanctioned healer and a sufferer; aims to change the sufferer's feelings, attitudes and behaviour.</w:t>
      </w:r>
    </w:p>
    <w:p>
      <w:pPr>
        <w:pStyle w:val="ListBullet"/>
        <w:spacing w:before="0" w:after="40"/>
      </w:pPr>
      <w:r>
        <w:rPr>
          <w:rFonts w:ascii="Calibri" w:hAnsi="Calibri"/>
          <w:b w:val="0"/>
          <w:i w:val="0"/>
          <w:color w:val="1B2330"/>
          <w:sz w:val="21"/>
        </w:rPr>
        <w:t>Norcross (1990): the informed and intentional application of clinical methods and interpersonal stances derived from established psychological principles, to help people modify behaviours, cognitions, emotions and other characteristics in directions the participants deem desirable.</w:t>
      </w:r>
    </w:p>
    <w:p>
      <w:pPr>
        <w:pStyle w:val="ListBullet"/>
        <w:spacing w:before="0" w:after="40"/>
      </w:pPr>
      <w:r>
        <w:rPr>
          <w:rFonts w:ascii="Calibri" w:hAnsi="Calibri"/>
          <w:b w:val="0"/>
          <w:i w:val="0"/>
          <w:color w:val="1B2330"/>
          <w:sz w:val="21"/>
        </w:rPr>
        <w:t>Strupp: a learning process in which a trained person uses the relationship to help the patient overcome distress and develop more adaptive functioning.</w:t>
      </w:r>
    </w:p>
    <w:p>
      <w:pPr>
        <w:spacing w:before="180" w:after="40"/>
      </w:pPr>
      <w:r>
        <w:rPr>
          <w:rFonts w:ascii="Segoe UI" w:hAnsi="Segoe UI"/>
          <w:b/>
          <w:i w:val="0"/>
          <w:color w:val="1B2330"/>
          <w:sz w:val="23"/>
        </w:rPr>
        <w:t>Key elements common to all definitions</w:t>
      </w:r>
    </w:p>
    <w:p>
      <w:pPr>
        <w:pStyle w:val="ListBullet"/>
        <w:spacing w:before="0" w:after="40"/>
      </w:pPr>
      <w:r>
        <w:rPr>
          <w:rFonts w:ascii="Calibri" w:hAnsi="Calibri"/>
          <w:b w:val="0"/>
          <w:i w:val="0"/>
          <w:color w:val="1B2330"/>
          <w:sz w:val="21"/>
        </w:rPr>
        <w:t>A trained, professional therapist.</w:t>
      </w:r>
    </w:p>
    <w:p>
      <w:pPr>
        <w:pStyle w:val="ListBullet"/>
        <w:spacing w:before="0" w:after="40"/>
      </w:pPr>
      <w:r>
        <w:rPr>
          <w:rFonts w:ascii="Calibri" w:hAnsi="Calibri"/>
          <w:b w:val="0"/>
          <w:i w:val="0"/>
          <w:color w:val="1B2330"/>
          <w:sz w:val="21"/>
        </w:rPr>
        <w:t>A help-seeking client.</w:t>
      </w:r>
    </w:p>
    <w:p>
      <w:pPr>
        <w:pStyle w:val="ListBullet"/>
        <w:spacing w:before="0" w:after="40"/>
      </w:pPr>
      <w:r>
        <w:rPr>
          <w:rFonts w:ascii="Calibri" w:hAnsi="Calibri"/>
          <w:b w:val="0"/>
          <w:i w:val="0"/>
          <w:color w:val="1B2330"/>
          <w:sz w:val="21"/>
        </w:rPr>
        <w:t>A psychological (non-medical) method.</w:t>
      </w:r>
    </w:p>
    <w:p>
      <w:pPr>
        <w:pStyle w:val="ListBullet"/>
        <w:spacing w:before="0" w:after="40"/>
      </w:pPr>
      <w:r>
        <w:rPr>
          <w:rFonts w:ascii="Calibri" w:hAnsi="Calibri"/>
          <w:b w:val="0"/>
          <w:i w:val="0"/>
          <w:color w:val="1B2330"/>
          <w:sz w:val="21"/>
        </w:rPr>
        <w:t>A planned, systematic, theory-based process.</w:t>
      </w:r>
    </w:p>
    <w:p>
      <w:pPr>
        <w:pStyle w:val="ListBullet"/>
        <w:spacing w:before="0" w:after="40"/>
      </w:pPr>
      <w:r>
        <w:rPr>
          <w:rFonts w:ascii="Calibri" w:hAnsi="Calibri"/>
          <w:b w:val="0"/>
          <w:i w:val="0"/>
          <w:color w:val="1B2330"/>
          <w:sz w:val="21"/>
        </w:rPr>
        <w:t>A confiding, therapeutic relationship.</w:t>
      </w:r>
    </w:p>
    <w:p>
      <w:pPr>
        <w:pStyle w:val="ListBullet"/>
        <w:spacing w:before="0" w:after="40"/>
      </w:pPr>
      <w:r>
        <w:rPr>
          <w:rFonts w:ascii="Calibri" w:hAnsi="Calibri"/>
          <w:b w:val="0"/>
          <w:i w:val="0"/>
          <w:color w:val="1B2330"/>
          <w:sz w:val="21"/>
        </w:rPr>
        <w:t>The aim of change (symptom relief, behaviour change, growth).</w:t>
      </w:r>
    </w:p>
    <w:p>
      <w:pPr>
        <w:spacing w:before="180" w:after="40"/>
      </w:pPr>
      <w:r>
        <w:rPr>
          <w:rFonts w:ascii="Segoe UI" w:hAnsi="Segoe UI"/>
          <w:b/>
          <w:i w:val="0"/>
          <w:color w:val="1B2330"/>
          <w:sz w:val="23"/>
        </w:rPr>
        <w:t>Psychotherapy vs counselling vs medical treatment</w:t>
      </w:r>
    </w:p>
    <w:p>
      <w:pPr>
        <w:pStyle w:val="ListBullet"/>
        <w:spacing w:before="0" w:after="40"/>
      </w:pPr>
      <w:r>
        <w:rPr>
          <w:rFonts w:ascii="Calibri" w:hAnsi="Calibri"/>
          <w:b w:val="0"/>
          <w:i w:val="0"/>
          <w:color w:val="1B2330"/>
          <w:sz w:val="21"/>
        </w:rPr>
        <w:t>Psychotherapy vs counselling:</w:t>
      </w:r>
    </w:p>
    <w:p>
      <w:pPr>
        <w:pStyle w:val="ListBullet2"/>
        <w:spacing w:before="0" w:after="20"/>
      </w:pPr>
      <w:r>
        <w:rPr>
          <w:rFonts w:ascii="Calibri" w:hAnsi="Calibri"/>
          <w:b w:val="0"/>
          <w:i w:val="0"/>
          <w:color w:val="1B2330"/>
          <w:sz w:val="20"/>
        </w:rPr>
        <w:t>Counselling: usually normal developmental, situational and adjustment problems; more present- and problem-focused; shorter.</w:t>
      </w:r>
    </w:p>
    <w:p>
      <w:pPr>
        <w:pStyle w:val="ListBullet2"/>
        <w:spacing w:before="0" w:after="20"/>
      </w:pPr>
      <w:r>
        <w:rPr>
          <w:rFonts w:ascii="Calibri" w:hAnsi="Calibri"/>
          <w:b w:val="0"/>
          <w:i w:val="0"/>
          <w:color w:val="1B2330"/>
          <w:sz w:val="20"/>
        </w:rPr>
        <w:t>Psychotherapy: deeper, more enduring or pathological problems and personality reconstruction; usually longer.</w:t>
      </w:r>
    </w:p>
    <w:p>
      <w:pPr>
        <w:pStyle w:val="ListBullet2"/>
        <w:spacing w:before="0" w:after="20"/>
      </w:pPr>
      <w:r>
        <w:rPr>
          <w:rFonts w:ascii="Calibri" w:hAnsi="Calibri"/>
          <w:b w:val="0"/>
          <w:i w:val="0"/>
          <w:color w:val="1B2330"/>
          <w:sz w:val="20"/>
        </w:rPr>
        <w:t>The overlap is large; the distinction is mostly one of degree.</w:t>
      </w:r>
    </w:p>
    <w:p>
      <w:pPr>
        <w:pStyle w:val="ListBullet"/>
        <w:spacing w:before="0" w:after="40"/>
      </w:pPr>
      <w:r>
        <w:rPr>
          <w:rFonts w:ascii="Calibri" w:hAnsi="Calibri"/>
          <w:b w:val="0"/>
          <w:i w:val="0"/>
          <w:color w:val="1B2330"/>
          <w:sz w:val="21"/>
        </w:rPr>
        <w:t>Psychotherapy vs medical treatment:</w:t>
      </w:r>
    </w:p>
    <w:p>
      <w:pPr>
        <w:pStyle w:val="ListBullet2"/>
        <w:spacing w:before="0" w:after="20"/>
      </w:pPr>
      <w:r>
        <w:rPr>
          <w:rFonts w:ascii="Calibri" w:hAnsi="Calibri"/>
          <w:b w:val="0"/>
          <w:i w:val="0"/>
          <w:color w:val="1B2330"/>
          <w:sz w:val="20"/>
        </w:rPr>
        <w:t>Psychotherapy works through communication, relationship and learning rather than drugs.</w:t>
      </w:r>
    </w:p>
    <w:p>
      <w:pPr>
        <w:pStyle w:val="ListBullet2"/>
        <w:spacing w:before="0" w:after="20"/>
      </w:pPr>
      <w:r>
        <w:rPr>
          <w:rFonts w:ascii="Calibri" w:hAnsi="Calibri"/>
          <w:b w:val="0"/>
          <w:i w:val="0"/>
          <w:color w:val="1B2330"/>
          <w:sz w:val="20"/>
        </w:rPr>
        <w:t>Both are often combined (e.g. for depression or psychosis).</w:t>
      </w:r>
    </w:p>
    <w:p>
      <w:pPr>
        <w:pStyle w:val="ListBullet"/>
        <w:spacing w:before="0" w:after="40"/>
      </w:pPr>
      <w:r>
        <w:rPr>
          <w:rFonts w:ascii="Calibri" w:hAnsi="Calibri"/>
          <w:b w:val="0"/>
          <w:i w:val="0"/>
          <w:color w:val="1B2330"/>
          <w:sz w:val="21"/>
        </w:rPr>
        <w:t>Psychotherapy vs talking to a friend (secondary notes):</w:t>
      </w:r>
    </w:p>
    <w:p>
      <w:pPr>
        <w:pStyle w:val="ListBullet2"/>
        <w:spacing w:before="0" w:after="20"/>
      </w:pPr>
      <w:r>
        <w:rPr>
          <w:rFonts w:ascii="Calibri" w:hAnsi="Calibri"/>
          <w:b w:val="0"/>
          <w:i w:val="0"/>
          <w:color w:val="1B2330"/>
          <w:sz w:val="20"/>
        </w:rPr>
        <w:t>It is a unilateral ("one-way") professional relationship — the client's problems are discussed, not the therapist's needs.</w:t>
      </w:r>
    </w:p>
    <w:p>
      <w:pPr>
        <w:pStyle w:val="ListBullet2"/>
        <w:spacing w:before="0" w:after="20"/>
      </w:pPr>
      <w:r>
        <w:rPr>
          <w:rFonts w:ascii="Calibri" w:hAnsi="Calibri"/>
          <w:b w:val="0"/>
          <w:i w:val="0"/>
          <w:color w:val="1B2330"/>
          <w:sz w:val="20"/>
        </w:rPr>
        <w:t>It is circumscribed by limits on time, frequency, content and intimacy.</w:t>
      </w:r>
    </w:p>
    <w:p>
      <w:pPr>
        <w:pStyle w:val="ListBullet2"/>
        <w:spacing w:before="0" w:after="20"/>
      </w:pPr>
      <w:r>
        <w:rPr>
          <w:rFonts w:ascii="Calibri" w:hAnsi="Calibri"/>
          <w:b w:val="0"/>
          <w:i w:val="0"/>
          <w:color w:val="1B2330"/>
          <w:sz w:val="20"/>
        </w:rPr>
        <w:t>Confidentiality is assured (within ethical and legal limits), so the client can speak freely.</w:t>
      </w:r>
    </w:p>
    <w:p>
      <w:pPr>
        <w:pStyle w:val="ListBullet2"/>
        <w:spacing w:before="0" w:after="20"/>
      </w:pPr>
      <w:r>
        <w:rPr>
          <w:rFonts w:ascii="Calibri" w:hAnsi="Calibri"/>
          <w:b w:val="0"/>
          <w:i w:val="0"/>
          <w:color w:val="1B2330"/>
          <w:sz w:val="20"/>
        </w:rPr>
        <w:t>It must not be compromised by unethical dual relationships (friend, colleague, lover).</w:t>
      </w:r>
    </w:p>
    <w:p>
      <w:pPr>
        <w:spacing w:before="180" w:after="40"/>
      </w:pPr>
      <w:r>
        <w:rPr>
          <w:rFonts w:ascii="Segoe UI" w:hAnsi="Segoe UI"/>
          <w:b/>
          <w:i w:val="0"/>
          <w:color w:val="1B2330"/>
          <w:sz w:val="23"/>
        </w:rPr>
        <w:t>Four major factors psychotherapy shares (secondary notes)</w:t>
      </w:r>
    </w:p>
    <w:p>
      <w:pPr>
        <w:pStyle w:val="ListBullet"/>
        <w:spacing w:before="0" w:after="40"/>
      </w:pPr>
      <w:r>
        <w:rPr>
          <w:rFonts w:ascii="Calibri" w:hAnsi="Calibri"/>
          <w:b w:val="0"/>
          <w:i w:val="0"/>
          <w:color w:val="1B2330"/>
          <w:sz w:val="21"/>
        </w:rPr>
        <w:t>A relationship in which the client trusts that the therapist is competent and cares about their welfare.</w:t>
      </w:r>
    </w:p>
    <w:p>
      <w:pPr>
        <w:pStyle w:val="ListBullet"/>
        <w:spacing w:before="0" w:after="40"/>
      </w:pPr>
      <w:r>
        <w:rPr>
          <w:rFonts w:ascii="Calibri" w:hAnsi="Calibri"/>
          <w:b w:val="0"/>
          <w:i w:val="0"/>
          <w:color w:val="1B2330"/>
          <w:sz w:val="21"/>
        </w:rPr>
        <w:t>The expectancy / hope, shared by therapist and client, that benefit will result.</w:t>
      </w:r>
    </w:p>
    <w:p>
      <w:pPr>
        <w:pStyle w:val="ListBullet"/>
        <w:spacing w:before="0" w:after="40"/>
      </w:pPr>
      <w:r>
        <w:rPr>
          <w:rFonts w:ascii="Calibri" w:hAnsi="Calibri"/>
          <w:b w:val="0"/>
          <w:i w:val="0"/>
          <w:color w:val="1B2330"/>
          <w:sz w:val="21"/>
        </w:rPr>
        <w:t>An underlying conceptual framework giving a rationale and procedures, requiring active participation of both.</w:t>
      </w:r>
    </w:p>
    <w:p>
      <w:pPr>
        <w:pStyle w:val="ListBullet"/>
        <w:spacing w:before="0" w:after="40"/>
      </w:pPr>
      <w:r>
        <w:rPr>
          <w:rFonts w:ascii="Calibri" w:hAnsi="Calibri"/>
          <w:b w:val="0"/>
          <w:i w:val="0"/>
          <w:color w:val="1B2330"/>
          <w:sz w:val="21"/>
        </w:rPr>
        <w:t>A practice setting socially defined and accepted as a place of healing.</w:t>
      </w:r>
    </w:p>
    <w:p>
      <w:pPr>
        <w:spacing w:before="160" w:after="40"/>
      </w:pPr>
      <w:r>
        <w:rPr>
          <w:rFonts w:ascii="Segoe UI" w:hAnsi="Segoe UI"/>
          <w:b/>
          <w:i w:val="0"/>
          <w:color w:val="2B4C7E"/>
          <w:sz w:val="21"/>
        </w:rPr>
        <w:t>Flow chart: Flow: from help-seeking to change</w:t>
      </w:r>
    </w:p>
    <w:tbl>
      <w:tblPr>
        <w:tblW w:type="auto" w:w="0"/>
        <w:jc w:val="center"/>
        <w:tblLook w:firstColumn="1" w:firstRow="1" w:lastColumn="0" w:lastRow="0" w:noHBand="0" w:noVBand="1" w:val="04A0"/>
      </w:tblPr>
      <w:tblGrid>
        <w:gridCol w:w="9638"/>
      </w:tblGrid>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Help-seeking client in distress</w:t>
            </w:r>
          </w:p>
        </w:tc>
      </w:tr>
      <w:tr>
        <w:tc>
          <w:tcPr>
            <w:tcW w:type="dxa" w:w="8504"/>
          </w:tcPr>
          <w:p>
            <w:pPr>
              <w:spacing w:before="20" w:after="20"/>
              <w:jc w:val="center"/>
            </w:pPr>
            <w:r>
              <w:rPr>
                <w:rFonts w:ascii="Segoe UI" w:hAnsi="Segoe UI"/>
                <w:b/>
                <w:i w:val="0"/>
                <w:color w:val="2B4C7E"/>
                <w:sz w:val="26"/>
              </w:rPr>
              <w:t>↓</w:t>
            </w:r>
          </w:p>
        </w:tc>
      </w:tr>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Trained, socially sanctioned therapist</w:t>
            </w:r>
          </w:p>
        </w:tc>
      </w:tr>
      <w:tr>
        <w:tc>
          <w:tcPr>
            <w:tcW w:type="dxa" w:w="8504"/>
          </w:tcPr>
          <w:p>
            <w:pPr>
              <w:spacing w:before="20" w:after="20"/>
              <w:jc w:val="center"/>
            </w:pPr>
            <w:r>
              <w:rPr>
                <w:rFonts w:ascii="Segoe UI" w:hAnsi="Segoe UI"/>
                <w:b/>
                <w:i w:val="0"/>
                <w:color w:val="2B4C7E"/>
                <w:sz w:val="26"/>
              </w:rPr>
              <w:t>↓</w:t>
            </w:r>
          </w:p>
        </w:tc>
      </w:tr>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Professional relationship established (confiding, planned)</w:t>
            </w:r>
          </w:p>
        </w:tc>
      </w:tr>
      <w:tr>
        <w:tc>
          <w:tcPr>
            <w:tcW w:type="dxa" w:w="8504"/>
          </w:tcPr>
          <w:p>
            <w:pPr>
              <w:spacing w:before="20" w:after="20"/>
              <w:jc w:val="center"/>
            </w:pPr>
            <w:r>
              <w:rPr>
                <w:rFonts w:ascii="Segoe UI" w:hAnsi="Segoe UI"/>
                <w:b/>
                <w:i w:val="0"/>
                <w:color w:val="2B4C7E"/>
                <w:sz w:val="26"/>
              </w:rPr>
              <w:t>↓</w:t>
            </w:r>
          </w:p>
        </w:tc>
      </w:tr>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Psychological, theory-based method applied</w:t>
            </w:r>
          </w:p>
        </w:tc>
      </w:tr>
      <w:tr>
        <w:tc>
          <w:tcPr>
            <w:tcW w:type="dxa" w:w="8504"/>
          </w:tcPr>
          <w:p>
            <w:pPr>
              <w:spacing w:before="20" w:after="20"/>
              <w:jc w:val="center"/>
            </w:pPr>
            <w:r>
              <w:rPr>
                <w:rFonts w:ascii="Segoe UI" w:hAnsi="Segoe UI"/>
                <w:b/>
                <w:i w:val="0"/>
                <w:color w:val="2B4C7E"/>
                <w:sz w:val="26"/>
              </w:rPr>
              <w:t>↓</w:t>
            </w:r>
          </w:p>
        </w:tc>
      </w:tr>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Symptom relief • behaviour change • growth</w:t>
            </w:r>
          </w:p>
        </w:tc>
      </w:tr>
    </w:tbl>
    <w:p>
      <w:pPr>
        <w:spacing w:after="40"/>
      </w:pPr>
    </w:p>
    <w:tbl>
      <w:tblPr>
        <w:tblW w:type="auto" w:w="0"/>
        <w:jc w:val="center"/>
        <w:tblLook w:firstColumn="1" w:firstRow="1" w:lastColumn="0" w:lastRow="0" w:noHBand="0" w:noVBand="1" w:val="04A0"/>
      </w:tblPr>
      <w:tblGrid>
        <w:gridCol w:w="9638"/>
      </w:tblGrid>
      <w:tr>
        <w:tc>
          <w:tcPr>
            <w:tcW w:type="dxa" w:w="9411"/>
            <w:tcBorders>
              <w:top w:val="single" w:sz="8" w:space="0" w:color="C98A1B"/>
              <w:left w:val="single" w:sz="8" w:space="0" w:color="C98A1B"/>
              <w:bottom w:val="single" w:sz="8" w:space="0" w:color="C98A1B"/>
              <w:right w:val="single" w:sz="8" w:space="0" w:color="C98A1B"/>
            </w:tcBorders>
            <w:shd w:val="clear" w:color="auto" w:fill="FFF6E6"/>
          </w:tcPr>
          <w:p>
            <w:pPr>
              <w:spacing w:before="40" w:after="60"/>
            </w:pPr>
            <w:r>
              <w:rPr>
                <w:rFonts w:ascii="Segoe UI" w:hAnsi="Segoe UI"/>
                <w:b/>
                <w:i w:val="0"/>
                <w:color w:val="8A5A00"/>
                <w:sz w:val="21"/>
              </w:rPr>
              <w:t xml:space="preserve">Mnemonic: </w:t>
            </w:r>
            <w:r>
              <w:rPr>
                <w:rFonts w:ascii="Segoe UI" w:hAnsi="Segoe UI"/>
                <w:b/>
                <w:i w:val="0"/>
                <w:color w:val="C98A1B"/>
                <w:sz w:val="26"/>
              </w:rPr>
              <w:t>PROMPT</w:t>
            </w:r>
            <w:r>
              <w:rPr>
                <w:rFonts w:ascii="Segoe UI" w:hAnsi="Segoe UI"/>
                <w:b/>
                <w:i w:val="0"/>
                <w:color w:val="8A5A00"/>
                <w:sz w:val="21"/>
              </w:rPr>
              <w:t xml:space="preserve">  —  the six common elements of every definition</w:t>
            </w:r>
          </w:p>
          <w:p>
            <w:pPr>
              <w:spacing w:before="0" w:after="20"/>
            </w:pPr>
            <w:r>
              <w:rPr>
                <w:rFonts w:ascii="Segoe UI" w:hAnsi="Segoe UI"/>
                <w:b/>
                <w:i w:val="0"/>
                <w:color w:val="C98A1B"/>
                <w:sz w:val="22"/>
              </w:rPr>
              <w:t xml:space="preserve">P  </w:t>
            </w:r>
            <w:r>
              <w:rPr>
                <w:rFonts w:ascii="Segoe UI" w:hAnsi="Segoe UI"/>
                <w:b/>
                <w:i w:val="0"/>
                <w:color w:val="1B2330"/>
                <w:sz w:val="19"/>
              </w:rPr>
              <w:t xml:space="preserve">Professional — </w:t>
            </w:r>
            <w:r>
              <w:rPr>
                <w:rFonts w:ascii="Segoe UI" w:hAnsi="Segoe UI"/>
                <w:b w:val="0"/>
                <w:i w:val="0"/>
                <w:color w:val="4A5568"/>
                <w:sz w:val="19"/>
              </w:rPr>
              <w:t>a trained professional therapist</w:t>
            </w:r>
          </w:p>
          <w:p>
            <w:pPr>
              <w:spacing w:before="0" w:after="20"/>
            </w:pPr>
            <w:r>
              <w:rPr>
                <w:rFonts w:ascii="Segoe UI" w:hAnsi="Segoe UI"/>
                <w:b/>
                <w:i w:val="0"/>
                <w:color w:val="C98A1B"/>
                <w:sz w:val="22"/>
              </w:rPr>
              <w:t xml:space="preserve">R  </w:t>
            </w:r>
            <w:r>
              <w:rPr>
                <w:rFonts w:ascii="Segoe UI" w:hAnsi="Segoe UI"/>
                <w:b/>
                <w:i w:val="0"/>
                <w:color w:val="1B2330"/>
                <w:sz w:val="19"/>
              </w:rPr>
              <w:t xml:space="preserve">Relationship — </w:t>
            </w:r>
            <w:r>
              <w:rPr>
                <w:rFonts w:ascii="Segoe UI" w:hAnsi="Segoe UI"/>
                <w:b w:val="0"/>
                <w:i w:val="0"/>
                <w:color w:val="4A5568"/>
                <w:sz w:val="19"/>
              </w:rPr>
              <w:t>a confiding therapeutic relationship</w:t>
            </w:r>
          </w:p>
          <w:p>
            <w:pPr>
              <w:spacing w:before="0" w:after="20"/>
            </w:pPr>
            <w:r>
              <w:rPr>
                <w:rFonts w:ascii="Segoe UI" w:hAnsi="Segoe UI"/>
                <w:b/>
                <w:i w:val="0"/>
                <w:color w:val="C98A1B"/>
                <w:sz w:val="22"/>
              </w:rPr>
              <w:t xml:space="preserve">O  </w:t>
            </w:r>
            <w:r>
              <w:rPr>
                <w:rFonts w:ascii="Segoe UI" w:hAnsi="Segoe UI"/>
                <w:b/>
                <w:i w:val="0"/>
                <w:color w:val="1B2330"/>
                <w:sz w:val="19"/>
              </w:rPr>
              <w:t xml:space="preserve">One seeking help — </w:t>
            </w:r>
            <w:r>
              <w:rPr>
                <w:rFonts w:ascii="Segoe UI" w:hAnsi="Segoe UI"/>
                <w:b w:val="0"/>
                <w:i w:val="0"/>
                <w:color w:val="4A5568"/>
                <w:sz w:val="19"/>
              </w:rPr>
              <w:t>a help-seeking client</w:t>
            </w:r>
          </w:p>
          <w:p>
            <w:pPr>
              <w:spacing w:before="0" w:after="20"/>
            </w:pPr>
            <w:r>
              <w:rPr>
                <w:rFonts w:ascii="Segoe UI" w:hAnsi="Segoe UI"/>
                <w:b/>
                <w:i w:val="0"/>
                <w:color w:val="C98A1B"/>
                <w:sz w:val="22"/>
              </w:rPr>
              <w:t xml:space="preserve">M  </w:t>
            </w:r>
            <w:r>
              <w:rPr>
                <w:rFonts w:ascii="Segoe UI" w:hAnsi="Segoe UI"/>
                <w:b/>
                <w:i w:val="0"/>
                <w:color w:val="1B2330"/>
                <w:sz w:val="19"/>
              </w:rPr>
              <w:t xml:space="preserve">Method (psychological) — </w:t>
            </w:r>
            <w:r>
              <w:rPr>
                <w:rFonts w:ascii="Segoe UI" w:hAnsi="Segoe UI"/>
                <w:b w:val="0"/>
                <w:i w:val="0"/>
                <w:color w:val="4A5568"/>
                <w:sz w:val="19"/>
              </w:rPr>
              <w:t>a non-medical, psychological method</w:t>
            </w:r>
          </w:p>
          <w:p>
            <w:pPr>
              <w:spacing w:before="0" w:after="20"/>
            </w:pPr>
            <w:r>
              <w:rPr>
                <w:rFonts w:ascii="Segoe UI" w:hAnsi="Segoe UI"/>
                <w:b/>
                <w:i w:val="0"/>
                <w:color w:val="C98A1B"/>
                <w:sz w:val="22"/>
              </w:rPr>
              <w:t xml:space="preserve">P  </w:t>
            </w:r>
            <w:r>
              <w:rPr>
                <w:rFonts w:ascii="Segoe UI" w:hAnsi="Segoe UI"/>
                <w:b/>
                <w:i w:val="0"/>
                <w:color w:val="1B2330"/>
                <w:sz w:val="19"/>
              </w:rPr>
              <w:t xml:space="preserve">Planned — </w:t>
            </w:r>
            <w:r>
              <w:rPr>
                <w:rFonts w:ascii="Segoe UI" w:hAnsi="Segoe UI"/>
                <w:b w:val="0"/>
                <w:i w:val="0"/>
                <w:color w:val="4A5568"/>
                <w:sz w:val="19"/>
              </w:rPr>
              <w:t>a planned, systematic, theory-based process</w:t>
            </w:r>
          </w:p>
          <w:p>
            <w:pPr>
              <w:spacing w:before="0" w:after="20"/>
            </w:pPr>
            <w:r>
              <w:rPr>
                <w:rFonts w:ascii="Segoe UI" w:hAnsi="Segoe UI"/>
                <w:b/>
                <w:i w:val="0"/>
                <w:color w:val="C98A1B"/>
                <w:sz w:val="22"/>
              </w:rPr>
              <w:t xml:space="preserve">T  </w:t>
            </w:r>
            <w:r>
              <w:rPr>
                <w:rFonts w:ascii="Segoe UI" w:hAnsi="Segoe UI"/>
                <w:b/>
                <w:i w:val="0"/>
                <w:color w:val="1B2330"/>
                <w:sz w:val="19"/>
              </w:rPr>
              <w:t xml:space="preserve">Transformation — </w:t>
            </w:r>
            <w:r>
              <w:rPr>
                <w:rFonts w:ascii="Segoe UI" w:hAnsi="Segoe UI"/>
                <w:b w:val="0"/>
                <w:i w:val="0"/>
                <w:color w:val="4A5568"/>
                <w:sz w:val="19"/>
              </w:rPr>
              <w:t>the aim of change / growth</w:t>
            </w:r>
          </w:p>
        </w:tc>
      </w:tr>
    </w:tbl>
    <w:p>
      <w:pPr>
        <w:spacing w:after="40"/>
      </w:pPr>
    </w:p>
    <w:p>
      <w:pPr>
        <w:spacing w:before="160" w:after="40"/>
      </w:pPr>
      <w:r>
        <w:rPr>
          <w:rFonts w:ascii="Segoe UI" w:hAnsi="Segoe UI"/>
          <w:b/>
          <w:i w:val="0"/>
          <w:color w:val="2B4C7E"/>
          <w:sz w:val="21"/>
        </w:rPr>
        <w:t>Flow chart: Flow: the four shared factors of therapy (secondary notes)</w:t>
      </w:r>
    </w:p>
    <w:tbl>
      <w:tblPr>
        <w:tblW w:type="auto" w:w="0"/>
        <w:jc w:val="center"/>
        <w:tblLook w:firstColumn="1" w:firstRow="1" w:lastColumn="0" w:lastRow="0" w:noHBand="0" w:noVBand="1" w:val="04A0"/>
      </w:tblPr>
      <w:tblGrid>
        <w:gridCol w:w="9638"/>
      </w:tblGrid>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A caring, competent relationship (trust)</w:t>
            </w:r>
          </w:p>
        </w:tc>
      </w:tr>
      <w:tr>
        <w:tc>
          <w:tcPr>
            <w:tcW w:type="dxa" w:w="8504"/>
          </w:tcPr>
          <w:p>
            <w:pPr>
              <w:spacing w:before="20" w:after="20"/>
              <w:jc w:val="center"/>
            </w:pPr>
            <w:r>
              <w:rPr>
                <w:rFonts w:ascii="Segoe UI" w:hAnsi="Segoe UI"/>
                <w:b/>
                <w:i w:val="0"/>
                <w:color w:val="2B4C7E"/>
                <w:sz w:val="26"/>
              </w:rPr>
              <w:t>↓</w:t>
            </w:r>
          </w:p>
        </w:tc>
      </w:tr>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Shared expectancy / hope of benefit</w:t>
            </w:r>
          </w:p>
        </w:tc>
      </w:tr>
      <w:tr>
        <w:tc>
          <w:tcPr>
            <w:tcW w:type="dxa" w:w="8504"/>
          </w:tcPr>
          <w:p>
            <w:pPr>
              <w:spacing w:before="20" w:after="20"/>
              <w:jc w:val="center"/>
            </w:pPr>
            <w:r>
              <w:rPr>
                <w:rFonts w:ascii="Segoe UI" w:hAnsi="Segoe UI"/>
                <w:b/>
                <w:i w:val="0"/>
                <w:color w:val="2B4C7E"/>
                <w:sz w:val="26"/>
              </w:rPr>
              <w:t>↓</w:t>
            </w:r>
          </w:p>
        </w:tc>
      </w:tr>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A conceptual framework + rationale and procedures</w:t>
            </w:r>
          </w:p>
        </w:tc>
      </w:tr>
      <w:tr>
        <w:tc>
          <w:tcPr>
            <w:tcW w:type="dxa" w:w="8504"/>
          </w:tcPr>
          <w:p>
            <w:pPr>
              <w:spacing w:before="20" w:after="20"/>
              <w:jc w:val="center"/>
            </w:pPr>
            <w:r>
              <w:rPr>
                <w:rFonts w:ascii="Segoe UI" w:hAnsi="Segoe UI"/>
                <w:b/>
                <w:i w:val="0"/>
                <w:color w:val="2B4C7E"/>
                <w:sz w:val="26"/>
              </w:rPr>
              <w:t>↓</w:t>
            </w:r>
          </w:p>
        </w:tc>
      </w:tr>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A socially sanctioned healing setting</w:t>
            </w:r>
          </w:p>
        </w:tc>
      </w:tr>
      <w:tr>
        <w:tc>
          <w:tcPr>
            <w:tcW w:type="dxa" w:w="8504"/>
          </w:tcPr>
          <w:p>
            <w:pPr>
              <w:spacing w:before="20" w:after="20"/>
              <w:jc w:val="center"/>
            </w:pPr>
            <w:r>
              <w:rPr>
                <w:rFonts w:ascii="Segoe UI" w:hAnsi="Segoe UI"/>
                <w:b/>
                <w:i w:val="0"/>
                <w:color w:val="2B4C7E"/>
                <w:sz w:val="26"/>
              </w:rPr>
              <w:t>↓</w:t>
            </w:r>
          </w:p>
        </w:tc>
      </w:tr>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 decrease in distress, increase in adaptive functioning</w:t>
            </w:r>
          </w:p>
        </w:tc>
      </w:tr>
    </w:tbl>
    <w:p>
      <w:pPr>
        <w:spacing w:after="40"/>
      </w:pPr>
    </w:p>
    <w:tbl>
      <w:tblPr>
        <w:tblW w:type="auto" w:w="0"/>
        <w:jc w:val="center"/>
        <w:tblLook w:firstColumn="1" w:firstRow="1" w:lastColumn="0" w:lastRow="0" w:noHBand="0" w:noVBand="1" w:val="04A0"/>
      </w:tblPr>
      <w:tblGrid>
        <w:gridCol w:w="9638"/>
      </w:tblGrid>
      <w:tr>
        <w:tc>
          <w:tcPr>
            <w:tcW w:type="dxa" w:w="9411"/>
            <w:tcBorders>
              <w:top w:val="single" w:sz="8" w:space="0" w:color="C98A1B"/>
              <w:left w:val="single" w:sz="8" w:space="0" w:color="C98A1B"/>
              <w:bottom w:val="single" w:sz="8" w:space="0" w:color="C98A1B"/>
              <w:right w:val="single" w:sz="8" w:space="0" w:color="C98A1B"/>
            </w:tcBorders>
            <w:shd w:val="clear" w:color="auto" w:fill="FFF6E6"/>
          </w:tcPr>
          <w:p>
            <w:pPr>
              <w:spacing w:before="40" w:after="60"/>
            </w:pPr>
            <w:r>
              <w:rPr>
                <w:rFonts w:ascii="Segoe UI" w:hAnsi="Segoe UI"/>
                <w:b/>
                <w:i w:val="0"/>
                <w:color w:val="8A5A00"/>
                <w:sz w:val="21"/>
              </w:rPr>
              <w:t xml:space="preserve">Mnemonic: </w:t>
            </w:r>
            <w:r>
              <w:rPr>
                <w:rFonts w:ascii="Segoe UI" w:hAnsi="Segoe UI"/>
                <w:b/>
                <w:i w:val="0"/>
                <w:color w:val="C98A1B"/>
                <w:sz w:val="26"/>
              </w:rPr>
              <w:t>REST</w:t>
            </w:r>
            <w:r>
              <w:rPr>
                <w:rFonts w:ascii="Segoe UI" w:hAnsi="Segoe UI"/>
                <w:b/>
                <w:i w:val="0"/>
                <w:color w:val="8A5A00"/>
                <w:sz w:val="21"/>
              </w:rPr>
              <w:t xml:space="preserve">  —  the four factors common to psychotherapies (secondary notes)</w:t>
            </w:r>
          </w:p>
          <w:p>
            <w:pPr>
              <w:spacing w:before="0" w:after="20"/>
            </w:pPr>
            <w:r>
              <w:rPr>
                <w:rFonts w:ascii="Segoe UI" w:hAnsi="Segoe UI"/>
                <w:b/>
                <w:i w:val="0"/>
                <w:color w:val="C98A1B"/>
                <w:sz w:val="22"/>
              </w:rPr>
              <w:t xml:space="preserve">R  </w:t>
            </w:r>
            <w:r>
              <w:rPr>
                <w:rFonts w:ascii="Segoe UI" w:hAnsi="Segoe UI"/>
                <w:b/>
                <w:i w:val="0"/>
                <w:color w:val="1B2330"/>
                <w:sz w:val="19"/>
              </w:rPr>
              <w:t xml:space="preserve">Relationship — </w:t>
            </w:r>
            <w:r>
              <w:rPr>
                <w:rFonts w:ascii="Segoe UI" w:hAnsi="Segoe UI"/>
                <w:b w:val="0"/>
                <w:i w:val="0"/>
                <w:color w:val="4A5568"/>
                <w:sz w:val="19"/>
              </w:rPr>
              <w:t>trust that the therapist is competent and cares</w:t>
            </w:r>
          </w:p>
          <w:p>
            <w:pPr>
              <w:spacing w:before="0" w:after="20"/>
            </w:pPr>
            <w:r>
              <w:rPr>
                <w:rFonts w:ascii="Segoe UI" w:hAnsi="Segoe UI"/>
                <w:b/>
                <w:i w:val="0"/>
                <w:color w:val="C98A1B"/>
                <w:sz w:val="22"/>
              </w:rPr>
              <w:t xml:space="preserve">E  </w:t>
            </w:r>
            <w:r>
              <w:rPr>
                <w:rFonts w:ascii="Segoe UI" w:hAnsi="Segoe UI"/>
                <w:b/>
                <w:i w:val="0"/>
                <w:color w:val="1B2330"/>
                <w:sz w:val="19"/>
              </w:rPr>
              <w:t xml:space="preserve">Expectancy — </w:t>
            </w:r>
            <w:r>
              <w:rPr>
                <w:rFonts w:ascii="Segoe UI" w:hAnsi="Segoe UI"/>
                <w:b w:val="0"/>
                <w:i w:val="0"/>
                <w:color w:val="4A5568"/>
                <w:sz w:val="19"/>
              </w:rPr>
              <w:t>shared hope that benefit will result</w:t>
            </w:r>
          </w:p>
          <w:p>
            <w:pPr>
              <w:spacing w:before="0" w:after="20"/>
            </w:pPr>
            <w:r>
              <w:rPr>
                <w:rFonts w:ascii="Segoe UI" w:hAnsi="Segoe UI"/>
                <w:b/>
                <w:i w:val="0"/>
                <w:color w:val="C98A1B"/>
                <w:sz w:val="22"/>
              </w:rPr>
              <w:t xml:space="preserve">S  </w:t>
            </w:r>
            <w:r>
              <w:rPr>
                <w:rFonts w:ascii="Segoe UI" w:hAnsi="Segoe UI"/>
                <w:b/>
                <w:i w:val="0"/>
                <w:color w:val="1B2330"/>
                <w:sz w:val="19"/>
              </w:rPr>
              <w:t xml:space="preserve">System of ideas — </w:t>
            </w:r>
            <w:r>
              <w:rPr>
                <w:rFonts w:ascii="Segoe UI" w:hAnsi="Segoe UI"/>
                <w:b w:val="0"/>
                <w:i w:val="0"/>
                <w:color w:val="4A5568"/>
                <w:sz w:val="19"/>
              </w:rPr>
              <w:t>a conceptual framework and procedures</w:t>
            </w:r>
          </w:p>
          <w:p>
            <w:pPr>
              <w:spacing w:before="0" w:after="20"/>
            </w:pPr>
            <w:r>
              <w:rPr>
                <w:rFonts w:ascii="Segoe UI" w:hAnsi="Segoe UI"/>
                <w:b/>
                <w:i w:val="0"/>
                <w:color w:val="C98A1B"/>
                <w:sz w:val="22"/>
              </w:rPr>
              <w:t xml:space="preserve">T  </w:t>
            </w:r>
            <w:r>
              <w:rPr>
                <w:rFonts w:ascii="Segoe UI" w:hAnsi="Segoe UI"/>
                <w:b/>
                <w:i w:val="0"/>
                <w:color w:val="1B2330"/>
                <w:sz w:val="19"/>
              </w:rPr>
              <w:t xml:space="preserve">Therapeutic setting — </w:t>
            </w:r>
            <w:r>
              <w:rPr>
                <w:rFonts w:ascii="Segoe UI" w:hAnsi="Segoe UI"/>
                <w:b w:val="0"/>
                <w:i w:val="0"/>
                <w:color w:val="4A5568"/>
                <w:sz w:val="19"/>
              </w:rPr>
              <w:t>a socially sanctioned place of healing</w:t>
            </w:r>
          </w:p>
        </w:tc>
      </w:tr>
    </w:tbl>
    <w:p>
      <w:pPr>
        <w:spacing w:after="40"/>
      </w:pPr>
    </w:p>
    <w:p>
      <w:pPr>
        <w:pStyle w:val="Heading1"/>
        <w:pageBreakBefore/>
      </w:pPr>
      <w:r>
        <w:rPr>
          <w:rFonts w:ascii="Segoe UI" w:hAnsi="Segoe UI"/>
          <w:b/>
          <w:i w:val="0"/>
          <w:color w:val="2B4C7E"/>
          <w:sz w:val="30"/>
        </w:rPr>
        <w:t>2. Objectives (Goals) of Psychotherapy</w:t>
      </w:r>
    </w:p>
    <w:p>
      <w:pPr>
        <w:spacing w:before="180" w:after="40"/>
      </w:pPr>
      <w:r>
        <w:rPr>
          <w:rFonts w:ascii="Segoe UI" w:hAnsi="Segoe UI"/>
          <w:b/>
          <w:i w:val="0"/>
          <w:color w:val="1B2330"/>
          <w:sz w:val="23"/>
        </w:rPr>
        <w:t>Kleinke (1994): six fundamental therapeutic goals (secondary notes)</w:t>
      </w:r>
    </w:p>
    <w:p>
      <w:pPr>
        <w:pStyle w:val="ListBullet"/>
        <w:spacing w:before="0" w:after="40"/>
      </w:pPr>
      <w:r>
        <w:rPr>
          <w:rFonts w:ascii="Calibri" w:hAnsi="Calibri"/>
          <w:b w:val="0"/>
          <w:i w:val="0"/>
          <w:color w:val="1B2330"/>
          <w:sz w:val="21"/>
        </w:rPr>
        <w:t>Overcoming demoralisation and gaining hope.</w:t>
      </w:r>
    </w:p>
    <w:p>
      <w:pPr>
        <w:pStyle w:val="ListBullet"/>
        <w:spacing w:before="0" w:after="40"/>
      </w:pPr>
      <w:r>
        <w:rPr>
          <w:rFonts w:ascii="Calibri" w:hAnsi="Calibri"/>
          <w:b w:val="0"/>
          <w:i w:val="0"/>
          <w:color w:val="1B2330"/>
          <w:sz w:val="21"/>
        </w:rPr>
        <w:t>Enhancing mastery and self-efficacy.</w:t>
      </w:r>
    </w:p>
    <w:p>
      <w:pPr>
        <w:pStyle w:val="ListBullet"/>
        <w:spacing w:before="0" w:after="40"/>
      </w:pPr>
      <w:r>
        <w:rPr>
          <w:rFonts w:ascii="Calibri" w:hAnsi="Calibri"/>
          <w:b w:val="0"/>
          <w:i w:val="0"/>
          <w:color w:val="1B2330"/>
          <w:sz w:val="21"/>
        </w:rPr>
        <w:t>Overcoming avoidance.</w:t>
      </w:r>
    </w:p>
    <w:p>
      <w:pPr>
        <w:pStyle w:val="ListBullet"/>
        <w:spacing w:before="0" w:after="40"/>
      </w:pPr>
      <w:r>
        <w:rPr>
          <w:rFonts w:ascii="Calibri" w:hAnsi="Calibri"/>
          <w:b w:val="0"/>
          <w:i w:val="0"/>
          <w:color w:val="1B2330"/>
          <w:sz w:val="21"/>
        </w:rPr>
        <w:t>Becoming aware of one's misconceptions.</w:t>
      </w:r>
    </w:p>
    <w:p>
      <w:pPr>
        <w:pStyle w:val="ListBullet"/>
        <w:spacing w:before="0" w:after="40"/>
      </w:pPr>
      <w:r>
        <w:rPr>
          <w:rFonts w:ascii="Calibri" w:hAnsi="Calibri"/>
          <w:b w:val="0"/>
          <w:i w:val="0"/>
          <w:color w:val="1B2330"/>
          <w:sz w:val="21"/>
        </w:rPr>
        <w:t>Accepting life's realities.</w:t>
      </w:r>
    </w:p>
    <w:p>
      <w:pPr>
        <w:pStyle w:val="ListBullet"/>
        <w:spacing w:before="0" w:after="40"/>
      </w:pPr>
      <w:r>
        <w:rPr>
          <w:rFonts w:ascii="Calibri" w:hAnsi="Calibri"/>
          <w:b w:val="0"/>
          <w:i w:val="0"/>
          <w:color w:val="1B2330"/>
          <w:sz w:val="21"/>
        </w:rPr>
        <w:t>Achieving insight.</w:t>
      </w:r>
    </w:p>
    <w:p>
      <w:pPr>
        <w:spacing w:before="180" w:after="40"/>
      </w:pPr>
      <w:r>
        <w:rPr>
          <w:rFonts w:ascii="Segoe UI" w:hAnsi="Segoe UI"/>
          <w:b/>
          <w:i w:val="0"/>
          <w:color w:val="1B2330"/>
          <w:sz w:val="23"/>
        </w:rPr>
        <w:t>The broader list of goals</w:t>
      </w:r>
    </w:p>
    <w:p>
      <w:pPr>
        <w:pStyle w:val="ListBullet"/>
        <w:spacing w:before="0" w:after="40"/>
      </w:pPr>
      <w:r>
        <w:rPr>
          <w:rFonts w:ascii="Calibri" w:hAnsi="Calibri"/>
          <w:b w:val="0"/>
          <w:i w:val="0"/>
          <w:color w:val="1B2330"/>
          <w:sz w:val="21"/>
        </w:rPr>
        <w:t>Relieve symptoms and distress (anxiety, depression, obsessions, etc.).</w:t>
      </w:r>
    </w:p>
    <w:p>
      <w:pPr>
        <w:pStyle w:val="ListBullet"/>
        <w:spacing w:before="0" w:after="40"/>
      </w:pPr>
      <w:r>
        <w:rPr>
          <w:rFonts w:ascii="Calibri" w:hAnsi="Calibri"/>
          <w:b w:val="0"/>
          <w:i w:val="0"/>
          <w:color w:val="1B2330"/>
          <w:sz w:val="21"/>
        </w:rPr>
        <w:t>Modify maladaptive behaviour, thoughts and emotions (change).</w:t>
      </w:r>
    </w:p>
    <w:p>
      <w:pPr>
        <w:pStyle w:val="ListBullet"/>
        <w:spacing w:before="0" w:after="40"/>
      </w:pPr>
      <w:r>
        <w:rPr>
          <w:rFonts w:ascii="Calibri" w:hAnsi="Calibri"/>
          <w:b w:val="0"/>
          <w:i w:val="0"/>
          <w:color w:val="1B2330"/>
          <w:sz w:val="21"/>
        </w:rPr>
        <w:t>Gain insight into the origin and meaning of problems (esp. psychodynamic work).</w:t>
      </w:r>
    </w:p>
    <w:p>
      <w:pPr>
        <w:pStyle w:val="ListBullet"/>
        <w:spacing w:before="0" w:after="40"/>
      </w:pPr>
      <w:r>
        <w:rPr>
          <w:rFonts w:ascii="Calibri" w:hAnsi="Calibri"/>
          <w:b w:val="0"/>
          <w:i w:val="0"/>
          <w:color w:val="1B2330"/>
          <w:sz w:val="21"/>
        </w:rPr>
        <w:t>Improve interpersonal relationships and social functioning.</w:t>
      </w:r>
    </w:p>
    <w:p>
      <w:pPr>
        <w:pStyle w:val="ListBullet"/>
        <w:spacing w:before="0" w:after="40"/>
      </w:pPr>
      <w:r>
        <w:rPr>
          <w:rFonts w:ascii="Calibri" w:hAnsi="Calibri"/>
          <w:b w:val="0"/>
          <w:i w:val="0"/>
          <w:color w:val="1B2330"/>
          <w:sz w:val="21"/>
        </w:rPr>
        <w:t>Strengthen coping, problem solving and adaptive defences; improve self-esteem and self-efficacy.</w:t>
      </w:r>
    </w:p>
    <w:p>
      <w:pPr>
        <w:pStyle w:val="ListBullet"/>
        <w:spacing w:before="0" w:after="40"/>
      </w:pPr>
      <w:r>
        <w:rPr>
          <w:rFonts w:ascii="Calibri" w:hAnsi="Calibri"/>
          <w:b w:val="0"/>
          <w:i w:val="0"/>
          <w:color w:val="1B2330"/>
          <w:sz w:val="21"/>
        </w:rPr>
        <w:t>Resolve inner conflicts and past trauma; foster emotional expression and regulation.</w:t>
      </w:r>
    </w:p>
    <w:p>
      <w:pPr>
        <w:pStyle w:val="ListBullet"/>
        <w:spacing w:before="0" w:after="40"/>
      </w:pPr>
      <w:r>
        <w:rPr>
          <w:rFonts w:ascii="Calibri" w:hAnsi="Calibri"/>
          <w:b w:val="0"/>
          <w:i w:val="0"/>
          <w:color w:val="1B2330"/>
          <w:sz w:val="21"/>
        </w:rPr>
        <w:t>Promote personal growth, self-actualisation and a sense of meaning.</w:t>
      </w:r>
    </w:p>
    <w:p>
      <w:pPr>
        <w:pStyle w:val="ListBullet"/>
        <w:spacing w:before="0" w:after="40"/>
      </w:pPr>
      <w:r>
        <w:rPr>
          <w:rFonts w:ascii="Calibri" w:hAnsi="Calibri"/>
          <w:b w:val="0"/>
          <w:i w:val="0"/>
          <w:color w:val="1B2330"/>
          <w:sz w:val="21"/>
        </w:rPr>
        <w:t>Prevent relapse and improve quality of life; in severe illness, maintain functioning and prevent hospitalisation.</w:t>
      </w:r>
    </w:p>
    <w:p>
      <w:pPr>
        <w:pStyle w:val="ListBullet"/>
        <w:spacing w:before="0" w:after="40"/>
      </w:pPr>
      <w:r>
        <w:rPr>
          <w:rFonts w:ascii="Calibri" w:hAnsi="Calibri"/>
          <w:b w:val="0"/>
          <w:i w:val="0"/>
          <w:color w:val="1B2330"/>
          <w:sz w:val="21"/>
        </w:rPr>
        <w:t>Concrete life outcomes (e.g. finding a job or a partner, staying out of hospital, staying alive) — the list of possible goals is effectively endless (secondary notes).</w:t>
      </w:r>
    </w:p>
    <w:p>
      <w:pPr>
        <w:spacing w:before="180" w:after="40"/>
      </w:pPr>
      <w:r>
        <w:rPr>
          <w:rFonts w:ascii="Segoe UI" w:hAnsi="Segoe UI"/>
          <w:b/>
          <w:i w:val="0"/>
          <w:color w:val="1B2330"/>
          <w:sz w:val="23"/>
        </w:rPr>
        <w:t>Whose goals? (goals can differ — secondary notes)</w:t>
      </w:r>
    </w:p>
    <w:p>
      <w:pPr>
        <w:pStyle w:val="ListBullet"/>
        <w:spacing w:before="0" w:after="40"/>
      </w:pPr>
      <w:r>
        <w:rPr>
          <w:rFonts w:ascii="Calibri" w:hAnsi="Calibri"/>
          <w:b w:val="0"/>
          <w:i w:val="0"/>
          <w:color w:val="1B2330"/>
          <w:sz w:val="21"/>
        </w:rPr>
        <w:t>Goals may differ for the patient, the significant others in the patient's life, and the psychologist (e.g. the patient wants reduced anxiety, the therapist wants increased insight, the spouse wants greater independence).</w:t>
      </w:r>
    </w:p>
    <w:p>
      <w:pPr>
        <w:pStyle w:val="ListBullet"/>
        <w:spacing w:before="0" w:after="40"/>
      </w:pPr>
      <w:r>
        <w:rPr>
          <w:rFonts w:ascii="Calibri" w:hAnsi="Calibri"/>
          <w:b w:val="0"/>
          <w:i w:val="0"/>
          <w:color w:val="1B2330"/>
          <w:sz w:val="21"/>
        </w:rPr>
        <w:t>Grounded in beneficence and non-maleficence: help with the problems, help the person feel better, and do no harm.</w:t>
      </w:r>
    </w:p>
    <w:p>
      <w:pPr>
        <w:pStyle w:val="ListBullet"/>
        <w:spacing w:before="0" w:after="40"/>
      </w:pPr>
      <w:r>
        <w:rPr>
          <w:rFonts w:ascii="Calibri" w:hAnsi="Calibri"/>
          <w:b w:val="0"/>
          <w:i w:val="0"/>
          <w:color w:val="1B2330"/>
          <w:sz w:val="21"/>
        </w:rPr>
        <w:t>Short-term symptom relief (often CBT) and deeper work (often psychodynamic) may pull in different directions; CBT may seek to reduce excess emotion while the patient wants to remove all negative emotion.</w:t>
      </w:r>
    </w:p>
    <w:p>
      <w:pPr>
        <w:pStyle w:val="ListBullet"/>
        <w:spacing w:before="0" w:after="40"/>
      </w:pPr>
      <w:r>
        <w:rPr>
          <w:rFonts w:ascii="Calibri" w:hAnsi="Calibri"/>
          <w:b w:val="0"/>
          <w:i w:val="0"/>
          <w:color w:val="1B2330"/>
          <w:sz w:val="21"/>
        </w:rPr>
        <w:t>Because goals and who sets them can be uncertain or in conflict, goal-setting makes informed consent in therapy genuinely complex (see Topic 6).</w:t>
      </w:r>
    </w:p>
    <w:tbl>
      <w:tblPr>
        <w:tblW w:type="auto" w:w="0"/>
        <w:jc w:val="center"/>
        <w:tblLook w:firstColumn="1" w:firstRow="1" w:lastColumn="0" w:lastRow="0" w:noHBand="0" w:noVBand="1" w:val="04A0"/>
      </w:tblPr>
      <w:tblGrid>
        <w:gridCol w:w="9638"/>
      </w:tblGrid>
      <w:tr>
        <w:tc>
          <w:tcPr>
            <w:tcW w:type="dxa" w:w="9411"/>
            <w:tcBorders>
              <w:top w:val="single" w:sz="8" w:space="0" w:color="B23A48"/>
              <w:left w:val="single" w:sz="8" w:space="0" w:color="B23A48"/>
              <w:bottom w:val="single" w:sz="8" w:space="0" w:color="B23A48"/>
              <w:right w:val="single" w:sz="8" w:space="0" w:color="B23A48"/>
            </w:tcBorders>
            <w:shd w:val="clear" w:color="auto" w:fill="FDECEF"/>
          </w:tcPr>
          <w:p>
            <w:pPr>
              <w:spacing w:before="40" w:after="60"/>
            </w:pPr>
            <w:r>
              <w:rPr>
                <w:rFonts w:ascii="Segoe UI" w:hAnsi="Segoe UI"/>
                <w:b/>
                <w:i w:val="0"/>
                <w:color w:val="B23A48"/>
                <w:sz w:val="21"/>
              </w:rPr>
              <w:t>Where WHO fits (supported)</w:t>
            </w:r>
          </w:p>
          <w:p>
            <w:pPr>
              <w:pStyle w:val="ListBullet"/>
              <w:spacing w:before="0" w:after="40"/>
            </w:pPr>
            <w:r>
              <w:rPr>
                <w:rFonts w:ascii="Calibri" w:hAnsi="Calibri"/>
                <w:b w:val="0"/>
                <w:i w:val="0"/>
                <w:color w:val="1B2330"/>
                <w:sz w:val="19"/>
              </w:rPr>
              <w:t>WHO's rights-based, recovery-oriented view frames broader objectives: restoring functioning, participation and quality of life, not only symptom removal (consistent with mhGAP and task-shifting goals discussed under evidence-based practice).</w:t>
            </w:r>
          </w:p>
        </w:tc>
      </w:tr>
    </w:tbl>
    <w:p>
      <w:pPr>
        <w:spacing w:after="40"/>
      </w:pPr>
    </w:p>
    <w:p>
      <w:pPr>
        <w:spacing w:before="160" w:after="40"/>
      </w:pPr>
      <w:r>
        <w:rPr>
          <w:rFonts w:ascii="Segoe UI" w:hAnsi="Segoe UI"/>
          <w:b/>
          <w:i w:val="0"/>
          <w:color w:val="2B4C7E"/>
          <w:sz w:val="21"/>
        </w:rPr>
        <w:t>Flow chart: Flow: goals cascade</w:t>
      </w:r>
    </w:p>
    <w:tbl>
      <w:tblPr>
        <w:tblW w:type="auto" w:w="0"/>
        <w:jc w:val="center"/>
        <w:tblLook w:firstColumn="1" w:firstRow="1" w:lastColumn="0" w:lastRow="0" w:noHBand="0" w:noVBand="1" w:val="04A0"/>
      </w:tblPr>
      <w:tblGrid>
        <w:gridCol w:w="9638"/>
      </w:tblGrid>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Presenting distress / impairment</w:t>
            </w:r>
          </w:p>
        </w:tc>
      </w:tr>
      <w:tr>
        <w:tc>
          <w:tcPr>
            <w:tcW w:type="dxa" w:w="8504"/>
          </w:tcPr>
          <w:p>
            <w:pPr>
              <w:spacing w:before="20" w:after="20"/>
              <w:jc w:val="center"/>
            </w:pPr>
            <w:r>
              <w:rPr>
                <w:rFonts w:ascii="Segoe UI" w:hAnsi="Segoe UI"/>
                <w:b/>
                <w:i w:val="0"/>
                <w:color w:val="2B4C7E"/>
                <w:sz w:val="26"/>
              </w:rPr>
              <w:t>↓</w:t>
            </w:r>
          </w:p>
        </w:tc>
      </w:tr>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Immediate: safety, symptom relief, engagement</w:t>
            </w:r>
          </w:p>
        </w:tc>
      </w:tr>
      <w:tr>
        <w:tc>
          <w:tcPr>
            <w:tcW w:type="dxa" w:w="8504"/>
          </w:tcPr>
          <w:p>
            <w:pPr>
              <w:spacing w:before="20" w:after="20"/>
              <w:jc w:val="center"/>
            </w:pPr>
            <w:r>
              <w:rPr>
                <w:rFonts w:ascii="Segoe UI" w:hAnsi="Segoe UI"/>
                <w:b/>
                <w:i w:val="0"/>
                <w:color w:val="2B4C7E"/>
                <w:sz w:val="26"/>
              </w:rPr>
              <w:t>↓</w:t>
            </w:r>
          </w:p>
        </w:tc>
      </w:tr>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Intermediate: change in behaviour, cognition, emotion; insight</w:t>
            </w:r>
          </w:p>
        </w:tc>
      </w:tr>
      <w:tr>
        <w:tc>
          <w:tcPr>
            <w:tcW w:type="dxa" w:w="8504"/>
          </w:tcPr>
          <w:p>
            <w:pPr>
              <w:spacing w:before="20" w:after="20"/>
              <w:jc w:val="center"/>
            </w:pPr>
            <w:r>
              <w:rPr>
                <w:rFonts w:ascii="Segoe UI" w:hAnsi="Segoe UI"/>
                <w:b/>
                <w:i w:val="0"/>
                <w:color w:val="2B4C7E"/>
                <w:sz w:val="26"/>
              </w:rPr>
              <w:t>↓</w:t>
            </w:r>
          </w:p>
        </w:tc>
      </w:tr>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Ultimate: growth, functioning, quality of life</w:t>
            </w:r>
          </w:p>
        </w:tc>
      </w:tr>
      <w:tr>
        <w:tc>
          <w:tcPr>
            <w:tcW w:type="dxa" w:w="8504"/>
          </w:tcPr>
          <w:p>
            <w:pPr>
              <w:spacing w:before="20" w:after="20"/>
              <w:jc w:val="center"/>
            </w:pPr>
            <w:r>
              <w:rPr>
                <w:rFonts w:ascii="Segoe UI" w:hAnsi="Segoe UI"/>
                <w:b/>
                <w:i w:val="0"/>
                <w:color w:val="2B4C7E"/>
                <w:sz w:val="26"/>
              </w:rPr>
              <w:t>↓</w:t>
            </w:r>
          </w:p>
        </w:tc>
      </w:tr>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Maintenance: relapse prevention, follow-up</w:t>
            </w:r>
          </w:p>
        </w:tc>
      </w:tr>
    </w:tbl>
    <w:p>
      <w:pPr>
        <w:spacing w:after="40"/>
      </w:pPr>
    </w:p>
    <w:tbl>
      <w:tblPr>
        <w:tblW w:type="auto" w:w="0"/>
        <w:jc w:val="center"/>
        <w:tblLook w:firstColumn="1" w:firstRow="1" w:lastColumn="0" w:lastRow="0" w:noHBand="0" w:noVBand="1" w:val="04A0"/>
      </w:tblPr>
      <w:tblGrid>
        <w:gridCol w:w="9638"/>
      </w:tblGrid>
      <w:tr>
        <w:tc>
          <w:tcPr>
            <w:tcW w:type="dxa" w:w="9411"/>
            <w:tcBorders>
              <w:top w:val="single" w:sz="8" w:space="0" w:color="C98A1B"/>
              <w:left w:val="single" w:sz="8" w:space="0" w:color="C98A1B"/>
              <w:bottom w:val="single" w:sz="8" w:space="0" w:color="C98A1B"/>
              <w:right w:val="single" w:sz="8" w:space="0" w:color="C98A1B"/>
            </w:tcBorders>
            <w:shd w:val="clear" w:color="auto" w:fill="FFF6E6"/>
          </w:tcPr>
          <w:p>
            <w:pPr>
              <w:spacing w:before="40" w:after="60"/>
            </w:pPr>
            <w:r>
              <w:rPr>
                <w:rFonts w:ascii="Segoe UI" w:hAnsi="Segoe UI"/>
                <w:b/>
                <w:i w:val="0"/>
                <w:color w:val="8A5A00"/>
                <w:sz w:val="21"/>
              </w:rPr>
              <w:t xml:space="preserve">Mnemonic: </w:t>
            </w:r>
            <w:r>
              <w:rPr>
                <w:rFonts w:ascii="Segoe UI" w:hAnsi="Segoe UI"/>
                <w:b/>
                <w:i w:val="0"/>
                <w:color w:val="C98A1B"/>
                <w:sz w:val="26"/>
              </w:rPr>
              <w:t>RICHER</w:t>
            </w:r>
            <w:r>
              <w:rPr>
                <w:rFonts w:ascii="Segoe UI" w:hAnsi="Segoe UI"/>
                <w:b/>
                <w:i w:val="0"/>
                <w:color w:val="8A5A00"/>
                <w:sz w:val="21"/>
              </w:rPr>
              <w:t xml:space="preserve">  —  the aims of therapy</w:t>
            </w:r>
          </w:p>
          <w:p>
            <w:pPr>
              <w:spacing w:before="0" w:after="20"/>
            </w:pPr>
            <w:r>
              <w:rPr>
                <w:rFonts w:ascii="Segoe UI" w:hAnsi="Segoe UI"/>
                <w:b/>
                <w:i w:val="0"/>
                <w:color w:val="C98A1B"/>
                <w:sz w:val="22"/>
              </w:rPr>
              <w:t xml:space="preserve">R  </w:t>
            </w:r>
            <w:r>
              <w:rPr>
                <w:rFonts w:ascii="Segoe UI" w:hAnsi="Segoe UI"/>
                <w:b/>
                <w:i w:val="0"/>
                <w:color w:val="1B2330"/>
                <w:sz w:val="19"/>
              </w:rPr>
              <w:t xml:space="preserve">Relieve — </w:t>
            </w:r>
            <w:r>
              <w:rPr>
                <w:rFonts w:ascii="Segoe UI" w:hAnsi="Segoe UI"/>
                <w:b w:val="0"/>
                <w:i w:val="0"/>
                <w:color w:val="4A5568"/>
                <w:sz w:val="19"/>
              </w:rPr>
              <w:t>relieve symptoms and distress</w:t>
            </w:r>
          </w:p>
          <w:p>
            <w:pPr>
              <w:spacing w:before="0" w:after="20"/>
            </w:pPr>
            <w:r>
              <w:rPr>
                <w:rFonts w:ascii="Segoe UI" w:hAnsi="Segoe UI"/>
                <w:b/>
                <w:i w:val="0"/>
                <w:color w:val="C98A1B"/>
                <w:sz w:val="22"/>
              </w:rPr>
              <w:t xml:space="preserve">I  </w:t>
            </w:r>
            <w:r>
              <w:rPr>
                <w:rFonts w:ascii="Segoe UI" w:hAnsi="Segoe UI"/>
                <w:b/>
                <w:i w:val="0"/>
                <w:color w:val="1B2330"/>
                <w:sz w:val="19"/>
              </w:rPr>
              <w:t xml:space="preserve">Insight — </w:t>
            </w:r>
            <w:r>
              <w:rPr>
                <w:rFonts w:ascii="Segoe UI" w:hAnsi="Segoe UI"/>
                <w:b w:val="0"/>
                <w:i w:val="0"/>
                <w:color w:val="4A5568"/>
                <w:sz w:val="19"/>
              </w:rPr>
              <w:t>insight into origin and meaning of problems</w:t>
            </w:r>
          </w:p>
          <w:p>
            <w:pPr>
              <w:spacing w:before="0" w:after="20"/>
            </w:pPr>
            <w:r>
              <w:rPr>
                <w:rFonts w:ascii="Segoe UI" w:hAnsi="Segoe UI"/>
                <w:b/>
                <w:i w:val="0"/>
                <w:color w:val="C98A1B"/>
                <w:sz w:val="22"/>
              </w:rPr>
              <w:t xml:space="preserve">C  </w:t>
            </w:r>
            <w:r>
              <w:rPr>
                <w:rFonts w:ascii="Segoe UI" w:hAnsi="Segoe UI"/>
                <w:b/>
                <w:i w:val="0"/>
                <w:color w:val="1B2330"/>
                <w:sz w:val="19"/>
              </w:rPr>
              <w:t xml:space="preserve">Change — </w:t>
            </w:r>
            <w:r>
              <w:rPr>
                <w:rFonts w:ascii="Segoe UI" w:hAnsi="Segoe UI"/>
                <w:b w:val="0"/>
                <w:i w:val="0"/>
                <w:color w:val="4A5568"/>
                <w:sz w:val="19"/>
              </w:rPr>
              <w:t>change maladaptive behaviour, thoughts, emotions</w:t>
            </w:r>
          </w:p>
          <w:p>
            <w:pPr>
              <w:spacing w:before="0" w:after="20"/>
            </w:pPr>
            <w:r>
              <w:rPr>
                <w:rFonts w:ascii="Segoe UI" w:hAnsi="Segoe UI"/>
                <w:b/>
                <w:i w:val="0"/>
                <w:color w:val="C98A1B"/>
                <w:sz w:val="22"/>
              </w:rPr>
              <w:t xml:space="preserve">H  </w:t>
            </w:r>
            <w:r>
              <w:rPr>
                <w:rFonts w:ascii="Segoe UI" w:hAnsi="Segoe UI"/>
                <w:b/>
                <w:i w:val="0"/>
                <w:color w:val="1B2330"/>
                <w:sz w:val="19"/>
              </w:rPr>
              <w:t xml:space="preserve">Harmony — </w:t>
            </w:r>
            <w:r>
              <w:rPr>
                <w:rFonts w:ascii="Segoe UI" w:hAnsi="Segoe UI"/>
                <w:b w:val="0"/>
                <w:i w:val="0"/>
                <w:color w:val="4A5568"/>
                <w:sz w:val="19"/>
              </w:rPr>
              <w:t>improve relationships and social functioning</w:t>
            </w:r>
          </w:p>
          <w:p>
            <w:pPr>
              <w:spacing w:before="0" w:after="20"/>
            </w:pPr>
            <w:r>
              <w:rPr>
                <w:rFonts w:ascii="Segoe UI" w:hAnsi="Segoe UI"/>
                <w:b/>
                <w:i w:val="0"/>
                <w:color w:val="C98A1B"/>
                <w:sz w:val="22"/>
              </w:rPr>
              <w:t xml:space="preserve">E  </w:t>
            </w:r>
            <w:r>
              <w:rPr>
                <w:rFonts w:ascii="Segoe UI" w:hAnsi="Segoe UI"/>
                <w:b/>
                <w:i w:val="0"/>
                <w:color w:val="1B2330"/>
                <w:sz w:val="19"/>
              </w:rPr>
              <w:t xml:space="preserve">Empower — </w:t>
            </w:r>
            <w:r>
              <w:rPr>
                <w:rFonts w:ascii="Segoe UI" w:hAnsi="Segoe UI"/>
                <w:b w:val="0"/>
                <w:i w:val="0"/>
                <w:color w:val="4A5568"/>
                <w:sz w:val="19"/>
              </w:rPr>
              <w:t>strengthen coping, self-esteem, self-efficacy</w:t>
            </w:r>
          </w:p>
          <w:p>
            <w:pPr>
              <w:spacing w:before="0" w:after="20"/>
            </w:pPr>
            <w:r>
              <w:rPr>
                <w:rFonts w:ascii="Segoe UI" w:hAnsi="Segoe UI"/>
                <w:b/>
                <w:i w:val="0"/>
                <w:color w:val="C98A1B"/>
                <w:sz w:val="22"/>
              </w:rPr>
              <w:t xml:space="preserve">R  </w:t>
            </w:r>
            <w:r>
              <w:rPr>
                <w:rFonts w:ascii="Segoe UI" w:hAnsi="Segoe UI"/>
                <w:b/>
                <w:i w:val="0"/>
                <w:color w:val="1B2330"/>
                <w:sz w:val="19"/>
              </w:rPr>
              <w:t xml:space="preserve">Relapse prevention — </w:t>
            </w:r>
            <w:r>
              <w:rPr>
                <w:rFonts w:ascii="Segoe UI" w:hAnsi="Segoe UI"/>
                <w:b w:val="0"/>
                <w:i w:val="0"/>
                <w:color w:val="4A5568"/>
                <w:sz w:val="19"/>
              </w:rPr>
              <w:t>prevent relapse; protect quality of life</w:t>
            </w:r>
          </w:p>
        </w:tc>
      </w:tr>
    </w:tbl>
    <w:p>
      <w:pPr>
        <w:spacing w:after="40"/>
      </w:pPr>
    </w:p>
    <w:p>
      <w:pPr>
        <w:spacing w:before="160" w:after="40"/>
      </w:pPr>
      <w:r>
        <w:rPr>
          <w:rFonts w:ascii="Segoe UI" w:hAnsi="Segoe UI"/>
          <w:b/>
          <w:i w:val="0"/>
          <w:color w:val="2B4C7E"/>
          <w:sz w:val="21"/>
        </w:rPr>
        <w:t>Flow chart: Flow: whose goals? reconciling the parties (secondary notes)</w:t>
      </w:r>
    </w:p>
    <w:tbl>
      <w:tblPr>
        <w:tblW w:type="auto" w:w="0"/>
        <w:jc w:val="center"/>
        <w:tblLook w:firstColumn="1" w:firstRow="1" w:lastColumn="0" w:lastRow="0" w:noHBand="0" w:noVBand="1" w:val="04A0"/>
      </w:tblPr>
      <w:tblGrid>
        <w:gridCol w:w="9638"/>
      </w:tblGrid>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Patient's goal (e.g. reduce anxiety)</w:t>
            </w:r>
          </w:p>
        </w:tc>
      </w:tr>
      <w:tr>
        <w:tc>
          <w:tcPr>
            <w:tcW w:type="dxa" w:w="8504"/>
          </w:tcPr>
          <w:p>
            <w:pPr>
              <w:spacing w:before="20" w:after="20"/>
              <w:jc w:val="center"/>
            </w:pPr>
            <w:r>
              <w:rPr>
                <w:rFonts w:ascii="Segoe UI" w:hAnsi="Segoe UI"/>
                <w:b/>
                <w:i w:val="0"/>
                <w:color w:val="2B4C7E"/>
                <w:sz w:val="26"/>
              </w:rPr>
              <w:t>↓</w:t>
            </w:r>
          </w:p>
        </w:tc>
      </w:tr>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Therapist's goal (e.g. insight, self-reflection)</w:t>
            </w:r>
          </w:p>
        </w:tc>
      </w:tr>
      <w:tr>
        <w:tc>
          <w:tcPr>
            <w:tcW w:type="dxa" w:w="8504"/>
          </w:tcPr>
          <w:p>
            <w:pPr>
              <w:spacing w:before="20" w:after="20"/>
              <w:jc w:val="center"/>
            </w:pPr>
            <w:r>
              <w:rPr>
                <w:rFonts w:ascii="Segoe UI" w:hAnsi="Segoe UI"/>
                <w:b/>
                <w:i w:val="0"/>
                <w:color w:val="2B4C7E"/>
                <w:sz w:val="26"/>
              </w:rPr>
              <w:t>↓</w:t>
            </w:r>
          </w:p>
        </w:tc>
      </w:tr>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Significant others' goal (e.g. independence)</w:t>
            </w:r>
          </w:p>
        </w:tc>
      </w:tr>
      <w:tr>
        <w:tc>
          <w:tcPr>
            <w:tcW w:type="dxa" w:w="8504"/>
          </w:tcPr>
          <w:p>
            <w:pPr>
              <w:spacing w:before="20" w:after="20"/>
              <w:jc w:val="center"/>
            </w:pPr>
            <w:r>
              <w:rPr>
                <w:rFonts w:ascii="Segoe UI" w:hAnsi="Segoe UI"/>
                <w:b/>
                <w:i w:val="0"/>
                <w:color w:val="2B4C7E"/>
                <w:sz w:val="26"/>
              </w:rPr>
              <w:t>↓</w:t>
            </w:r>
          </w:p>
        </w:tc>
      </w:tr>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Negotiate a shared, beneficence-based plan (do no harm)</w:t>
            </w:r>
          </w:p>
        </w:tc>
      </w:tr>
      <w:tr>
        <w:tc>
          <w:tcPr>
            <w:tcW w:type="dxa" w:w="8504"/>
          </w:tcPr>
          <w:p>
            <w:pPr>
              <w:spacing w:before="20" w:after="20"/>
              <w:jc w:val="center"/>
            </w:pPr>
            <w:r>
              <w:rPr>
                <w:rFonts w:ascii="Segoe UI" w:hAnsi="Segoe UI"/>
                <w:b/>
                <w:i w:val="0"/>
                <w:color w:val="2B4C7E"/>
                <w:sz w:val="26"/>
              </w:rPr>
              <w:t>↓</w:t>
            </w:r>
          </w:p>
        </w:tc>
      </w:tr>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Clarify goals → informed consent</w:t>
            </w:r>
          </w:p>
        </w:tc>
      </w:tr>
    </w:tbl>
    <w:p>
      <w:pPr>
        <w:spacing w:after="40"/>
      </w:pPr>
    </w:p>
    <w:tbl>
      <w:tblPr>
        <w:tblW w:type="auto" w:w="0"/>
        <w:jc w:val="center"/>
        <w:tblLook w:firstColumn="1" w:firstRow="1" w:lastColumn="0" w:lastRow="0" w:noHBand="0" w:noVBand="1" w:val="04A0"/>
      </w:tblPr>
      <w:tblGrid>
        <w:gridCol w:w="9638"/>
      </w:tblGrid>
      <w:tr>
        <w:tc>
          <w:tcPr>
            <w:tcW w:type="dxa" w:w="9411"/>
            <w:tcBorders>
              <w:top w:val="single" w:sz="8" w:space="0" w:color="C98A1B"/>
              <w:left w:val="single" w:sz="8" w:space="0" w:color="C98A1B"/>
              <w:bottom w:val="single" w:sz="8" w:space="0" w:color="C98A1B"/>
              <w:right w:val="single" w:sz="8" w:space="0" w:color="C98A1B"/>
            </w:tcBorders>
            <w:shd w:val="clear" w:color="auto" w:fill="FFF6E6"/>
          </w:tcPr>
          <w:p>
            <w:pPr>
              <w:spacing w:before="40" w:after="60"/>
            </w:pPr>
            <w:r>
              <w:rPr>
                <w:rFonts w:ascii="Segoe UI" w:hAnsi="Segoe UI"/>
                <w:b/>
                <w:i w:val="0"/>
                <w:color w:val="8A5A00"/>
                <w:sz w:val="21"/>
              </w:rPr>
              <w:t xml:space="preserve">Mnemonic: </w:t>
            </w:r>
            <w:r>
              <w:rPr>
                <w:rFonts w:ascii="Segoe UI" w:hAnsi="Segoe UI"/>
                <w:b/>
                <w:i w:val="0"/>
                <w:color w:val="C98A1B"/>
                <w:sz w:val="26"/>
              </w:rPr>
              <w:t>HE-MAMA</w:t>
            </w:r>
            <w:r>
              <w:rPr>
                <w:rFonts w:ascii="Segoe UI" w:hAnsi="Segoe UI"/>
                <w:b/>
                <w:i w:val="0"/>
                <w:color w:val="8A5A00"/>
                <w:sz w:val="21"/>
              </w:rPr>
              <w:t xml:space="preserve">  —  Kleinke's six fundamental therapeutic goals (secondary notes)</w:t>
            </w:r>
          </w:p>
          <w:p>
            <w:pPr>
              <w:spacing w:before="0" w:after="20"/>
            </w:pPr>
            <w:r>
              <w:rPr>
                <w:rFonts w:ascii="Segoe UI" w:hAnsi="Segoe UI"/>
                <w:b/>
                <w:i w:val="0"/>
                <w:color w:val="C98A1B"/>
                <w:sz w:val="22"/>
              </w:rPr>
              <w:t xml:space="preserve">H  </w:t>
            </w:r>
            <w:r>
              <w:rPr>
                <w:rFonts w:ascii="Segoe UI" w:hAnsi="Segoe UI"/>
                <w:b/>
                <w:i w:val="0"/>
                <w:color w:val="1B2330"/>
                <w:sz w:val="19"/>
              </w:rPr>
              <w:t xml:space="preserve">Hope — </w:t>
            </w:r>
            <w:r>
              <w:rPr>
                <w:rFonts w:ascii="Segoe UI" w:hAnsi="Segoe UI"/>
                <w:b w:val="0"/>
                <w:i w:val="0"/>
                <w:color w:val="4A5568"/>
                <w:sz w:val="19"/>
              </w:rPr>
              <w:t>overcome demoralisation and gain hope</w:t>
            </w:r>
          </w:p>
          <w:p>
            <w:pPr>
              <w:spacing w:before="0" w:after="20"/>
            </w:pPr>
            <w:r>
              <w:rPr>
                <w:rFonts w:ascii="Segoe UI" w:hAnsi="Segoe UI"/>
                <w:b/>
                <w:i w:val="0"/>
                <w:color w:val="C98A1B"/>
                <w:sz w:val="22"/>
              </w:rPr>
              <w:t xml:space="preserve">E  </w:t>
            </w:r>
            <w:r>
              <w:rPr>
                <w:rFonts w:ascii="Segoe UI" w:hAnsi="Segoe UI"/>
                <w:b/>
                <w:i w:val="0"/>
                <w:color w:val="1B2330"/>
                <w:sz w:val="19"/>
              </w:rPr>
              <w:t xml:space="preserve">Efficacy — </w:t>
            </w:r>
            <w:r>
              <w:rPr>
                <w:rFonts w:ascii="Segoe UI" w:hAnsi="Segoe UI"/>
                <w:b w:val="0"/>
                <w:i w:val="0"/>
                <w:color w:val="4A5568"/>
                <w:sz w:val="19"/>
              </w:rPr>
              <w:t>enhance mastery and self-efficacy</w:t>
            </w:r>
          </w:p>
          <w:p>
            <w:pPr>
              <w:spacing w:before="0" w:after="20"/>
            </w:pPr>
            <w:r>
              <w:rPr>
                <w:rFonts w:ascii="Segoe UI" w:hAnsi="Segoe UI"/>
                <w:b/>
                <w:i w:val="0"/>
                <w:color w:val="C98A1B"/>
                <w:sz w:val="22"/>
              </w:rPr>
              <w:t xml:space="preserve">M  </w:t>
            </w:r>
            <w:r>
              <w:rPr>
                <w:rFonts w:ascii="Segoe UI" w:hAnsi="Segoe UI"/>
                <w:b/>
                <w:i w:val="0"/>
                <w:color w:val="1B2330"/>
                <w:sz w:val="19"/>
              </w:rPr>
              <w:t xml:space="preserve">Meet avoidance — </w:t>
            </w:r>
            <w:r>
              <w:rPr>
                <w:rFonts w:ascii="Segoe UI" w:hAnsi="Segoe UI"/>
                <w:b w:val="0"/>
                <w:i w:val="0"/>
                <w:color w:val="4A5568"/>
                <w:sz w:val="19"/>
              </w:rPr>
              <w:t>overcome avoidance</w:t>
            </w:r>
          </w:p>
          <w:p>
            <w:pPr>
              <w:spacing w:before="0" w:after="20"/>
            </w:pPr>
            <w:r>
              <w:rPr>
                <w:rFonts w:ascii="Segoe UI" w:hAnsi="Segoe UI"/>
                <w:b/>
                <w:i w:val="0"/>
                <w:color w:val="C98A1B"/>
                <w:sz w:val="22"/>
              </w:rPr>
              <w:t xml:space="preserve">A  </w:t>
            </w:r>
            <w:r>
              <w:rPr>
                <w:rFonts w:ascii="Segoe UI" w:hAnsi="Segoe UI"/>
                <w:b/>
                <w:i w:val="0"/>
                <w:color w:val="1B2330"/>
                <w:sz w:val="19"/>
              </w:rPr>
              <w:t xml:space="preserve">Awareness — </w:t>
            </w:r>
            <w:r>
              <w:rPr>
                <w:rFonts w:ascii="Segoe UI" w:hAnsi="Segoe UI"/>
                <w:b w:val="0"/>
                <w:i w:val="0"/>
                <w:color w:val="4A5568"/>
                <w:sz w:val="19"/>
              </w:rPr>
              <w:t>become aware of one's misconceptions</w:t>
            </w:r>
          </w:p>
          <w:p>
            <w:pPr>
              <w:spacing w:before="0" w:after="20"/>
            </w:pPr>
            <w:r>
              <w:rPr>
                <w:rFonts w:ascii="Segoe UI" w:hAnsi="Segoe UI"/>
                <w:b/>
                <w:i w:val="0"/>
                <w:color w:val="C98A1B"/>
                <w:sz w:val="22"/>
              </w:rPr>
              <w:t xml:space="preserve">M  </w:t>
            </w:r>
            <w:r>
              <w:rPr>
                <w:rFonts w:ascii="Segoe UI" w:hAnsi="Segoe UI"/>
                <w:b/>
                <w:i w:val="0"/>
                <w:color w:val="1B2330"/>
                <w:sz w:val="19"/>
              </w:rPr>
              <w:t xml:space="preserve">Make peace — </w:t>
            </w:r>
            <w:r>
              <w:rPr>
                <w:rFonts w:ascii="Segoe UI" w:hAnsi="Segoe UI"/>
                <w:b w:val="0"/>
                <w:i w:val="0"/>
                <w:color w:val="4A5568"/>
                <w:sz w:val="19"/>
              </w:rPr>
              <w:t>accept life's realities</w:t>
            </w:r>
          </w:p>
          <w:p>
            <w:pPr>
              <w:spacing w:before="0" w:after="20"/>
            </w:pPr>
            <w:r>
              <w:rPr>
                <w:rFonts w:ascii="Segoe UI" w:hAnsi="Segoe UI"/>
                <w:b/>
                <w:i w:val="0"/>
                <w:color w:val="C98A1B"/>
                <w:sz w:val="22"/>
              </w:rPr>
              <w:t xml:space="preserve">A  </w:t>
            </w:r>
            <w:r>
              <w:rPr>
                <w:rFonts w:ascii="Segoe UI" w:hAnsi="Segoe UI"/>
                <w:b/>
                <w:i w:val="0"/>
                <w:color w:val="1B2330"/>
                <w:sz w:val="19"/>
              </w:rPr>
              <w:t xml:space="preserve">Achieve insight — </w:t>
            </w:r>
            <w:r>
              <w:rPr>
                <w:rFonts w:ascii="Segoe UI" w:hAnsi="Segoe UI"/>
                <w:b w:val="0"/>
                <w:i w:val="0"/>
                <w:color w:val="4A5568"/>
                <w:sz w:val="19"/>
              </w:rPr>
              <w:t>achieve insight</w:t>
            </w:r>
          </w:p>
        </w:tc>
      </w:tr>
    </w:tbl>
    <w:p>
      <w:pPr>
        <w:spacing w:after="40"/>
      </w:pPr>
    </w:p>
    <w:p>
      <w:pPr>
        <w:pStyle w:val="Heading1"/>
        <w:pageBreakBefore/>
      </w:pPr>
      <w:r>
        <w:rPr>
          <w:rFonts w:ascii="Segoe UI" w:hAnsi="Segoe UI"/>
          <w:b/>
          <w:i w:val="0"/>
          <w:color w:val="2B4C7E"/>
          <w:sz w:val="30"/>
        </w:rPr>
        <w:t>3. Issues in Training Professional Therapists</w:t>
      </w:r>
    </w:p>
    <w:p>
      <w:pPr>
        <w:spacing w:before="180" w:after="40"/>
      </w:pPr>
      <w:r>
        <w:rPr>
          <w:rFonts w:ascii="Segoe UI" w:hAnsi="Segoe UI"/>
          <w:b/>
          <w:i w:val="0"/>
          <w:color w:val="1B2330"/>
          <w:sz w:val="23"/>
        </w:rPr>
        <w:t>Who may practise (India)</w:t>
      </w:r>
    </w:p>
    <w:p>
      <w:pPr>
        <w:pStyle w:val="ListBullet"/>
        <w:spacing w:before="0" w:after="40"/>
      </w:pPr>
      <w:r>
        <w:rPr>
          <w:rFonts w:ascii="Calibri" w:hAnsi="Calibri"/>
          <w:b w:val="0"/>
          <w:i w:val="0"/>
          <w:color w:val="1B2330"/>
          <w:sz w:val="21"/>
        </w:rPr>
        <w:t>Rehabilitation Council of India (RCI) Act, 1992 (amended 2000) regulates training and registration of clinical psychologists (supported).</w:t>
      </w:r>
    </w:p>
    <w:p>
      <w:pPr>
        <w:pStyle w:val="ListBullet2"/>
        <w:spacing w:before="0" w:after="20"/>
      </w:pPr>
      <w:r>
        <w:rPr>
          <w:rFonts w:ascii="Calibri" w:hAnsi="Calibri"/>
          <w:b w:val="0"/>
          <w:i w:val="0"/>
          <w:color w:val="1B2330"/>
          <w:sz w:val="20"/>
        </w:rPr>
        <w:t>The RCI-recognised M.Phil in Clinical Psychology (two years, with supervised clinical practice) is the entry qualification.</w:t>
      </w:r>
    </w:p>
    <w:p>
      <w:pPr>
        <w:pStyle w:val="ListBullet2"/>
        <w:spacing w:before="0" w:after="20"/>
      </w:pPr>
      <w:r>
        <w:rPr>
          <w:rFonts w:ascii="Calibri" w:hAnsi="Calibri"/>
          <w:b w:val="0"/>
          <w:i w:val="0"/>
          <w:color w:val="1B2330"/>
          <w:sz w:val="20"/>
        </w:rPr>
        <w:t>Practitioners must hold a Central Rehabilitation Register (CRR) number.</w:t>
      </w:r>
    </w:p>
    <w:p>
      <w:pPr>
        <w:pStyle w:val="ListBullet"/>
        <w:spacing w:before="0" w:after="40"/>
      </w:pPr>
      <w:r>
        <w:rPr>
          <w:rFonts w:ascii="Calibri" w:hAnsi="Calibri"/>
          <w:b w:val="0"/>
          <w:i w:val="0"/>
          <w:color w:val="1B2330"/>
          <w:sz w:val="21"/>
        </w:rPr>
        <w:t>Mental Healthcare Act (MHCA), 2017 recognises the clinical psychologist as a mental health professional.</w:t>
      </w:r>
    </w:p>
    <w:p>
      <w:pPr>
        <w:spacing w:before="180" w:after="40"/>
      </w:pPr>
      <w:r>
        <w:rPr>
          <w:rFonts w:ascii="Segoe UI" w:hAnsi="Segoe UI"/>
          <w:b/>
          <w:i w:val="0"/>
          <w:color w:val="1B2330"/>
          <w:sz w:val="23"/>
        </w:rPr>
        <w:t>Components of training</w:t>
      </w:r>
    </w:p>
    <w:p>
      <w:pPr>
        <w:pStyle w:val="ListBullet"/>
        <w:spacing w:before="0" w:after="40"/>
      </w:pPr>
      <w:r>
        <w:rPr>
          <w:rFonts w:ascii="Calibri" w:hAnsi="Calibri"/>
          <w:b w:val="0"/>
          <w:i w:val="0"/>
          <w:color w:val="1B2330"/>
          <w:sz w:val="21"/>
        </w:rPr>
        <w:t>Theoretical knowledge (psychopathology, theories of therapy, assessment).</w:t>
      </w:r>
    </w:p>
    <w:p>
      <w:pPr>
        <w:pStyle w:val="ListBullet"/>
        <w:spacing w:before="0" w:after="40"/>
      </w:pPr>
      <w:r>
        <w:rPr>
          <w:rFonts w:ascii="Calibri" w:hAnsi="Calibri"/>
          <w:b w:val="0"/>
          <w:i w:val="0"/>
          <w:color w:val="1B2330"/>
          <w:sz w:val="21"/>
        </w:rPr>
        <w:t>Supervised clinical practice (direct observation, audio/video review, case conferences).</w:t>
      </w:r>
    </w:p>
    <w:p>
      <w:pPr>
        <w:pStyle w:val="ListBullet"/>
        <w:spacing w:before="0" w:after="40"/>
      </w:pPr>
      <w:r>
        <w:rPr>
          <w:rFonts w:ascii="Calibri" w:hAnsi="Calibri"/>
          <w:b w:val="0"/>
          <w:i w:val="0"/>
          <w:color w:val="1B2330"/>
          <w:sz w:val="21"/>
        </w:rPr>
        <w:t>Personal therapy / self-awareness work (manage countertransference and blind spots).</w:t>
      </w:r>
    </w:p>
    <w:p>
      <w:pPr>
        <w:pStyle w:val="ListBullet"/>
        <w:spacing w:before="0" w:after="40"/>
      </w:pPr>
      <w:r>
        <w:rPr>
          <w:rFonts w:ascii="Calibri" w:hAnsi="Calibri"/>
          <w:b w:val="0"/>
          <w:i w:val="0"/>
          <w:color w:val="1B2330"/>
          <w:sz w:val="21"/>
        </w:rPr>
        <w:t>Learning ethics and law.</w:t>
      </w:r>
    </w:p>
    <w:p>
      <w:pPr>
        <w:pStyle w:val="ListBullet"/>
        <w:spacing w:before="0" w:after="40"/>
      </w:pPr>
      <w:r>
        <w:rPr>
          <w:rFonts w:ascii="Calibri" w:hAnsi="Calibri"/>
          <w:b w:val="0"/>
          <w:i w:val="0"/>
          <w:color w:val="1B2330"/>
          <w:sz w:val="21"/>
        </w:rPr>
        <w:t>Research literacy and evidence-based practice.</w:t>
      </w:r>
    </w:p>
    <w:p>
      <w:pPr>
        <w:pStyle w:val="ListBullet"/>
        <w:spacing w:before="0" w:after="40"/>
      </w:pPr>
      <w:r>
        <w:rPr>
          <w:rFonts w:ascii="Calibri" w:hAnsi="Calibri"/>
          <w:b w:val="0"/>
          <w:i w:val="0"/>
          <w:color w:val="1B2330"/>
          <w:sz w:val="21"/>
        </w:rPr>
        <w:t>Cultural competence.</w:t>
      </w:r>
    </w:p>
    <w:p>
      <w:pPr>
        <w:pStyle w:val="ListBullet"/>
        <w:spacing w:before="0" w:after="40"/>
      </w:pPr>
      <w:r>
        <w:rPr>
          <w:rFonts w:ascii="Calibri" w:hAnsi="Calibri"/>
          <w:b w:val="0"/>
          <w:i w:val="0"/>
          <w:color w:val="1B2330"/>
          <w:sz w:val="21"/>
        </w:rPr>
        <w:t>Lifelong learning and continuing education.</w:t>
      </w:r>
    </w:p>
    <w:p>
      <w:pPr>
        <w:spacing w:before="180" w:after="40"/>
      </w:pPr>
      <w:r>
        <w:rPr>
          <w:rFonts w:ascii="Segoe UI" w:hAnsi="Segoe UI"/>
          <w:b/>
          <w:i w:val="0"/>
          <w:color w:val="1B2330"/>
          <w:sz w:val="23"/>
        </w:rPr>
        <w:t>Competencies expected</w:t>
      </w:r>
    </w:p>
    <w:p>
      <w:pPr>
        <w:pStyle w:val="ListBullet"/>
        <w:spacing w:before="0" w:after="40"/>
      </w:pPr>
      <w:r>
        <w:rPr>
          <w:rFonts w:ascii="Calibri" w:hAnsi="Calibri"/>
          <w:b w:val="0"/>
          <w:i w:val="0"/>
          <w:color w:val="1B2330"/>
          <w:sz w:val="21"/>
        </w:rPr>
        <w:t>Relationship (alliance) skills; assessment and case formulation.</w:t>
      </w:r>
    </w:p>
    <w:p>
      <w:pPr>
        <w:pStyle w:val="ListBullet"/>
        <w:spacing w:before="0" w:after="40"/>
      </w:pPr>
      <w:r>
        <w:rPr>
          <w:rFonts w:ascii="Calibri" w:hAnsi="Calibri"/>
          <w:b w:val="0"/>
          <w:i w:val="0"/>
          <w:color w:val="1B2330"/>
          <w:sz w:val="21"/>
        </w:rPr>
        <w:t>Intervention skills in at least one major model.</w:t>
      </w:r>
    </w:p>
    <w:p>
      <w:pPr>
        <w:pStyle w:val="ListBullet"/>
        <w:spacing w:before="0" w:after="40"/>
      </w:pPr>
      <w:r>
        <w:rPr>
          <w:rFonts w:ascii="Calibri" w:hAnsi="Calibri"/>
          <w:b w:val="0"/>
          <w:i w:val="0"/>
          <w:color w:val="1B2330"/>
          <w:sz w:val="21"/>
        </w:rPr>
        <w:t>Ethical decision making; record keeping.</w:t>
      </w:r>
    </w:p>
    <w:p>
      <w:pPr>
        <w:pStyle w:val="ListBullet"/>
        <w:spacing w:before="0" w:after="40"/>
      </w:pPr>
      <w:r>
        <w:rPr>
          <w:rFonts w:ascii="Calibri" w:hAnsi="Calibri"/>
          <w:b w:val="0"/>
          <w:i w:val="0"/>
          <w:color w:val="1B2330"/>
          <w:sz w:val="21"/>
        </w:rPr>
        <w:t>Working with diversity; use of supervision; reflective practice.</w:t>
      </w:r>
    </w:p>
    <w:p>
      <w:pPr>
        <w:spacing w:before="180" w:after="40"/>
      </w:pPr>
      <w:r>
        <w:rPr>
          <w:rFonts w:ascii="Segoe UI" w:hAnsi="Segoe UI"/>
          <w:b/>
          <w:i w:val="0"/>
          <w:color w:val="1B2330"/>
          <w:sz w:val="23"/>
        </w:rPr>
        <w:t>Issues and challenges</w:t>
      </w:r>
    </w:p>
    <w:p>
      <w:pPr>
        <w:pStyle w:val="ListBullet"/>
        <w:spacing w:before="0" w:after="40"/>
      </w:pPr>
      <w:r>
        <w:rPr>
          <w:rFonts w:ascii="Calibri" w:hAnsi="Calibri"/>
          <w:b w:val="0"/>
          <w:i w:val="0"/>
          <w:color w:val="1B2330"/>
          <w:sz w:val="21"/>
        </w:rPr>
        <w:t>Wide variation in quality, duration and supervision of training; shortage of trained supervisors.</w:t>
      </w:r>
    </w:p>
    <w:p>
      <w:pPr>
        <w:pStyle w:val="ListBullet"/>
        <w:spacing w:before="0" w:after="40"/>
      </w:pPr>
      <w:r>
        <w:rPr>
          <w:rFonts w:ascii="Calibri" w:hAnsi="Calibri"/>
          <w:b w:val="0"/>
          <w:i w:val="0"/>
          <w:color w:val="1B2330"/>
          <w:sz w:val="21"/>
        </w:rPr>
        <w:t>Over-reliance on Western models with limited cultural adaptation.</w:t>
      </w:r>
    </w:p>
    <w:p>
      <w:pPr>
        <w:pStyle w:val="ListBullet"/>
        <w:spacing w:before="0" w:after="40"/>
      </w:pPr>
      <w:r>
        <w:rPr>
          <w:rFonts w:ascii="Calibri" w:hAnsi="Calibri"/>
          <w:b w:val="0"/>
          <w:i w:val="0"/>
          <w:color w:val="1B2330"/>
          <w:sz w:val="21"/>
        </w:rPr>
        <w:t>Whether personal therapy for trainees should be mandatory.</w:t>
      </w:r>
    </w:p>
    <w:p>
      <w:pPr>
        <w:pStyle w:val="ListBullet"/>
        <w:spacing w:before="0" w:after="40"/>
      </w:pPr>
      <w:r>
        <w:rPr>
          <w:rFonts w:ascii="Calibri" w:hAnsi="Calibri"/>
          <w:b w:val="0"/>
          <w:i w:val="0"/>
          <w:color w:val="1B2330"/>
          <w:sz w:val="21"/>
        </w:rPr>
        <w:t>Gate-keeping: judging suitability (empathy, maturity, integrity) and remediating or dismissing unfit trainees.</w:t>
      </w:r>
    </w:p>
    <w:p>
      <w:pPr>
        <w:pStyle w:val="ListBullet"/>
        <w:spacing w:before="0" w:after="40"/>
      </w:pPr>
      <w:r>
        <w:rPr>
          <w:rFonts w:ascii="Calibri" w:hAnsi="Calibri"/>
          <w:b w:val="0"/>
          <w:i w:val="0"/>
          <w:color w:val="1B2330"/>
          <w:sz w:val="21"/>
        </w:rPr>
        <w:t>Training vs licensing gap: unregulated practice by untrained persons; need to protect the public.</w:t>
      </w:r>
    </w:p>
    <w:p>
      <w:pPr>
        <w:pStyle w:val="ListBullet"/>
        <w:spacing w:before="0" w:after="40"/>
      </w:pPr>
      <w:r>
        <w:rPr>
          <w:rFonts w:ascii="Calibri" w:hAnsi="Calibri"/>
          <w:b w:val="0"/>
          <w:i w:val="0"/>
          <w:color w:val="1B2330"/>
          <w:sz w:val="21"/>
        </w:rPr>
        <w:t>Therapist stress, burnout, vicarious traumatisation, compassion fatigue; self-care and peer support.</w:t>
      </w:r>
    </w:p>
    <w:p>
      <w:pPr>
        <w:pStyle w:val="ListBullet"/>
        <w:spacing w:before="0" w:after="40"/>
      </w:pPr>
      <w:r>
        <w:rPr>
          <w:rFonts w:ascii="Calibri" w:hAnsi="Calibri"/>
          <w:b w:val="0"/>
          <w:i w:val="0"/>
          <w:color w:val="1B2330"/>
          <w:sz w:val="21"/>
        </w:rPr>
        <w:t>Boundaries and dual relationships in trainee-supervisor and small-community settings.</w:t>
      </w:r>
    </w:p>
    <w:p>
      <w:pPr>
        <w:pStyle w:val="ListBullet"/>
        <w:spacing w:before="0" w:after="40"/>
      </w:pPr>
      <w:r>
        <w:rPr>
          <w:rFonts w:ascii="Calibri" w:hAnsi="Calibri"/>
          <w:b w:val="0"/>
          <w:i w:val="0"/>
          <w:color w:val="1B2330"/>
          <w:sz w:val="21"/>
        </w:rPr>
        <w:t>Training in tele-therapy and its ethics.</w:t>
      </w:r>
    </w:p>
    <w:p>
      <w:pPr>
        <w:pStyle w:val="ListBullet"/>
        <w:spacing w:before="0" w:after="40"/>
      </w:pPr>
      <w:r>
        <w:rPr>
          <w:rFonts w:ascii="Calibri" w:hAnsi="Calibri"/>
          <w:b w:val="0"/>
          <w:i w:val="0"/>
          <w:color w:val="1B2330"/>
          <w:sz w:val="21"/>
        </w:rPr>
        <w:t>Practising within the limits of one's competence; knowing when to refer.</w:t>
      </w:r>
    </w:p>
    <w:p>
      <w:pPr>
        <w:spacing w:before="160" w:after="40"/>
      </w:pPr>
      <w:r>
        <w:rPr>
          <w:rFonts w:ascii="Segoe UI" w:hAnsi="Segoe UI"/>
          <w:b/>
          <w:i w:val="0"/>
          <w:color w:val="2B4C7E"/>
          <w:sz w:val="21"/>
        </w:rPr>
        <w:t>Flow chart: Flow: the training pipeline</w:t>
      </w:r>
    </w:p>
    <w:tbl>
      <w:tblPr>
        <w:tblW w:type="auto" w:w="0"/>
        <w:jc w:val="center"/>
        <w:tblLook w:firstColumn="1" w:firstRow="1" w:lastColumn="0" w:lastRow="0" w:noHBand="0" w:noVBand="1" w:val="04A0"/>
      </w:tblPr>
      <w:tblGrid>
        <w:gridCol w:w="9638"/>
      </w:tblGrid>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Selection / gate-keeping (suitability, personal qualities)</w:t>
            </w:r>
          </w:p>
        </w:tc>
      </w:tr>
      <w:tr>
        <w:tc>
          <w:tcPr>
            <w:tcW w:type="dxa" w:w="8504"/>
          </w:tcPr>
          <w:p>
            <w:pPr>
              <w:spacing w:before="20" w:after="20"/>
              <w:jc w:val="center"/>
            </w:pPr>
            <w:r>
              <w:rPr>
                <w:rFonts w:ascii="Segoe UI" w:hAnsi="Segoe UI"/>
                <w:b/>
                <w:i w:val="0"/>
                <w:color w:val="2B4C7E"/>
                <w:sz w:val="26"/>
              </w:rPr>
              <w:t>↓</w:t>
            </w:r>
          </w:p>
        </w:tc>
      </w:tr>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Theory + ethics + research literacy</w:t>
            </w:r>
          </w:p>
        </w:tc>
      </w:tr>
      <w:tr>
        <w:tc>
          <w:tcPr>
            <w:tcW w:type="dxa" w:w="8504"/>
          </w:tcPr>
          <w:p>
            <w:pPr>
              <w:spacing w:before="20" w:after="20"/>
              <w:jc w:val="center"/>
            </w:pPr>
            <w:r>
              <w:rPr>
                <w:rFonts w:ascii="Segoe UI" w:hAnsi="Segoe UI"/>
                <w:b/>
                <w:i w:val="0"/>
                <w:color w:val="2B4C7E"/>
                <w:sz w:val="26"/>
              </w:rPr>
              <w:t>↓</w:t>
            </w:r>
          </w:p>
        </w:tc>
      </w:tr>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Supervised practice (observation, audio/video, case conferences)</w:t>
            </w:r>
          </w:p>
        </w:tc>
      </w:tr>
      <w:tr>
        <w:tc>
          <w:tcPr>
            <w:tcW w:type="dxa" w:w="8504"/>
          </w:tcPr>
          <w:p>
            <w:pPr>
              <w:spacing w:before="20" w:after="20"/>
              <w:jc w:val="center"/>
            </w:pPr>
            <w:r>
              <w:rPr>
                <w:rFonts w:ascii="Segoe UI" w:hAnsi="Segoe UI"/>
                <w:b/>
                <w:i w:val="0"/>
                <w:color w:val="2B4C7E"/>
                <w:sz w:val="26"/>
              </w:rPr>
              <w:t>↓</w:t>
            </w:r>
          </w:p>
        </w:tc>
      </w:tr>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Personal therapy / self-awareness; cultural competence</w:t>
            </w:r>
          </w:p>
        </w:tc>
      </w:tr>
      <w:tr>
        <w:tc>
          <w:tcPr>
            <w:tcW w:type="dxa" w:w="8504"/>
          </w:tcPr>
          <w:p>
            <w:pPr>
              <w:spacing w:before="20" w:after="20"/>
              <w:jc w:val="center"/>
            </w:pPr>
            <w:r>
              <w:rPr>
                <w:rFonts w:ascii="Segoe UI" w:hAnsi="Segoe UI"/>
                <w:b/>
                <w:i w:val="0"/>
                <w:color w:val="2B4C7E"/>
                <w:sz w:val="26"/>
              </w:rPr>
              <w:t>↓</w:t>
            </w:r>
          </w:p>
        </w:tc>
      </w:tr>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RCI registration (CRR number) → competent practice</w:t>
            </w:r>
          </w:p>
        </w:tc>
      </w:tr>
      <w:tr>
        <w:tc>
          <w:tcPr>
            <w:tcW w:type="dxa" w:w="8504"/>
          </w:tcPr>
          <w:p>
            <w:pPr>
              <w:spacing w:before="20" w:after="20"/>
              <w:jc w:val="center"/>
            </w:pPr>
            <w:r>
              <w:rPr>
                <w:rFonts w:ascii="Segoe UI" w:hAnsi="Segoe UI"/>
                <w:b/>
                <w:i w:val="0"/>
                <w:color w:val="2B4C7E"/>
                <w:sz w:val="26"/>
              </w:rPr>
              <w:t>↓</w:t>
            </w:r>
          </w:p>
        </w:tc>
      </w:tr>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Continuing education, supervision, self-care</w:t>
            </w:r>
          </w:p>
        </w:tc>
      </w:tr>
    </w:tbl>
    <w:p>
      <w:pPr>
        <w:spacing w:after="40"/>
      </w:pPr>
    </w:p>
    <w:tbl>
      <w:tblPr>
        <w:tblW w:type="auto" w:w="0"/>
        <w:jc w:val="center"/>
        <w:tblLook w:firstColumn="1" w:firstRow="1" w:lastColumn="0" w:lastRow="0" w:noHBand="0" w:noVBand="1" w:val="04A0"/>
      </w:tblPr>
      <w:tblGrid>
        <w:gridCol w:w="9638"/>
      </w:tblGrid>
      <w:tr>
        <w:tc>
          <w:tcPr>
            <w:tcW w:type="dxa" w:w="9411"/>
            <w:tcBorders>
              <w:top w:val="single" w:sz="8" w:space="0" w:color="C98A1B"/>
              <w:left w:val="single" w:sz="8" w:space="0" w:color="C98A1B"/>
              <w:bottom w:val="single" w:sz="8" w:space="0" w:color="C98A1B"/>
              <w:right w:val="single" w:sz="8" w:space="0" w:color="C98A1B"/>
            </w:tcBorders>
            <w:shd w:val="clear" w:color="auto" w:fill="FFF6E6"/>
          </w:tcPr>
          <w:p>
            <w:pPr>
              <w:spacing w:before="40" w:after="60"/>
            </w:pPr>
            <w:r>
              <w:rPr>
                <w:rFonts w:ascii="Segoe UI" w:hAnsi="Segoe UI"/>
                <w:b/>
                <w:i w:val="0"/>
                <w:color w:val="8A5A00"/>
                <w:sz w:val="21"/>
              </w:rPr>
              <w:t xml:space="preserve">Mnemonic: </w:t>
            </w:r>
            <w:r>
              <w:rPr>
                <w:rFonts w:ascii="Segoe UI" w:hAnsi="Segoe UI"/>
                <w:b/>
                <w:i w:val="0"/>
                <w:color w:val="C98A1B"/>
                <w:sz w:val="26"/>
              </w:rPr>
              <w:t>SCRIPT</w:t>
            </w:r>
            <w:r>
              <w:rPr>
                <w:rFonts w:ascii="Segoe UI" w:hAnsi="Segoe UI"/>
                <w:b/>
                <w:i w:val="0"/>
                <w:color w:val="8A5A00"/>
                <w:sz w:val="21"/>
              </w:rPr>
              <w:t xml:space="preserve">  —  the pillars of therapist training</w:t>
            </w:r>
          </w:p>
          <w:p>
            <w:pPr>
              <w:spacing w:before="0" w:after="20"/>
            </w:pPr>
            <w:r>
              <w:rPr>
                <w:rFonts w:ascii="Segoe UI" w:hAnsi="Segoe UI"/>
                <w:b/>
                <w:i w:val="0"/>
                <w:color w:val="C98A1B"/>
                <w:sz w:val="22"/>
              </w:rPr>
              <w:t xml:space="preserve">S  </w:t>
            </w:r>
            <w:r>
              <w:rPr>
                <w:rFonts w:ascii="Segoe UI" w:hAnsi="Segoe UI"/>
                <w:b/>
                <w:i w:val="0"/>
                <w:color w:val="1B2330"/>
                <w:sz w:val="19"/>
              </w:rPr>
              <w:t xml:space="preserve">Supervision — </w:t>
            </w:r>
            <w:r>
              <w:rPr>
                <w:rFonts w:ascii="Segoe UI" w:hAnsi="Segoe UI"/>
                <w:b w:val="0"/>
                <w:i w:val="0"/>
                <w:color w:val="4A5568"/>
                <w:sz w:val="19"/>
              </w:rPr>
              <w:t>supervised clinical practice</w:t>
            </w:r>
          </w:p>
          <w:p>
            <w:pPr>
              <w:spacing w:before="0" w:after="20"/>
            </w:pPr>
            <w:r>
              <w:rPr>
                <w:rFonts w:ascii="Segoe UI" w:hAnsi="Segoe UI"/>
                <w:b/>
                <w:i w:val="0"/>
                <w:color w:val="C98A1B"/>
                <w:sz w:val="22"/>
              </w:rPr>
              <w:t xml:space="preserve">C  </w:t>
            </w:r>
            <w:r>
              <w:rPr>
                <w:rFonts w:ascii="Segoe UI" w:hAnsi="Segoe UI"/>
                <w:b/>
                <w:i w:val="0"/>
                <w:color w:val="1B2330"/>
                <w:sz w:val="19"/>
              </w:rPr>
              <w:t xml:space="preserve">Competence &amp; culture — </w:t>
            </w:r>
            <w:r>
              <w:rPr>
                <w:rFonts w:ascii="Segoe UI" w:hAnsi="Segoe UI"/>
                <w:b w:val="0"/>
                <w:i w:val="0"/>
                <w:color w:val="4A5568"/>
                <w:sz w:val="19"/>
              </w:rPr>
              <w:t>competencies and cultural competence</w:t>
            </w:r>
          </w:p>
          <w:p>
            <w:pPr>
              <w:spacing w:before="0" w:after="20"/>
            </w:pPr>
            <w:r>
              <w:rPr>
                <w:rFonts w:ascii="Segoe UI" w:hAnsi="Segoe UI"/>
                <w:b/>
                <w:i w:val="0"/>
                <w:color w:val="C98A1B"/>
                <w:sz w:val="22"/>
              </w:rPr>
              <w:t xml:space="preserve">R  </w:t>
            </w:r>
            <w:r>
              <w:rPr>
                <w:rFonts w:ascii="Segoe UI" w:hAnsi="Segoe UI"/>
                <w:b/>
                <w:i w:val="0"/>
                <w:color w:val="1B2330"/>
                <w:sz w:val="19"/>
              </w:rPr>
              <w:t xml:space="preserve">Research &amp; RCI — </w:t>
            </w:r>
            <w:r>
              <w:rPr>
                <w:rFonts w:ascii="Segoe UI" w:hAnsi="Segoe UI"/>
                <w:b w:val="0"/>
                <w:i w:val="0"/>
                <w:color w:val="4A5568"/>
                <w:sz w:val="19"/>
              </w:rPr>
              <w:t>research literacy; RCI registration</w:t>
            </w:r>
          </w:p>
          <w:p>
            <w:pPr>
              <w:spacing w:before="0" w:after="20"/>
            </w:pPr>
            <w:r>
              <w:rPr>
                <w:rFonts w:ascii="Segoe UI" w:hAnsi="Segoe UI"/>
                <w:b/>
                <w:i w:val="0"/>
                <w:color w:val="C98A1B"/>
                <w:sz w:val="22"/>
              </w:rPr>
              <w:t xml:space="preserve">I  </w:t>
            </w:r>
            <w:r>
              <w:rPr>
                <w:rFonts w:ascii="Segoe UI" w:hAnsi="Segoe UI"/>
                <w:b/>
                <w:i w:val="0"/>
                <w:color w:val="1B2330"/>
                <w:sz w:val="19"/>
              </w:rPr>
              <w:t xml:space="preserve">Insight — </w:t>
            </w:r>
            <w:r>
              <w:rPr>
                <w:rFonts w:ascii="Segoe UI" w:hAnsi="Segoe UI"/>
                <w:b w:val="0"/>
                <w:i w:val="0"/>
                <w:color w:val="4A5568"/>
                <w:sz w:val="19"/>
              </w:rPr>
              <w:t>personal therapy / self-awareness</w:t>
            </w:r>
          </w:p>
          <w:p>
            <w:pPr>
              <w:spacing w:before="0" w:after="20"/>
            </w:pPr>
            <w:r>
              <w:rPr>
                <w:rFonts w:ascii="Segoe UI" w:hAnsi="Segoe UI"/>
                <w:b/>
                <w:i w:val="0"/>
                <w:color w:val="C98A1B"/>
                <w:sz w:val="22"/>
              </w:rPr>
              <w:t xml:space="preserve">P  </w:t>
            </w:r>
            <w:r>
              <w:rPr>
                <w:rFonts w:ascii="Segoe UI" w:hAnsi="Segoe UI"/>
                <w:b/>
                <w:i w:val="0"/>
                <w:color w:val="1B2330"/>
                <w:sz w:val="19"/>
              </w:rPr>
              <w:t xml:space="preserve">Principles — </w:t>
            </w:r>
            <w:r>
              <w:rPr>
                <w:rFonts w:ascii="Segoe UI" w:hAnsi="Segoe UI"/>
                <w:b w:val="0"/>
                <w:i w:val="0"/>
                <w:color w:val="4A5568"/>
                <w:sz w:val="19"/>
              </w:rPr>
              <w:t>ethics and law</w:t>
            </w:r>
          </w:p>
          <w:p>
            <w:pPr>
              <w:spacing w:before="0" w:after="20"/>
            </w:pPr>
            <w:r>
              <w:rPr>
                <w:rFonts w:ascii="Segoe UI" w:hAnsi="Segoe UI"/>
                <w:b/>
                <w:i w:val="0"/>
                <w:color w:val="C98A1B"/>
                <w:sz w:val="22"/>
              </w:rPr>
              <w:t xml:space="preserve">T  </w:t>
            </w:r>
            <w:r>
              <w:rPr>
                <w:rFonts w:ascii="Segoe UI" w:hAnsi="Segoe UI"/>
                <w:b/>
                <w:i w:val="0"/>
                <w:color w:val="1B2330"/>
                <w:sz w:val="19"/>
              </w:rPr>
              <w:t xml:space="preserve">Theory — </w:t>
            </w:r>
            <w:r>
              <w:rPr>
                <w:rFonts w:ascii="Segoe UI" w:hAnsi="Segoe UI"/>
                <w:b w:val="0"/>
                <w:i w:val="0"/>
                <w:color w:val="4A5568"/>
                <w:sz w:val="19"/>
              </w:rPr>
              <w:t>theoretical knowledge base</w:t>
            </w:r>
          </w:p>
        </w:tc>
      </w:tr>
    </w:tbl>
    <w:p>
      <w:pPr>
        <w:spacing w:after="40"/>
      </w:pPr>
    </w:p>
    <w:p>
      <w:pPr>
        <w:pStyle w:val="Heading1"/>
        <w:pageBreakBefore/>
      </w:pPr>
      <w:r>
        <w:rPr>
          <w:rFonts w:ascii="Segoe UI" w:hAnsi="Segoe UI"/>
          <w:b/>
          <w:i w:val="0"/>
          <w:color w:val="2B4C7E"/>
          <w:sz w:val="30"/>
        </w:rPr>
        <w:t>4. Ethical and Legal Issues in Therapy Work</w:t>
      </w:r>
    </w:p>
    <w:p>
      <w:pPr>
        <w:spacing w:before="180" w:after="40"/>
      </w:pPr>
      <w:r>
        <w:rPr>
          <w:rFonts w:ascii="Segoe UI" w:hAnsi="Segoe UI"/>
          <w:b/>
          <w:i w:val="0"/>
          <w:color w:val="1B2330"/>
          <w:sz w:val="23"/>
        </w:rPr>
        <w:t>Core ethical principles (APA Ethical Principles)</w:t>
      </w:r>
    </w:p>
    <w:p>
      <w:pPr>
        <w:pStyle w:val="ListBullet"/>
        <w:spacing w:before="0" w:after="40"/>
      </w:pPr>
      <w:r>
        <w:rPr>
          <w:rFonts w:ascii="Calibri" w:hAnsi="Calibri"/>
          <w:b w:val="0"/>
          <w:i w:val="0"/>
          <w:color w:val="1B2330"/>
          <w:sz w:val="21"/>
        </w:rPr>
        <w:t>Beneficence and non-maleficence: do good; avoid harm.</w:t>
      </w:r>
    </w:p>
    <w:p>
      <w:pPr>
        <w:pStyle w:val="ListBullet"/>
        <w:spacing w:before="0" w:after="40"/>
      </w:pPr>
      <w:r>
        <w:rPr>
          <w:rFonts w:ascii="Calibri" w:hAnsi="Calibri"/>
          <w:b w:val="0"/>
          <w:i w:val="0"/>
          <w:color w:val="1B2330"/>
          <w:sz w:val="21"/>
        </w:rPr>
        <w:t>Fidelity and responsibility: trust, professional and scientific responsibility, accountability.</w:t>
      </w:r>
    </w:p>
    <w:p>
      <w:pPr>
        <w:pStyle w:val="ListBullet"/>
        <w:spacing w:before="0" w:after="40"/>
      </w:pPr>
      <w:r>
        <w:rPr>
          <w:rFonts w:ascii="Calibri" w:hAnsi="Calibri"/>
          <w:b w:val="0"/>
          <w:i w:val="0"/>
          <w:color w:val="1B2330"/>
          <w:sz w:val="21"/>
        </w:rPr>
        <w:t>Integrity: honesty, accuracy, truthfulness; no deception or exaggerated claims.</w:t>
      </w:r>
    </w:p>
    <w:p>
      <w:pPr>
        <w:pStyle w:val="ListBullet"/>
        <w:spacing w:before="0" w:after="40"/>
      </w:pPr>
      <w:r>
        <w:rPr>
          <w:rFonts w:ascii="Calibri" w:hAnsi="Calibri"/>
          <w:b w:val="0"/>
          <w:i w:val="0"/>
          <w:color w:val="1B2330"/>
          <w:sz w:val="21"/>
        </w:rPr>
        <w:t>Justice: fairness, equal access to quality services; no discrimination.</w:t>
      </w:r>
    </w:p>
    <w:p>
      <w:pPr>
        <w:pStyle w:val="ListBullet"/>
        <w:spacing w:before="0" w:after="40"/>
      </w:pPr>
      <w:r>
        <w:rPr>
          <w:rFonts w:ascii="Calibri" w:hAnsi="Calibri"/>
          <w:b w:val="0"/>
          <w:i w:val="0"/>
          <w:color w:val="1B2330"/>
          <w:sz w:val="21"/>
        </w:rPr>
        <w:t>Respect for people's rights and dignity: privacy, confidentiality, autonomy, self-determination.</w:t>
      </w:r>
    </w:p>
    <w:tbl>
      <w:tblPr>
        <w:tblW w:type="auto" w:w="0"/>
        <w:jc w:val="center"/>
        <w:tblLook w:firstColumn="1" w:firstRow="1" w:lastColumn="0" w:lastRow="0" w:noHBand="0" w:noVBand="1" w:val="04A0"/>
      </w:tblPr>
      <w:tblGrid>
        <w:gridCol w:w="9638"/>
      </w:tblGrid>
      <w:tr>
        <w:tc>
          <w:tcPr>
            <w:tcW w:type="dxa" w:w="9411"/>
            <w:tcBorders>
              <w:top w:val="single" w:sz="8" w:space="0" w:color="B23A48"/>
              <w:left w:val="single" w:sz="8" w:space="0" w:color="B23A48"/>
              <w:bottom w:val="single" w:sz="8" w:space="0" w:color="B23A48"/>
              <w:right w:val="single" w:sz="8" w:space="0" w:color="B23A48"/>
            </w:tcBorders>
            <w:shd w:val="clear" w:color="auto" w:fill="FDECEF"/>
          </w:tcPr>
          <w:p>
            <w:pPr>
              <w:spacing w:before="40" w:after="60"/>
            </w:pPr>
            <w:r>
              <w:rPr>
                <w:rFonts w:ascii="Segoe UI" w:hAnsi="Segoe UI"/>
                <w:b/>
                <w:i w:val="0"/>
                <w:color w:val="B23A48"/>
                <w:sz w:val="21"/>
              </w:rPr>
              <w:t>IACP — SECONDARY / paraphrased</w:t>
            </w:r>
          </w:p>
          <w:p>
            <w:pPr>
              <w:pStyle w:val="ListBullet"/>
              <w:spacing w:before="0" w:after="40"/>
            </w:pPr>
            <w:r>
              <w:rPr>
                <w:rFonts w:ascii="Calibri" w:hAnsi="Calibri"/>
                <w:b w:val="0"/>
                <w:i w:val="0"/>
                <w:color w:val="1B2330"/>
                <w:sz w:val="19"/>
              </w:rPr>
              <w:t>The IACP (Indian Association of Clinical Psychologists) is the national professional body of clinical psychologists in India and is generally understood to publish a code of ethics for its members.</w:t>
            </w:r>
          </w:p>
          <w:p>
            <w:pPr>
              <w:pStyle w:val="ListBullet"/>
              <w:spacing w:before="0" w:after="40"/>
            </w:pPr>
            <w:r>
              <w:rPr>
                <w:rFonts w:ascii="Calibri" w:hAnsi="Calibri"/>
                <w:b w:val="0"/>
                <w:i w:val="0"/>
                <w:color w:val="1B2330"/>
                <w:sz w:val="19"/>
              </w:rPr>
              <w:t>Its code of ethics was NOT accessible and is absent from the extracted sources, so it is cited here only as SECONDARY / paraphrased general knowledge. No clause numbers, quotations or dates are asserted. Its broad themes (competence, confidentiality, consent, avoiding exploitation, professional conduct) overlap with the APA principles and the RCI code of conduct and should be read as such.</w:t>
            </w:r>
          </w:p>
        </w:tc>
      </w:tr>
    </w:tbl>
    <w:p>
      <w:pPr>
        <w:spacing w:after="40"/>
      </w:pPr>
    </w:p>
    <w:p>
      <w:pPr>
        <w:spacing w:before="180" w:after="40"/>
      </w:pPr>
      <w:r>
        <w:rPr>
          <w:rFonts w:ascii="Segoe UI" w:hAnsi="Segoe UI"/>
          <w:b/>
          <w:i w:val="0"/>
          <w:color w:val="1B2330"/>
          <w:sz w:val="23"/>
        </w:rPr>
        <w:t>Major ethical issues</w:t>
      </w:r>
    </w:p>
    <w:p>
      <w:pPr>
        <w:pStyle w:val="ListBullet"/>
        <w:spacing w:before="0" w:after="40"/>
      </w:pPr>
      <w:r>
        <w:rPr>
          <w:rFonts w:ascii="Calibri" w:hAnsi="Calibri"/>
          <w:b w:val="0"/>
          <w:i w:val="0"/>
          <w:color w:val="1B2330"/>
          <w:sz w:val="21"/>
        </w:rPr>
        <w:t>Competence: practise only within the limits of training; refer when needed; keep updated.</w:t>
      </w:r>
    </w:p>
    <w:p>
      <w:pPr>
        <w:pStyle w:val="ListBullet"/>
        <w:spacing w:before="0" w:after="40"/>
      </w:pPr>
      <w:r>
        <w:rPr>
          <w:rFonts w:ascii="Calibri" w:hAnsi="Calibri"/>
          <w:b w:val="0"/>
          <w:i w:val="0"/>
          <w:color w:val="1B2330"/>
          <w:sz w:val="21"/>
        </w:rPr>
        <w:t>Informed consent: obtained before assessment and treatment (see Section 6).</w:t>
      </w:r>
    </w:p>
    <w:p>
      <w:pPr>
        <w:pStyle w:val="ListBullet"/>
        <w:spacing w:before="0" w:after="40"/>
      </w:pPr>
      <w:r>
        <w:rPr>
          <w:rFonts w:ascii="Calibri" w:hAnsi="Calibri"/>
          <w:b w:val="0"/>
          <w:i w:val="0"/>
          <w:color w:val="1B2330"/>
          <w:sz w:val="21"/>
        </w:rPr>
        <w:t>Confidentiality and its limits: private information shared only with consent; exceptions below.</w:t>
      </w:r>
    </w:p>
    <w:p>
      <w:pPr>
        <w:pStyle w:val="ListBullet"/>
        <w:spacing w:before="0" w:after="40"/>
      </w:pPr>
      <w:r>
        <w:rPr>
          <w:rFonts w:ascii="Calibri" w:hAnsi="Calibri"/>
          <w:b w:val="0"/>
          <w:i w:val="0"/>
          <w:color w:val="1B2330"/>
          <w:sz w:val="21"/>
        </w:rPr>
        <w:t>Dual (multiple) relationships and boundaries:</w:t>
      </w:r>
    </w:p>
    <w:p>
      <w:pPr>
        <w:pStyle w:val="ListBullet2"/>
        <w:spacing w:before="0" w:after="20"/>
      </w:pPr>
      <w:r>
        <w:rPr>
          <w:rFonts w:ascii="Calibri" w:hAnsi="Calibri"/>
          <w:b w:val="0"/>
          <w:i w:val="0"/>
          <w:color w:val="1B2330"/>
          <w:sz w:val="20"/>
        </w:rPr>
        <w:t>Avoid social, business, financial or sexual relationships with clients.</w:t>
      </w:r>
    </w:p>
    <w:p>
      <w:pPr>
        <w:pStyle w:val="ListBullet2"/>
        <w:spacing w:before="0" w:after="20"/>
      </w:pPr>
      <w:r>
        <w:rPr>
          <w:rFonts w:ascii="Calibri" w:hAnsi="Calibri"/>
          <w:b w:val="0"/>
          <w:i w:val="0"/>
          <w:color w:val="1B2330"/>
          <w:sz w:val="20"/>
        </w:rPr>
        <w:t>Sexual intimacy with a client (or former client, at least for a specified period) is unethical and prohibited.</w:t>
      </w:r>
    </w:p>
    <w:p>
      <w:pPr>
        <w:pStyle w:val="ListBullet2"/>
        <w:spacing w:before="0" w:after="20"/>
      </w:pPr>
      <w:r>
        <w:rPr>
          <w:rFonts w:ascii="Calibri" w:hAnsi="Calibri"/>
          <w:b w:val="0"/>
          <w:i w:val="0"/>
          <w:color w:val="1B2330"/>
          <w:sz w:val="20"/>
        </w:rPr>
        <w:t>Avoid exploitation and misuse of power; manage gifts, self-disclosure, touch and social media contact carefully.</w:t>
      </w:r>
    </w:p>
    <w:p>
      <w:pPr>
        <w:pStyle w:val="ListBullet"/>
        <w:spacing w:before="0" w:after="40"/>
      </w:pPr>
      <w:r>
        <w:rPr>
          <w:rFonts w:ascii="Calibri" w:hAnsi="Calibri"/>
          <w:b w:val="0"/>
          <w:i w:val="0"/>
          <w:color w:val="1B2330"/>
          <w:sz w:val="21"/>
        </w:rPr>
        <w:t>Fees and contracts: clear and honest about fees, missed sessions and payment; do not exploit.</w:t>
      </w:r>
    </w:p>
    <w:p>
      <w:pPr>
        <w:pStyle w:val="ListBullet"/>
        <w:spacing w:before="0" w:after="40"/>
      </w:pPr>
      <w:r>
        <w:rPr>
          <w:rFonts w:ascii="Calibri" w:hAnsi="Calibri"/>
          <w:b w:val="0"/>
          <w:i w:val="0"/>
          <w:color w:val="1B2330"/>
          <w:sz w:val="21"/>
        </w:rPr>
        <w:t>Record keeping and data security.</w:t>
      </w:r>
    </w:p>
    <w:p>
      <w:pPr>
        <w:pStyle w:val="ListBullet"/>
        <w:spacing w:before="0" w:after="40"/>
      </w:pPr>
      <w:r>
        <w:rPr>
          <w:rFonts w:ascii="Calibri" w:hAnsi="Calibri"/>
          <w:b w:val="0"/>
          <w:i w:val="0"/>
          <w:color w:val="1B2330"/>
          <w:sz w:val="21"/>
        </w:rPr>
        <w:t>Termination and referral: do not abandon clients; terminate when the client no longer needs or benefits; provide referrals and handover.</w:t>
      </w:r>
    </w:p>
    <w:p>
      <w:pPr>
        <w:pStyle w:val="ListBullet"/>
        <w:spacing w:before="0" w:after="40"/>
      </w:pPr>
      <w:r>
        <w:rPr>
          <w:rFonts w:ascii="Calibri" w:hAnsi="Calibri"/>
          <w:b w:val="0"/>
          <w:i w:val="0"/>
          <w:color w:val="1B2330"/>
          <w:sz w:val="21"/>
        </w:rPr>
        <w:t>Cultural sensitivity and respect for diversity (gender, caste, religion, sexuality, disability, socio-economic status).</w:t>
      </w:r>
    </w:p>
    <w:p>
      <w:pPr>
        <w:pStyle w:val="ListBullet"/>
        <w:spacing w:before="0" w:after="40"/>
      </w:pPr>
      <w:r>
        <w:rPr>
          <w:rFonts w:ascii="Calibri" w:hAnsi="Calibri"/>
          <w:b w:val="0"/>
          <w:i w:val="0"/>
          <w:color w:val="1B2330"/>
          <w:sz w:val="21"/>
        </w:rPr>
        <w:t>Supervision and consultation: use regularly; seek help in ethical dilemmas.</w:t>
      </w:r>
    </w:p>
    <w:p>
      <w:pPr>
        <w:pStyle w:val="ListBullet"/>
        <w:spacing w:before="0" w:after="40"/>
      </w:pPr>
      <w:r>
        <w:rPr>
          <w:rFonts w:ascii="Calibri" w:hAnsi="Calibri"/>
          <w:b w:val="0"/>
          <w:i w:val="0"/>
          <w:color w:val="1B2330"/>
          <w:sz w:val="21"/>
        </w:rPr>
        <w:t>Advertising and claims: avoid false or unsubstantiated claims about outcomes.</w:t>
      </w:r>
    </w:p>
    <w:p>
      <w:pPr>
        <w:pStyle w:val="ListBullet"/>
        <w:spacing w:before="0" w:after="40"/>
      </w:pPr>
      <w:r>
        <w:rPr>
          <w:rFonts w:ascii="Calibri" w:hAnsi="Calibri"/>
          <w:b w:val="0"/>
          <w:i w:val="0"/>
          <w:color w:val="1B2330"/>
          <w:sz w:val="21"/>
        </w:rPr>
        <w:t>Research ethics: consent, no harm, confidentiality, ethics committee approval.</w:t>
      </w:r>
    </w:p>
    <w:p>
      <w:pPr>
        <w:spacing w:before="180" w:after="40"/>
      </w:pPr>
      <w:r>
        <w:rPr>
          <w:rFonts w:ascii="Segoe UI" w:hAnsi="Segoe UI"/>
          <w:b/>
          <w:i w:val="0"/>
          <w:color w:val="1B2330"/>
          <w:sz w:val="23"/>
        </w:rPr>
        <w:t>Ethical decision-making steps</w:t>
      </w:r>
    </w:p>
    <w:p>
      <w:pPr>
        <w:pStyle w:val="ListBullet"/>
        <w:spacing w:before="0" w:after="40"/>
      </w:pPr>
      <w:r>
        <w:rPr>
          <w:rFonts w:ascii="Calibri" w:hAnsi="Calibri"/>
          <w:b w:val="0"/>
          <w:i w:val="0"/>
          <w:color w:val="1B2330"/>
          <w:sz w:val="21"/>
        </w:rPr>
        <w:t>Identify the problem and the people affected.</w:t>
      </w:r>
    </w:p>
    <w:p>
      <w:pPr>
        <w:pStyle w:val="ListBullet"/>
        <w:spacing w:before="0" w:after="40"/>
      </w:pPr>
      <w:r>
        <w:rPr>
          <w:rFonts w:ascii="Calibri" w:hAnsi="Calibri"/>
          <w:b w:val="0"/>
          <w:i w:val="0"/>
          <w:color w:val="1B2330"/>
          <w:sz w:val="21"/>
        </w:rPr>
        <w:t>Consult codes and law; consult supervisor / colleagues.</w:t>
      </w:r>
    </w:p>
    <w:p>
      <w:pPr>
        <w:pStyle w:val="ListBullet"/>
        <w:spacing w:before="0" w:after="40"/>
      </w:pPr>
      <w:r>
        <w:rPr>
          <w:rFonts w:ascii="Calibri" w:hAnsi="Calibri"/>
          <w:b w:val="0"/>
          <w:i w:val="0"/>
          <w:color w:val="1B2330"/>
          <w:sz w:val="21"/>
        </w:rPr>
        <w:t>Consider options and consequences.</w:t>
      </w:r>
    </w:p>
    <w:p>
      <w:pPr>
        <w:pStyle w:val="ListBullet"/>
        <w:spacing w:before="0" w:after="40"/>
      </w:pPr>
      <w:r>
        <w:rPr>
          <w:rFonts w:ascii="Calibri" w:hAnsi="Calibri"/>
          <w:b w:val="0"/>
          <w:i w:val="0"/>
          <w:color w:val="1B2330"/>
          <w:sz w:val="21"/>
        </w:rPr>
        <w:t>Decide and act; document; evaluate.</w:t>
      </w:r>
    </w:p>
    <w:tbl>
      <w:tblPr>
        <w:tblW w:type="auto" w:w="0"/>
        <w:jc w:val="center"/>
        <w:tblLook w:firstColumn="1" w:firstRow="1" w:lastColumn="0" w:lastRow="0" w:noHBand="0" w:noVBand="1" w:val="04A0"/>
      </w:tblPr>
      <w:tblGrid>
        <w:gridCol w:w="9638"/>
      </w:tblGrid>
      <w:tr>
        <w:tc>
          <w:tcPr>
            <w:tcW w:type="dxa" w:w="9411"/>
            <w:tcBorders>
              <w:top w:val="single" w:sz="8" w:space="0" w:color="B23A48"/>
              <w:left w:val="single" w:sz="8" w:space="0" w:color="B23A48"/>
              <w:bottom w:val="single" w:sz="8" w:space="0" w:color="B23A48"/>
              <w:right w:val="single" w:sz="8" w:space="0" w:color="B23A48"/>
            </w:tcBorders>
            <w:shd w:val="clear" w:color="auto" w:fill="FDECEF"/>
          </w:tcPr>
          <w:p>
            <w:pPr>
              <w:spacing w:before="40" w:after="60"/>
            </w:pPr>
            <w:r>
              <w:rPr>
                <w:rFonts w:ascii="Segoe UI" w:hAnsi="Segoe UI"/>
                <w:b/>
                <w:i w:val="0"/>
                <w:color w:val="B23A48"/>
                <w:sz w:val="21"/>
              </w:rPr>
              <w:t>Where ethical guidance comes from (secondary notes)</w:t>
            </w:r>
          </w:p>
          <w:p>
            <w:pPr>
              <w:pStyle w:val="ListBullet"/>
              <w:spacing w:before="0" w:after="40"/>
            </w:pPr>
            <w:r>
              <w:rPr>
                <w:rFonts w:ascii="Calibri" w:hAnsi="Calibri"/>
                <w:b w:val="0"/>
                <w:i w:val="0"/>
                <w:color w:val="1B2330"/>
                <w:sz w:val="19"/>
              </w:rPr>
              <w:t>Professional bodies' codes and guidelines define professional identity and duties.</w:t>
            </w:r>
          </w:p>
          <w:p>
            <w:pPr>
              <w:pStyle w:val="ListBullet"/>
              <w:spacing w:before="0" w:after="40"/>
            </w:pPr>
            <w:r>
              <w:rPr>
                <w:rFonts w:ascii="Calibri" w:hAnsi="Calibri"/>
                <w:b w:val="0"/>
                <w:i w:val="0"/>
                <w:color w:val="1B2330"/>
                <w:sz w:val="19"/>
              </w:rPr>
              <w:t>Legal statutes and case law show how courts have resolved dilemmas (illustrative, not legal advice; the law is not always an ethically sufficient guide).</w:t>
            </w:r>
          </w:p>
          <w:p>
            <w:pPr>
              <w:pStyle w:val="ListBullet"/>
              <w:spacing w:before="0" w:after="40"/>
            </w:pPr>
            <w:r>
              <w:rPr>
                <w:rFonts w:ascii="Calibri" w:hAnsi="Calibri"/>
                <w:b w:val="0"/>
                <w:i w:val="0"/>
                <w:color w:val="1B2330"/>
                <w:sz w:val="19"/>
              </w:rPr>
              <w:t>The therapist must still reason for themselves; the overarching duty is to make the best-quality decision that can be made.</w:t>
            </w:r>
          </w:p>
          <w:p>
            <w:pPr>
              <w:pStyle w:val="ListBullet"/>
              <w:spacing w:before="0" w:after="40"/>
            </w:pPr>
            <w:r>
              <w:rPr>
                <w:rFonts w:ascii="Calibri" w:hAnsi="Calibri"/>
                <w:b w:val="0"/>
                <w:i w:val="0"/>
                <w:color w:val="1B2330"/>
                <w:sz w:val="19"/>
              </w:rPr>
              <w:t>Tjelveit (1999) notes many different styles of ethical reasoning (e.g. casuistry, virtue ethics, feminist ethics, communitarianism, pragmatic, narrative) that a therapist may draw on.</w:t>
            </w:r>
          </w:p>
          <w:p>
            <w:pPr>
              <w:pStyle w:val="ListBullet"/>
              <w:spacing w:before="0" w:after="40"/>
            </w:pPr>
            <w:r>
              <w:rPr>
                <w:rFonts w:ascii="Calibri" w:hAnsi="Calibri"/>
                <w:b w:val="0"/>
                <w:i w:val="0"/>
                <w:color w:val="1B2330"/>
                <w:sz w:val="19"/>
              </w:rPr>
              <w:t>Classic dilemmas cluster in three domains: the goals/objectives of therapy; the boundaries between the therapist's different identities; and the social/political frameworks of practice.</w:t>
            </w:r>
          </w:p>
        </w:tc>
      </w:tr>
    </w:tbl>
    <w:p>
      <w:pPr>
        <w:spacing w:after="40"/>
      </w:pPr>
    </w:p>
    <w:p>
      <w:pPr>
        <w:spacing w:before="180" w:after="40"/>
      </w:pPr>
      <w:r>
        <w:rPr>
          <w:rFonts w:ascii="Segoe UI" w:hAnsi="Segoe UI"/>
          <w:b/>
          <w:i w:val="0"/>
          <w:color w:val="1B2330"/>
          <w:sz w:val="23"/>
        </w:rPr>
        <w:t>The four sources of the duty to safeguard confidentiality (secondary notes)</w:t>
      </w:r>
    </w:p>
    <w:p>
      <w:pPr>
        <w:pStyle w:val="ListBullet"/>
        <w:spacing w:before="0" w:after="40"/>
      </w:pPr>
      <w:r>
        <w:rPr>
          <w:rFonts w:ascii="Calibri" w:hAnsi="Calibri"/>
          <w:b w:val="0"/>
          <w:i w:val="0"/>
          <w:color w:val="1B2330"/>
          <w:sz w:val="21"/>
        </w:rPr>
        <w:t>The ethical codes of the mental health professions.</w:t>
      </w:r>
    </w:p>
    <w:p>
      <w:pPr>
        <w:pStyle w:val="ListBullet"/>
        <w:spacing w:before="0" w:after="40"/>
      </w:pPr>
      <w:r>
        <w:rPr>
          <w:rFonts w:ascii="Calibri" w:hAnsi="Calibri"/>
          <w:b w:val="0"/>
          <w:i w:val="0"/>
          <w:color w:val="1B2330"/>
          <w:sz w:val="21"/>
        </w:rPr>
        <w:t>Professional licensure regulations / confidentiality and privilege statutes.</w:t>
      </w:r>
    </w:p>
    <w:p>
      <w:pPr>
        <w:pStyle w:val="ListBullet"/>
        <w:spacing w:before="0" w:after="40"/>
      </w:pPr>
      <w:r>
        <w:rPr>
          <w:rFonts w:ascii="Calibri" w:hAnsi="Calibri"/>
          <w:b w:val="0"/>
          <w:i w:val="0"/>
          <w:color w:val="1B2330"/>
          <w:sz w:val="21"/>
        </w:rPr>
        <w:t>The common law (case law has carved out protection for psychotherapists, though less stringent than attorney-client privilege).</w:t>
      </w:r>
    </w:p>
    <w:p>
      <w:pPr>
        <w:pStyle w:val="ListBullet"/>
        <w:spacing w:before="0" w:after="40"/>
      </w:pPr>
      <w:r>
        <w:rPr>
          <w:rFonts w:ascii="Calibri" w:hAnsi="Calibri"/>
          <w:b w:val="0"/>
          <w:i w:val="0"/>
          <w:color w:val="1B2330"/>
          <w:sz w:val="21"/>
        </w:rPr>
        <w:t>Constitutional guarantees (a right of privacy is inferred rather than explicit).</w:t>
      </w:r>
    </w:p>
    <w:p>
      <w:pPr>
        <w:pStyle w:val="ListBullet"/>
        <w:spacing w:before="0" w:after="40"/>
      </w:pPr>
      <w:r>
        <w:rPr>
          <w:rFonts w:ascii="Calibri" w:hAnsi="Calibri"/>
          <w:b w:val="0"/>
          <w:i w:val="0"/>
          <w:color w:val="1B2330"/>
          <w:sz w:val="21"/>
        </w:rPr>
        <w:t>Framed here as general / secondary professional and legal background (US-oriented), not Indian statute; for India see MHCA 2017 and Puttaswamy (2017) below. Jaffe v. Redmond (1996): the US Supreme Court recognised psychotherapist-patient communications as confidential in federal trials.</w:t>
      </w:r>
    </w:p>
    <w:p>
      <w:pPr>
        <w:spacing w:before="180" w:after="40"/>
      </w:pPr>
      <w:r>
        <w:rPr>
          <w:rFonts w:ascii="Segoe UI" w:hAnsi="Segoe UI"/>
          <w:b/>
          <w:i w:val="0"/>
          <w:color w:val="1B2330"/>
          <w:sz w:val="23"/>
        </w:rPr>
        <w:t>Why informed consent matters even in a "talking" treatment (secondary notes)</w:t>
      </w:r>
    </w:p>
    <w:p>
      <w:pPr>
        <w:pStyle w:val="ListBullet"/>
        <w:spacing w:before="0" w:after="40"/>
      </w:pPr>
      <w:r>
        <w:rPr>
          <w:rFonts w:ascii="Calibri" w:hAnsi="Calibri"/>
          <w:b w:val="0"/>
          <w:i w:val="0"/>
          <w:color w:val="1B2330"/>
          <w:sz w:val="21"/>
        </w:rPr>
        <w:t>All psychotherapies have risks and benefits the client needs to understand; benefits are often emphasised while risks are under-stated.</w:t>
      </w:r>
    </w:p>
    <w:p>
      <w:pPr>
        <w:pStyle w:val="ListBullet"/>
        <w:spacing w:before="0" w:after="40"/>
      </w:pPr>
      <w:r>
        <w:rPr>
          <w:rFonts w:ascii="Calibri" w:hAnsi="Calibri"/>
          <w:b w:val="0"/>
          <w:i w:val="0"/>
          <w:color w:val="1B2330"/>
          <w:sz w:val="21"/>
        </w:rPr>
        <w:t>Possible risks to disclose include: distressing transference reactions, regressive dependency, and temporary worsening ("feeling worse before feeling better", esp. in insight work).</w:t>
      </w:r>
    </w:p>
    <w:p>
      <w:pPr>
        <w:pStyle w:val="ListBullet"/>
        <w:spacing w:before="0" w:after="40"/>
      </w:pPr>
      <w:r>
        <w:rPr>
          <w:rFonts w:ascii="Calibri" w:hAnsi="Calibri"/>
          <w:b w:val="0"/>
          <w:i w:val="0"/>
          <w:color w:val="1B2330"/>
          <w:sz w:val="21"/>
        </w:rPr>
        <w:t>Greater client participation in treatment decisions lowers the risk of harmful treatment; in some jurisdictions failure to obtain consent is treated as negligence.</w:t>
      </w:r>
    </w:p>
    <w:p>
      <w:pPr>
        <w:spacing w:before="180" w:after="40"/>
      </w:pPr>
      <w:r>
        <w:rPr>
          <w:rFonts w:ascii="Segoe UI" w:hAnsi="Segoe UI"/>
          <w:b/>
          <w:i w:val="0"/>
          <w:color w:val="1B2330"/>
          <w:sz w:val="23"/>
        </w:rPr>
        <w:t>Boundary crossings vs boundary violations (secondary notes)</w:t>
      </w:r>
    </w:p>
    <w:p>
      <w:pPr>
        <w:pStyle w:val="ListBullet"/>
        <w:spacing w:before="0" w:after="40"/>
      </w:pPr>
      <w:r>
        <w:rPr>
          <w:rFonts w:ascii="Calibri" w:hAnsi="Calibri"/>
          <w:b w:val="0"/>
          <w:i w:val="0"/>
          <w:color w:val="1B2330"/>
          <w:sz w:val="21"/>
        </w:rPr>
        <w:t>Crossings (may be unintended, by either party):</w:t>
      </w:r>
    </w:p>
    <w:p>
      <w:pPr>
        <w:pStyle w:val="ListBullet2"/>
        <w:spacing w:before="0" w:after="20"/>
      </w:pPr>
      <w:r>
        <w:rPr>
          <w:rFonts w:ascii="Calibri" w:hAnsi="Calibri"/>
          <w:b w:val="0"/>
          <w:i w:val="0"/>
          <w:color w:val="1B2330"/>
          <w:sz w:val="20"/>
        </w:rPr>
        <w:t>lateness/earliness, altered or cancelled sessions without notice;</w:t>
      </w:r>
    </w:p>
    <w:p>
      <w:pPr>
        <w:pStyle w:val="ListBullet2"/>
        <w:spacing w:before="0" w:after="20"/>
      </w:pPr>
      <w:r>
        <w:rPr>
          <w:rFonts w:ascii="Calibri" w:hAnsi="Calibri"/>
          <w:b w:val="0"/>
          <w:i w:val="0"/>
          <w:color w:val="1B2330"/>
          <w:sz w:val="20"/>
        </w:rPr>
        <w:t>self-disclosure (verbal or non-verbal);</w:t>
      </w:r>
    </w:p>
    <w:p>
      <w:pPr>
        <w:pStyle w:val="ListBullet2"/>
        <w:spacing w:before="0" w:after="20"/>
      </w:pPr>
      <w:r>
        <w:rPr>
          <w:rFonts w:ascii="Calibri" w:hAnsi="Calibri"/>
          <w:b w:val="0"/>
          <w:i w:val="0"/>
          <w:color w:val="1B2330"/>
          <w:sz w:val="20"/>
        </w:rPr>
        <w:t>discussing patient material with others (even with consent);</w:t>
      </w:r>
    </w:p>
    <w:p>
      <w:pPr>
        <w:pStyle w:val="ListBullet2"/>
        <w:spacing w:before="0" w:after="20"/>
      </w:pPr>
      <w:r>
        <w:rPr>
          <w:rFonts w:ascii="Calibri" w:hAnsi="Calibri"/>
          <w:b w:val="0"/>
          <w:i w:val="0"/>
          <w:color w:val="1B2330"/>
          <w:sz w:val="20"/>
        </w:rPr>
        <w:t>jokes or arguments; accidental contact outside sessions; any physical contact.</w:t>
      </w:r>
    </w:p>
    <w:p>
      <w:pPr>
        <w:pStyle w:val="ListBullet"/>
        <w:spacing w:before="0" w:after="40"/>
      </w:pPr>
      <w:r>
        <w:rPr>
          <w:rFonts w:ascii="Calibri" w:hAnsi="Calibri"/>
          <w:b w:val="0"/>
          <w:i w:val="0"/>
          <w:color w:val="1B2330"/>
          <w:sz w:val="21"/>
        </w:rPr>
        <w:t>Violations: intended and initiated by the therapist; serious, exploitative, and unethical (e.g. sexual contact).</w:t>
      </w:r>
    </w:p>
    <w:p>
      <w:pPr>
        <w:pStyle w:val="ListBullet"/>
        <w:spacing w:before="0" w:after="40"/>
      </w:pPr>
      <w:r>
        <w:rPr>
          <w:rFonts w:ascii="Calibri" w:hAnsi="Calibri"/>
          <w:b w:val="0"/>
          <w:i w:val="0"/>
          <w:color w:val="1B2330"/>
          <w:sz w:val="21"/>
        </w:rPr>
        <w:t>The prohibition on sexual contact traces back to the Hippocratic Oath: the professional working with a patient cannot also be that patient's lover.</w:t>
      </w:r>
    </w:p>
    <w:p>
      <w:pPr>
        <w:spacing w:before="180" w:after="40"/>
      </w:pPr>
      <w:r>
        <w:rPr>
          <w:rFonts w:ascii="Segoe UI" w:hAnsi="Segoe UI"/>
          <w:b/>
          <w:i w:val="0"/>
          <w:color w:val="1B2330"/>
          <w:sz w:val="23"/>
        </w:rPr>
        <w:t>Limits of confidentiality</w:t>
      </w:r>
    </w:p>
    <w:p>
      <w:pPr>
        <w:pStyle w:val="ListBullet"/>
        <w:spacing w:before="0" w:after="40"/>
      </w:pPr>
      <w:r>
        <w:rPr>
          <w:rFonts w:ascii="Calibri" w:hAnsi="Calibri"/>
          <w:b w:val="0"/>
          <w:i w:val="0"/>
          <w:color w:val="1B2330"/>
          <w:sz w:val="21"/>
        </w:rPr>
        <w:t>Tarasoff v. Regents of the University of California (1976) established a duty to warn and protect identifiable third parties from serious threats of violence by a client.</w:t>
      </w:r>
    </w:p>
    <w:p>
      <w:pPr>
        <w:pStyle w:val="ListBullet"/>
        <w:spacing w:before="0" w:after="40"/>
      </w:pPr>
      <w:r>
        <w:rPr>
          <w:rFonts w:ascii="Calibri" w:hAnsi="Calibri"/>
          <w:b w:val="0"/>
          <w:i w:val="0"/>
          <w:color w:val="1B2330"/>
          <w:sz w:val="21"/>
        </w:rPr>
        <w:t>In India:</w:t>
      </w:r>
    </w:p>
    <w:p>
      <w:pPr>
        <w:pStyle w:val="ListBullet2"/>
        <w:spacing w:before="0" w:after="20"/>
      </w:pPr>
      <w:r>
        <w:rPr>
          <w:rFonts w:ascii="Calibri" w:hAnsi="Calibri"/>
          <w:b w:val="0"/>
          <w:i w:val="0"/>
          <w:color w:val="1B2330"/>
          <w:sz w:val="20"/>
        </w:rPr>
        <w:t>MHCA 2017 protects confidentiality of information about mental illness and treatment (disclosure allowed with consent, for the treatment, for safety, or by court order).</w:t>
      </w:r>
    </w:p>
    <w:p>
      <w:pPr>
        <w:pStyle w:val="ListBullet2"/>
        <w:spacing w:before="0" w:after="20"/>
      </w:pPr>
      <w:r>
        <w:rPr>
          <w:rFonts w:ascii="Calibri" w:hAnsi="Calibri"/>
          <w:b w:val="0"/>
          <w:i w:val="0"/>
          <w:color w:val="1B2330"/>
          <w:sz w:val="20"/>
        </w:rPr>
        <w:t>POCSO Act, 2012 makes reporting of known or suspected child sexual abuse mandatory.</w:t>
      </w:r>
    </w:p>
    <w:p>
      <w:pPr>
        <w:pStyle w:val="ListBullet2"/>
        <w:spacing w:before="0" w:after="20"/>
      </w:pPr>
      <w:r>
        <w:rPr>
          <w:rFonts w:ascii="Calibri" w:hAnsi="Calibri"/>
          <w:b w:val="0"/>
          <w:i w:val="0"/>
          <w:color w:val="1B2330"/>
          <w:sz w:val="20"/>
        </w:rPr>
        <w:t>Right to Privacy recognised as a fundamental right by the Supreme Court in Puttaswamy (2017).</w:t>
      </w:r>
    </w:p>
    <w:p>
      <w:pPr>
        <w:spacing w:before="180" w:after="40"/>
      </w:pPr>
      <w:r>
        <w:rPr>
          <w:rFonts w:ascii="Segoe UI" w:hAnsi="Segoe UI"/>
          <w:b/>
          <w:i w:val="0"/>
          <w:color w:val="1B2330"/>
          <w:sz w:val="23"/>
        </w:rPr>
        <w:t>Legal issues in therapy work (India)</w:t>
      </w:r>
    </w:p>
    <w:p>
      <w:pPr>
        <w:pStyle w:val="ListBullet"/>
        <w:spacing w:before="0" w:after="40"/>
      </w:pPr>
      <w:r>
        <w:rPr>
          <w:rFonts w:ascii="Calibri" w:hAnsi="Calibri"/>
          <w:b w:val="0"/>
          <w:i w:val="0"/>
          <w:color w:val="1B2330"/>
          <w:sz w:val="21"/>
        </w:rPr>
        <w:t>RCI Act, 1992: regulates training, registration and conduct; practising without registration is an offence.</w:t>
      </w:r>
    </w:p>
    <w:p>
      <w:pPr>
        <w:pStyle w:val="ListBullet"/>
        <w:spacing w:before="0" w:after="40"/>
      </w:pPr>
      <w:r>
        <w:rPr>
          <w:rFonts w:ascii="Calibri" w:hAnsi="Calibri"/>
          <w:b w:val="0"/>
          <w:i w:val="0"/>
          <w:color w:val="1B2330"/>
          <w:sz w:val="21"/>
        </w:rPr>
        <w:t>Mental Healthcare Act, 2017 (rights-based law):</w:t>
      </w:r>
    </w:p>
    <w:p>
      <w:pPr>
        <w:pStyle w:val="ListBullet2"/>
        <w:spacing w:before="0" w:after="20"/>
      </w:pPr>
      <w:r>
        <w:rPr>
          <w:rFonts w:ascii="Calibri" w:hAnsi="Calibri"/>
          <w:b w:val="0"/>
          <w:i w:val="0"/>
          <w:color w:val="1B2330"/>
          <w:sz w:val="20"/>
        </w:rPr>
        <w:t>Rights of persons with mental illness: access to mental healthcare; community living; protection from cruel, inhuman or degrading treatment; equality and non-discrimination; information; confidentiality; access to medical records; personal contacts and communication; legal aid; and complaints about services.</w:t>
      </w:r>
    </w:p>
    <w:p>
      <w:pPr>
        <w:pStyle w:val="ListBullet2"/>
        <w:spacing w:before="0" w:after="20"/>
      </w:pPr>
      <w:r>
        <w:rPr>
          <w:rFonts w:ascii="Calibri" w:hAnsi="Calibri"/>
          <w:b w:val="0"/>
          <w:i w:val="0"/>
          <w:color w:val="1B2330"/>
          <w:sz w:val="20"/>
        </w:rPr>
        <w:t>Advance directive and nominated representative.</w:t>
      </w:r>
    </w:p>
    <w:p>
      <w:pPr>
        <w:pStyle w:val="ListBullet2"/>
        <w:spacing w:before="0" w:after="20"/>
      </w:pPr>
      <w:r>
        <w:rPr>
          <w:rFonts w:ascii="Calibri" w:hAnsi="Calibri"/>
          <w:b w:val="0"/>
          <w:i w:val="0"/>
          <w:color w:val="1B2330"/>
          <w:sz w:val="20"/>
        </w:rPr>
        <w:t>Capacity to make treatment decisions is presumed unless shown otherwise.</w:t>
      </w:r>
    </w:p>
    <w:p>
      <w:pPr>
        <w:pStyle w:val="ListBullet2"/>
        <w:spacing w:before="0" w:after="20"/>
      </w:pPr>
      <w:r>
        <w:rPr>
          <w:rFonts w:ascii="Calibri" w:hAnsi="Calibri"/>
          <w:b w:val="0"/>
          <w:i w:val="0"/>
          <w:color w:val="1B2330"/>
          <w:sz w:val="20"/>
        </w:rPr>
        <w:t>Suicide attempt presumed under severe stress and not punishable (Section 115); the government must provide care and rehabilitation.</w:t>
      </w:r>
    </w:p>
    <w:p>
      <w:pPr>
        <w:pStyle w:val="ListBullet2"/>
        <w:spacing w:before="0" w:after="20"/>
      </w:pPr>
      <w:r>
        <w:rPr>
          <w:rFonts w:ascii="Calibri" w:hAnsi="Calibri"/>
          <w:b w:val="0"/>
          <w:i w:val="0"/>
          <w:color w:val="1B2330"/>
          <w:sz w:val="20"/>
        </w:rPr>
        <w:t>Restrictions on ECT (none without anaesthesia and muscle relaxant; not for minors); prohibition of sterilisation as treatment; limited use of restraints.</w:t>
      </w:r>
    </w:p>
    <w:p>
      <w:pPr>
        <w:pStyle w:val="ListBullet"/>
        <w:spacing w:before="0" w:after="40"/>
      </w:pPr>
      <w:r>
        <w:rPr>
          <w:rFonts w:ascii="Calibri" w:hAnsi="Calibri"/>
          <w:b w:val="0"/>
          <w:i w:val="0"/>
          <w:color w:val="1B2330"/>
          <w:sz w:val="21"/>
        </w:rPr>
        <w:t>Rights of Persons with Disabilities Act, 2016 (includes mental illness and intellectual disability).</w:t>
      </w:r>
    </w:p>
    <w:p>
      <w:pPr>
        <w:pStyle w:val="ListBullet"/>
        <w:spacing w:before="0" w:after="40"/>
      </w:pPr>
      <w:r>
        <w:rPr>
          <w:rFonts w:ascii="Calibri" w:hAnsi="Calibri"/>
          <w:b w:val="0"/>
          <w:i w:val="0"/>
          <w:color w:val="1B2330"/>
          <w:sz w:val="21"/>
        </w:rPr>
        <w:t>POCSO Act, 2012 (mandatory reporting) and the Juvenile Justice Act (care of children).</w:t>
      </w:r>
    </w:p>
    <w:p>
      <w:pPr>
        <w:pStyle w:val="ListBullet"/>
        <w:spacing w:before="0" w:after="40"/>
      </w:pPr>
      <w:r>
        <w:rPr>
          <w:rFonts w:ascii="Calibri" w:hAnsi="Calibri"/>
          <w:b w:val="0"/>
          <w:i w:val="0"/>
          <w:color w:val="1B2330"/>
          <w:sz w:val="21"/>
        </w:rPr>
        <w:t>Consumer Protection Act and civil/criminal law on negligence (professional malpractice); courts may seek records or testimony.</w:t>
      </w:r>
    </w:p>
    <w:p>
      <w:pPr>
        <w:pStyle w:val="ListBullet"/>
        <w:spacing w:before="0" w:after="40"/>
      </w:pPr>
      <w:r>
        <w:rPr>
          <w:rFonts w:ascii="Calibri" w:hAnsi="Calibri"/>
          <w:b w:val="0"/>
          <w:i w:val="0"/>
          <w:color w:val="1B2330"/>
          <w:sz w:val="21"/>
        </w:rPr>
        <w:t>Tele-mental health: Telemedicine Practice Guidelines (2020) and tele-psychiatry guidance apply.</w:t>
      </w:r>
    </w:p>
    <w:p>
      <w:pPr>
        <w:pStyle w:val="ListBullet"/>
        <w:spacing w:before="0" w:after="40"/>
      </w:pPr>
      <w:r>
        <w:rPr>
          <w:rFonts w:ascii="Calibri" w:hAnsi="Calibri"/>
          <w:b w:val="0"/>
          <w:i w:val="0"/>
          <w:color w:val="1B2330"/>
          <w:sz w:val="21"/>
        </w:rPr>
        <w:t>Legal vs ethical: law sets the minimum enforceable standard; ethics sets the higher aspirational standard.</w:t>
      </w:r>
    </w:p>
    <w:p>
      <w:pPr>
        <w:spacing w:before="160" w:after="40"/>
      </w:pPr>
      <w:r>
        <w:rPr>
          <w:rFonts w:ascii="Segoe UI" w:hAnsi="Segoe UI"/>
          <w:b/>
          <w:i w:val="0"/>
          <w:color w:val="2B4C7E"/>
          <w:sz w:val="21"/>
        </w:rPr>
        <w:t>Flow chart: Confidentiality decision flow</w:t>
      </w:r>
    </w:p>
    <w:tbl>
      <w:tblPr>
        <w:tblW w:type="auto" w:w="0"/>
        <w:jc w:val="center"/>
        <w:tblLook w:firstColumn="1" w:firstRow="1" w:lastColumn="0" w:lastRow="0" w:noHBand="0" w:noVBand="1" w:val="04A0"/>
      </w:tblPr>
      <w:tblGrid>
        <w:gridCol w:w="9638"/>
      </w:tblGrid>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Client discloses information</w:t>
            </w:r>
          </w:p>
        </w:tc>
      </w:tr>
      <w:tr>
        <w:tc>
          <w:tcPr>
            <w:tcW w:type="dxa" w:w="8504"/>
          </w:tcPr>
          <w:p>
            <w:pPr>
              <w:spacing w:before="20" w:after="20"/>
              <w:jc w:val="center"/>
            </w:pPr>
            <w:r>
              <w:rPr>
                <w:rFonts w:ascii="Segoe UI" w:hAnsi="Segoe UI"/>
                <w:b/>
                <w:i w:val="0"/>
                <w:color w:val="2B4C7E"/>
                <w:sz w:val="26"/>
              </w:rPr>
              <w:t>↓</w:t>
            </w:r>
          </w:p>
        </w:tc>
      </w:tr>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Default: keep confidential</w:t>
            </w:r>
          </w:p>
        </w:tc>
      </w:tr>
      <w:tr>
        <w:tc>
          <w:tcPr>
            <w:tcW w:type="dxa" w:w="8504"/>
          </w:tcPr>
          <w:p>
            <w:pPr>
              <w:spacing w:before="20" w:after="20"/>
              <w:jc w:val="center"/>
            </w:pPr>
            <w:r>
              <w:rPr>
                <w:rFonts w:ascii="Segoe UI" w:hAnsi="Segoe UI"/>
                <w:b/>
                <w:i w:val="0"/>
                <w:color w:val="2B4C7E"/>
                <w:sz w:val="26"/>
              </w:rPr>
              <w:t>↓</w:t>
            </w:r>
          </w:p>
        </w:tc>
      </w:tr>
    </w:tbl>
    <w:p>
      <w:pPr>
        <w:spacing w:before="20" w:after="0"/>
        <w:jc w:val="center"/>
      </w:pPr>
      <w:r>
        <w:rPr>
          <w:rFonts w:ascii="Segoe UI" w:hAnsi="Segoe UI"/>
          <w:b w:val="0"/>
          <w:i/>
          <w:color w:val="4A5568"/>
          <w:sz w:val="17"/>
        </w:rPr>
        <w:t>Client gives valid consent to share</w:t>
      </w:r>
    </w:p>
    <w:p>
      <w:pPr>
        <w:spacing w:before="0" w:after="0"/>
        <w:jc w:val="center"/>
      </w:pPr>
      <w:r>
        <w:rPr>
          <w:rFonts w:ascii="Segoe UI" w:hAnsi="Segoe UI"/>
          <w:b/>
          <w:i w:val="0"/>
          <w:color w:val="2B4C7E"/>
          <w:sz w:val="22"/>
        </w:rPr>
        <w:t>↓</w:t>
      </w:r>
    </w:p>
    <w:tbl>
      <w:tblPr>
        <w:tblW w:type="auto" w:w="0"/>
        <w:jc w:val="center"/>
        <w:tblLook w:firstColumn="1" w:firstRow="1" w:lastColumn="0" w:lastRow="0" w:noHBand="0" w:noVBand="1" w:val="04A0"/>
      </w:tblPr>
      <w:tblGrid>
        <w:gridCol w:w="9638"/>
      </w:tblGrid>
      <w:tr>
        <w:tc>
          <w:tcPr>
            <w:tcW w:type="dxa" w:w="8504"/>
            <w:tcBorders>
              <w:top w:val="single" w:sz="8" w:space="0" w:color="2B4C7E"/>
              <w:left w:val="single" w:sz="8" w:space="0" w:color="2B4C7E"/>
              <w:bottom w:val="single" w:sz="8" w:space="0" w:color="2B4C7E"/>
              <w:right w:val="single" w:sz="8" w:space="0" w:color="2B4C7E"/>
            </w:tcBorders>
            <w:shd w:val="clear" w:color="auto" w:fill="E8EEF7"/>
          </w:tcPr>
          <w:p>
            <w:pPr>
              <w:spacing w:before="20" w:after="20"/>
              <w:jc w:val="center"/>
            </w:pPr>
            <w:r>
              <w:rPr>
                <w:rFonts w:ascii="Segoe UI" w:hAnsi="Segoe UI"/>
                <w:b w:val="0"/>
                <w:i w:val="0"/>
                <w:color w:val="1B2330"/>
                <w:sz w:val="19"/>
              </w:rPr>
              <w:t>Disclose only what is agreed</w:t>
            </w:r>
          </w:p>
        </w:tc>
      </w:tr>
    </w:tbl>
    <w:p>
      <w:pPr>
        <w:spacing w:before="20" w:after="0"/>
        <w:jc w:val="center"/>
      </w:pPr>
      <w:r>
        <w:rPr>
          <w:rFonts w:ascii="Segoe UI" w:hAnsi="Segoe UI"/>
          <w:b w:val="0"/>
          <w:i/>
          <w:color w:val="4A5568"/>
          <w:sz w:val="17"/>
        </w:rPr>
        <w:t>Serious, identifiable threat to a third party (Tarasoff)</w:t>
      </w:r>
    </w:p>
    <w:p>
      <w:pPr>
        <w:spacing w:before="0" w:after="0"/>
        <w:jc w:val="center"/>
      </w:pPr>
      <w:r>
        <w:rPr>
          <w:rFonts w:ascii="Segoe UI" w:hAnsi="Segoe UI"/>
          <w:b/>
          <w:i w:val="0"/>
          <w:color w:val="2B4C7E"/>
          <w:sz w:val="22"/>
        </w:rPr>
        <w:t>↓</w:t>
      </w:r>
    </w:p>
    <w:tbl>
      <w:tblPr>
        <w:tblW w:type="auto" w:w="0"/>
        <w:jc w:val="center"/>
        <w:tblLook w:firstColumn="1" w:firstRow="1" w:lastColumn="0" w:lastRow="0" w:noHBand="0" w:noVBand="1" w:val="04A0"/>
      </w:tblPr>
      <w:tblGrid>
        <w:gridCol w:w="9638"/>
      </w:tblGrid>
      <w:tr>
        <w:tc>
          <w:tcPr>
            <w:tcW w:type="dxa" w:w="8504"/>
            <w:tcBorders>
              <w:top w:val="single" w:sz="8" w:space="0" w:color="2B4C7E"/>
              <w:left w:val="single" w:sz="8" w:space="0" w:color="2B4C7E"/>
              <w:bottom w:val="single" w:sz="8" w:space="0" w:color="2B4C7E"/>
              <w:right w:val="single" w:sz="8" w:space="0" w:color="2B4C7E"/>
            </w:tcBorders>
            <w:shd w:val="clear" w:color="auto" w:fill="E8EEF7"/>
          </w:tcPr>
          <w:p>
            <w:pPr>
              <w:spacing w:before="20" w:after="20"/>
              <w:jc w:val="center"/>
            </w:pPr>
            <w:r>
              <w:rPr>
                <w:rFonts w:ascii="Segoe UI" w:hAnsi="Segoe UI"/>
                <w:b w:val="0"/>
                <w:i w:val="0"/>
                <w:color w:val="1B2330"/>
                <w:sz w:val="19"/>
              </w:rPr>
              <w:t>Duty to warn / protect</w:t>
            </w:r>
          </w:p>
        </w:tc>
      </w:tr>
    </w:tbl>
    <w:p>
      <w:pPr>
        <w:spacing w:before="20" w:after="0"/>
        <w:jc w:val="center"/>
      </w:pPr>
      <w:r>
        <w:rPr>
          <w:rFonts w:ascii="Segoe UI" w:hAnsi="Segoe UI"/>
          <w:b w:val="0"/>
          <w:i/>
          <w:color w:val="4A5568"/>
          <w:sz w:val="17"/>
        </w:rPr>
        <w:t>Risk to self / safety</w:t>
      </w:r>
    </w:p>
    <w:p>
      <w:pPr>
        <w:spacing w:before="0" w:after="0"/>
        <w:jc w:val="center"/>
      </w:pPr>
      <w:r>
        <w:rPr>
          <w:rFonts w:ascii="Segoe UI" w:hAnsi="Segoe UI"/>
          <w:b/>
          <w:i w:val="0"/>
          <w:color w:val="2B4C7E"/>
          <w:sz w:val="22"/>
        </w:rPr>
        <w:t>↓</w:t>
      </w:r>
    </w:p>
    <w:tbl>
      <w:tblPr>
        <w:tblW w:type="auto" w:w="0"/>
        <w:jc w:val="center"/>
        <w:tblLook w:firstColumn="1" w:firstRow="1" w:lastColumn="0" w:lastRow="0" w:noHBand="0" w:noVBand="1" w:val="04A0"/>
      </w:tblPr>
      <w:tblGrid>
        <w:gridCol w:w="9638"/>
      </w:tblGrid>
      <w:tr>
        <w:tc>
          <w:tcPr>
            <w:tcW w:type="dxa" w:w="8504"/>
            <w:tcBorders>
              <w:top w:val="single" w:sz="8" w:space="0" w:color="2B4C7E"/>
              <w:left w:val="single" w:sz="8" w:space="0" w:color="2B4C7E"/>
              <w:bottom w:val="single" w:sz="8" w:space="0" w:color="2B4C7E"/>
              <w:right w:val="single" w:sz="8" w:space="0" w:color="2B4C7E"/>
            </w:tcBorders>
            <w:shd w:val="clear" w:color="auto" w:fill="E8EEF7"/>
          </w:tcPr>
          <w:p>
            <w:pPr>
              <w:spacing w:before="20" w:after="20"/>
              <w:jc w:val="center"/>
            </w:pPr>
            <w:r>
              <w:rPr>
                <w:rFonts w:ascii="Segoe UI" w:hAnsi="Segoe UI"/>
                <w:b w:val="0"/>
                <w:i w:val="0"/>
                <w:color w:val="1B2330"/>
                <w:sz w:val="19"/>
              </w:rPr>
              <w:t>Act to protect; least disclosure needed</w:t>
            </w:r>
          </w:p>
        </w:tc>
      </w:tr>
    </w:tbl>
    <w:p>
      <w:pPr>
        <w:spacing w:before="20" w:after="0"/>
        <w:jc w:val="center"/>
      </w:pPr>
      <w:r>
        <w:rPr>
          <w:rFonts w:ascii="Segoe UI" w:hAnsi="Segoe UI"/>
          <w:b w:val="0"/>
          <w:i/>
          <w:color w:val="4A5568"/>
          <w:sz w:val="17"/>
        </w:rPr>
        <w:t>Child abuse known/suspected (POCSO)</w:t>
      </w:r>
    </w:p>
    <w:p>
      <w:pPr>
        <w:spacing w:before="0" w:after="0"/>
        <w:jc w:val="center"/>
      </w:pPr>
      <w:r>
        <w:rPr>
          <w:rFonts w:ascii="Segoe UI" w:hAnsi="Segoe UI"/>
          <w:b/>
          <w:i w:val="0"/>
          <w:color w:val="2B4C7E"/>
          <w:sz w:val="22"/>
        </w:rPr>
        <w:t>↓</w:t>
      </w:r>
    </w:p>
    <w:tbl>
      <w:tblPr>
        <w:tblW w:type="auto" w:w="0"/>
        <w:jc w:val="center"/>
        <w:tblLook w:firstColumn="1" w:firstRow="1" w:lastColumn="0" w:lastRow="0" w:noHBand="0" w:noVBand="1" w:val="04A0"/>
      </w:tblPr>
      <w:tblGrid>
        <w:gridCol w:w="9638"/>
      </w:tblGrid>
      <w:tr>
        <w:tc>
          <w:tcPr>
            <w:tcW w:type="dxa" w:w="8504"/>
            <w:tcBorders>
              <w:top w:val="single" w:sz="8" w:space="0" w:color="2B4C7E"/>
              <w:left w:val="single" w:sz="8" w:space="0" w:color="2B4C7E"/>
              <w:bottom w:val="single" w:sz="8" w:space="0" w:color="2B4C7E"/>
              <w:right w:val="single" w:sz="8" w:space="0" w:color="2B4C7E"/>
            </w:tcBorders>
            <w:shd w:val="clear" w:color="auto" w:fill="E8EEF7"/>
          </w:tcPr>
          <w:p>
            <w:pPr>
              <w:spacing w:before="20" w:after="20"/>
              <w:jc w:val="center"/>
            </w:pPr>
            <w:r>
              <w:rPr>
                <w:rFonts w:ascii="Segoe UI" w:hAnsi="Segoe UI"/>
                <w:b w:val="0"/>
                <w:i w:val="0"/>
                <w:color w:val="1B2330"/>
                <w:sz w:val="19"/>
              </w:rPr>
              <w:t>Mandatory report</w:t>
            </w:r>
          </w:p>
        </w:tc>
      </w:tr>
    </w:tbl>
    <w:p>
      <w:pPr>
        <w:spacing w:before="20" w:after="0"/>
        <w:jc w:val="center"/>
      </w:pPr>
      <w:r>
        <w:rPr>
          <w:rFonts w:ascii="Segoe UI" w:hAnsi="Segoe UI"/>
          <w:b w:val="0"/>
          <w:i/>
          <w:color w:val="4A5568"/>
          <w:sz w:val="17"/>
        </w:rPr>
        <w:t>Court order</w:t>
      </w:r>
    </w:p>
    <w:p>
      <w:pPr>
        <w:spacing w:before="0" w:after="0"/>
        <w:jc w:val="center"/>
      </w:pPr>
      <w:r>
        <w:rPr>
          <w:rFonts w:ascii="Segoe UI" w:hAnsi="Segoe UI"/>
          <w:b/>
          <w:i w:val="0"/>
          <w:color w:val="2B4C7E"/>
          <w:sz w:val="22"/>
        </w:rPr>
        <w:t>↓</w:t>
      </w:r>
    </w:p>
    <w:tbl>
      <w:tblPr>
        <w:tblW w:type="auto" w:w="0"/>
        <w:jc w:val="center"/>
        <w:tblLook w:firstColumn="1" w:firstRow="1" w:lastColumn="0" w:lastRow="0" w:noHBand="0" w:noVBand="1" w:val="04A0"/>
      </w:tblPr>
      <w:tblGrid>
        <w:gridCol w:w="9638"/>
      </w:tblGrid>
      <w:tr>
        <w:tc>
          <w:tcPr>
            <w:tcW w:type="dxa" w:w="8504"/>
            <w:tcBorders>
              <w:top w:val="single" w:sz="8" w:space="0" w:color="2B4C7E"/>
              <w:left w:val="single" w:sz="8" w:space="0" w:color="2B4C7E"/>
              <w:bottom w:val="single" w:sz="8" w:space="0" w:color="2B4C7E"/>
              <w:right w:val="single" w:sz="8" w:space="0" w:color="2B4C7E"/>
            </w:tcBorders>
            <w:shd w:val="clear" w:color="auto" w:fill="E8EEF7"/>
          </w:tcPr>
          <w:p>
            <w:pPr>
              <w:spacing w:before="20" w:after="20"/>
              <w:jc w:val="center"/>
            </w:pPr>
            <w:r>
              <w:rPr>
                <w:rFonts w:ascii="Segoe UI" w:hAnsi="Segoe UI"/>
                <w:b w:val="0"/>
                <w:i w:val="0"/>
                <w:color w:val="1B2330"/>
                <w:sz w:val="19"/>
              </w:rPr>
              <w:t>Disclose as legally required</w:t>
            </w:r>
          </w:p>
        </w:tc>
      </w:tr>
    </w:tbl>
    <w:p>
      <w:pPr>
        <w:spacing w:after="40"/>
      </w:pPr>
    </w:p>
    <w:tbl>
      <w:tblPr>
        <w:tblW w:type="auto" w:w="0"/>
        <w:jc w:val="center"/>
        <w:tblLook w:firstColumn="1" w:firstRow="1" w:lastColumn="0" w:lastRow="0" w:noHBand="0" w:noVBand="1" w:val="04A0"/>
      </w:tblPr>
      <w:tblGrid>
        <w:gridCol w:w="9638"/>
      </w:tblGrid>
      <w:tr>
        <w:tc>
          <w:tcPr>
            <w:tcW w:type="dxa" w:w="9411"/>
            <w:tcBorders>
              <w:top w:val="single" w:sz="8" w:space="0" w:color="C98A1B"/>
              <w:left w:val="single" w:sz="8" w:space="0" w:color="C98A1B"/>
              <w:bottom w:val="single" w:sz="8" w:space="0" w:color="C98A1B"/>
              <w:right w:val="single" w:sz="8" w:space="0" w:color="C98A1B"/>
            </w:tcBorders>
            <w:shd w:val="clear" w:color="auto" w:fill="FFF6E6"/>
          </w:tcPr>
          <w:p>
            <w:pPr>
              <w:spacing w:before="40" w:after="60"/>
            </w:pPr>
            <w:r>
              <w:rPr>
                <w:rFonts w:ascii="Segoe UI" w:hAnsi="Segoe UI"/>
                <w:b/>
                <w:i w:val="0"/>
                <w:color w:val="8A5A00"/>
                <w:sz w:val="21"/>
              </w:rPr>
              <w:t xml:space="preserve">Mnemonic: </w:t>
            </w:r>
            <w:r>
              <w:rPr>
                <w:rFonts w:ascii="Segoe UI" w:hAnsi="Segoe UI"/>
                <w:b/>
                <w:i w:val="0"/>
                <w:color w:val="C98A1B"/>
                <w:sz w:val="26"/>
              </w:rPr>
              <w:t>FIRBJ</w:t>
            </w:r>
            <w:r>
              <w:rPr>
                <w:rFonts w:ascii="Segoe UI" w:hAnsi="Segoe UI"/>
                <w:b/>
                <w:i w:val="0"/>
                <w:color w:val="8A5A00"/>
                <w:sz w:val="21"/>
              </w:rPr>
              <w:t xml:space="preserve">  —  the APA ethical principles</w:t>
            </w:r>
          </w:p>
          <w:p>
            <w:pPr>
              <w:spacing w:before="0" w:after="20"/>
            </w:pPr>
            <w:r>
              <w:rPr>
                <w:rFonts w:ascii="Segoe UI" w:hAnsi="Segoe UI"/>
                <w:b/>
                <w:i w:val="0"/>
                <w:color w:val="C98A1B"/>
                <w:sz w:val="22"/>
              </w:rPr>
              <w:t xml:space="preserve">F  </w:t>
            </w:r>
            <w:r>
              <w:rPr>
                <w:rFonts w:ascii="Segoe UI" w:hAnsi="Segoe UI"/>
                <w:b/>
                <w:i w:val="0"/>
                <w:color w:val="1B2330"/>
                <w:sz w:val="19"/>
              </w:rPr>
              <w:t xml:space="preserve">Fidelity — </w:t>
            </w:r>
            <w:r>
              <w:rPr>
                <w:rFonts w:ascii="Segoe UI" w:hAnsi="Segoe UI"/>
                <w:b w:val="0"/>
                <w:i w:val="0"/>
                <w:color w:val="4A5568"/>
                <w:sz w:val="19"/>
              </w:rPr>
              <w:t>fidelity and responsibility</w:t>
            </w:r>
          </w:p>
          <w:p>
            <w:pPr>
              <w:spacing w:before="0" w:after="20"/>
            </w:pPr>
            <w:r>
              <w:rPr>
                <w:rFonts w:ascii="Segoe UI" w:hAnsi="Segoe UI"/>
                <w:b/>
                <w:i w:val="0"/>
                <w:color w:val="C98A1B"/>
                <w:sz w:val="22"/>
              </w:rPr>
              <w:t xml:space="preserve">I  </w:t>
            </w:r>
            <w:r>
              <w:rPr>
                <w:rFonts w:ascii="Segoe UI" w:hAnsi="Segoe UI"/>
                <w:b/>
                <w:i w:val="0"/>
                <w:color w:val="1B2330"/>
                <w:sz w:val="19"/>
              </w:rPr>
              <w:t xml:space="preserve">Integrity — </w:t>
            </w:r>
            <w:r>
              <w:rPr>
                <w:rFonts w:ascii="Segoe UI" w:hAnsi="Segoe UI"/>
                <w:b w:val="0"/>
                <w:i w:val="0"/>
                <w:color w:val="4A5568"/>
                <w:sz w:val="19"/>
              </w:rPr>
              <w:t>honesty, accuracy, no deception</w:t>
            </w:r>
          </w:p>
          <w:p>
            <w:pPr>
              <w:spacing w:before="0" w:after="20"/>
            </w:pPr>
            <w:r>
              <w:rPr>
                <w:rFonts w:ascii="Segoe UI" w:hAnsi="Segoe UI"/>
                <w:b/>
                <w:i w:val="0"/>
                <w:color w:val="C98A1B"/>
                <w:sz w:val="22"/>
              </w:rPr>
              <w:t xml:space="preserve">R  </w:t>
            </w:r>
            <w:r>
              <w:rPr>
                <w:rFonts w:ascii="Segoe UI" w:hAnsi="Segoe UI"/>
                <w:b/>
                <w:i w:val="0"/>
                <w:color w:val="1B2330"/>
                <w:sz w:val="19"/>
              </w:rPr>
              <w:t xml:space="preserve">Respect — </w:t>
            </w:r>
            <w:r>
              <w:rPr>
                <w:rFonts w:ascii="Segoe UI" w:hAnsi="Segoe UI"/>
                <w:b w:val="0"/>
                <w:i w:val="0"/>
                <w:color w:val="4A5568"/>
                <w:sz w:val="19"/>
              </w:rPr>
              <w:t>respect for rights and dignity</w:t>
            </w:r>
          </w:p>
          <w:p>
            <w:pPr>
              <w:spacing w:before="0" w:after="20"/>
            </w:pPr>
            <w:r>
              <w:rPr>
                <w:rFonts w:ascii="Segoe UI" w:hAnsi="Segoe UI"/>
                <w:b/>
                <w:i w:val="0"/>
                <w:color w:val="C98A1B"/>
                <w:sz w:val="22"/>
              </w:rPr>
              <w:t xml:space="preserve">B  </w:t>
            </w:r>
            <w:r>
              <w:rPr>
                <w:rFonts w:ascii="Segoe UI" w:hAnsi="Segoe UI"/>
                <w:b/>
                <w:i w:val="0"/>
                <w:color w:val="1B2330"/>
                <w:sz w:val="19"/>
              </w:rPr>
              <w:t xml:space="preserve">Beneficence — </w:t>
            </w:r>
            <w:r>
              <w:rPr>
                <w:rFonts w:ascii="Segoe UI" w:hAnsi="Segoe UI"/>
                <w:b w:val="0"/>
                <w:i w:val="0"/>
                <w:color w:val="4A5568"/>
                <w:sz w:val="19"/>
              </w:rPr>
              <w:t>beneficence and non-maleficence</w:t>
            </w:r>
          </w:p>
          <w:p>
            <w:pPr>
              <w:spacing w:before="0" w:after="20"/>
            </w:pPr>
            <w:r>
              <w:rPr>
                <w:rFonts w:ascii="Segoe UI" w:hAnsi="Segoe UI"/>
                <w:b/>
                <w:i w:val="0"/>
                <w:color w:val="C98A1B"/>
                <w:sz w:val="22"/>
              </w:rPr>
              <w:t xml:space="preserve">J  </w:t>
            </w:r>
            <w:r>
              <w:rPr>
                <w:rFonts w:ascii="Segoe UI" w:hAnsi="Segoe UI"/>
                <w:b/>
                <w:i w:val="0"/>
                <w:color w:val="1B2330"/>
                <w:sz w:val="19"/>
              </w:rPr>
              <w:t xml:space="preserve">Justice — </w:t>
            </w:r>
            <w:r>
              <w:rPr>
                <w:rFonts w:ascii="Segoe UI" w:hAnsi="Segoe UI"/>
                <w:b w:val="0"/>
                <w:i w:val="0"/>
                <w:color w:val="4A5568"/>
                <w:sz w:val="19"/>
              </w:rPr>
              <w:t>fairness and equal access</w:t>
            </w:r>
          </w:p>
        </w:tc>
      </w:tr>
    </w:tbl>
    <w:p>
      <w:pPr>
        <w:spacing w:after="40"/>
      </w:pPr>
    </w:p>
    <w:tbl>
      <w:tblPr>
        <w:tblW w:type="auto" w:w="0"/>
        <w:jc w:val="center"/>
        <w:tblLook w:firstColumn="1" w:firstRow="1" w:lastColumn="0" w:lastRow="0" w:noHBand="0" w:noVBand="1" w:val="04A0"/>
      </w:tblPr>
      <w:tblGrid>
        <w:gridCol w:w="9638"/>
      </w:tblGrid>
      <w:tr>
        <w:tc>
          <w:tcPr>
            <w:tcW w:type="dxa" w:w="9411"/>
            <w:tcBorders>
              <w:top w:val="single" w:sz="8" w:space="0" w:color="C98A1B"/>
              <w:left w:val="single" w:sz="8" w:space="0" w:color="C98A1B"/>
              <w:bottom w:val="single" w:sz="8" w:space="0" w:color="C98A1B"/>
              <w:right w:val="single" w:sz="8" w:space="0" w:color="C98A1B"/>
            </w:tcBorders>
            <w:shd w:val="clear" w:color="auto" w:fill="FFF6E6"/>
          </w:tcPr>
          <w:p>
            <w:pPr>
              <w:spacing w:before="40" w:after="60"/>
            </w:pPr>
            <w:r>
              <w:rPr>
                <w:rFonts w:ascii="Segoe UI" w:hAnsi="Segoe UI"/>
                <w:b/>
                <w:i w:val="0"/>
                <w:color w:val="8A5A00"/>
                <w:sz w:val="21"/>
              </w:rPr>
              <w:t xml:space="preserve">Mnemonic: </w:t>
            </w:r>
            <w:r>
              <w:rPr>
                <w:rFonts w:ascii="Segoe UI" w:hAnsi="Segoe UI"/>
                <w:b/>
                <w:i w:val="0"/>
                <w:color w:val="C98A1B"/>
                <w:sz w:val="26"/>
              </w:rPr>
              <w:t>CCS-PC</w:t>
            </w:r>
            <w:r>
              <w:rPr>
                <w:rFonts w:ascii="Segoe UI" w:hAnsi="Segoe UI"/>
                <w:b/>
                <w:i w:val="0"/>
                <w:color w:val="8A5A00"/>
                <w:sz w:val="21"/>
              </w:rPr>
              <w:t xml:space="preserve">  —  when confidentiality may be breached</w:t>
            </w:r>
          </w:p>
          <w:p>
            <w:pPr>
              <w:spacing w:before="0" w:after="20"/>
            </w:pPr>
            <w:r>
              <w:rPr>
                <w:rFonts w:ascii="Segoe UI" w:hAnsi="Segoe UI"/>
                <w:b/>
                <w:i w:val="0"/>
                <w:color w:val="C98A1B"/>
                <w:sz w:val="22"/>
              </w:rPr>
              <w:t xml:space="preserve">C  </w:t>
            </w:r>
            <w:r>
              <w:rPr>
                <w:rFonts w:ascii="Segoe UI" w:hAnsi="Segoe UI"/>
                <w:b/>
                <w:i w:val="0"/>
                <w:color w:val="1B2330"/>
                <w:sz w:val="19"/>
              </w:rPr>
              <w:t xml:space="preserve">Consent — </w:t>
            </w:r>
            <w:r>
              <w:rPr>
                <w:rFonts w:ascii="Segoe UI" w:hAnsi="Segoe UI"/>
                <w:b w:val="0"/>
                <w:i w:val="0"/>
                <w:color w:val="4A5568"/>
                <w:sz w:val="19"/>
              </w:rPr>
              <w:t>client gives valid consent</w:t>
            </w:r>
          </w:p>
          <w:p>
            <w:pPr>
              <w:spacing w:before="0" w:after="20"/>
            </w:pPr>
            <w:r>
              <w:rPr>
                <w:rFonts w:ascii="Segoe UI" w:hAnsi="Segoe UI"/>
                <w:b/>
                <w:i w:val="0"/>
                <w:color w:val="C98A1B"/>
                <w:sz w:val="22"/>
              </w:rPr>
              <w:t xml:space="preserve">C  </w:t>
            </w:r>
            <w:r>
              <w:rPr>
                <w:rFonts w:ascii="Segoe UI" w:hAnsi="Segoe UI"/>
                <w:b/>
                <w:i w:val="0"/>
                <w:color w:val="1B2330"/>
                <w:sz w:val="19"/>
              </w:rPr>
              <w:t xml:space="preserve">Child abuse — </w:t>
            </w:r>
            <w:r>
              <w:rPr>
                <w:rFonts w:ascii="Segoe UI" w:hAnsi="Segoe UI"/>
                <w:b w:val="0"/>
                <w:i w:val="0"/>
                <w:color w:val="4A5568"/>
                <w:sz w:val="19"/>
              </w:rPr>
              <w:t>mandatory reporting under POCSO</w:t>
            </w:r>
          </w:p>
          <w:p>
            <w:pPr>
              <w:spacing w:before="0" w:after="20"/>
            </w:pPr>
            <w:r>
              <w:rPr>
                <w:rFonts w:ascii="Segoe UI" w:hAnsi="Segoe UI"/>
                <w:b/>
                <w:i w:val="0"/>
                <w:color w:val="C98A1B"/>
                <w:sz w:val="22"/>
              </w:rPr>
              <w:t xml:space="preserve">S  </w:t>
            </w:r>
            <w:r>
              <w:rPr>
                <w:rFonts w:ascii="Segoe UI" w:hAnsi="Segoe UI"/>
                <w:b/>
                <w:i w:val="0"/>
                <w:color w:val="1B2330"/>
                <w:sz w:val="19"/>
              </w:rPr>
              <w:t xml:space="preserve">Safety / self-harm — </w:t>
            </w:r>
            <w:r>
              <w:rPr>
                <w:rFonts w:ascii="Segoe UI" w:hAnsi="Segoe UI"/>
                <w:b w:val="0"/>
                <w:i w:val="0"/>
                <w:color w:val="4A5568"/>
                <w:sz w:val="19"/>
              </w:rPr>
              <w:t>risk to self or others</w:t>
            </w:r>
          </w:p>
          <w:p>
            <w:pPr>
              <w:spacing w:before="0" w:after="20"/>
            </w:pPr>
            <w:r>
              <w:rPr>
                <w:rFonts w:ascii="Segoe UI" w:hAnsi="Segoe UI"/>
                <w:b/>
                <w:i w:val="0"/>
                <w:color w:val="C98A1B"/>
                <w:sz w:val="22"/>
              </w:rPr>
              <w:t xml:space="preserve">P  </w:t>
            </w:r>
            <w:r>
              <w:rPr>
                <w:rFonts w:ascii="Segoe UI" w:hAnsi="Segoe UI"/>
                <w:b/>
                <w:i w:val="0"/>
                <w:color w:val="1B2330"/>
                <w:sz w:val="19"/>
              </w:rPr>
              <w:t xml:space="preserve">Protect third party — </w:t>
            </w:r>
            <w:r>
              <w:rPr>
                <w:rFonts w:ascii="Segoe UI" w:hAnsi="Segoe UI"/>
                <w:b w:val="0"/>
                <w:i w:val="0"/>
                <w:color w:val="4A5568"/>
                <w:sz w:val="19"/>
              </w:rPr>
              <w:t>Tarasoff duty to warn / protect</w:t>
            </w:r>
          </w:p>
          <w:p>
            <w:pPr>
              <w:spacing w:before="0" w:after="20"/>
            </w:pPr>
            <w:r>
              <w:rPr>
                <w:rFonts w:ascii="Segoe UI" w:hAnsi="Segoe UI"/>
                <w:b/>
                <w:i w:val="0"/>
                <w:color w:val="C98A1B"/>
                <w:sz w:val="22"/>
              </w:rPr>
              <w:t xml:space="preserve">C  </w:t>
            </w:r>
            <w:r>
              <w:rPr>
                <w:rFonts w:ascii="Segoe UI" w:hAnsi="Segoe UI"/>
                <w:b/>
                <w:i w:val="0"/>
                <w:color w:val="1B2330"/>
                <w:sz w:val="19"/>
              </w:rPr>
              <w:t xml:space="preserve">Court order — </w:t>
            </w:r>
            <w:r>
              <w:rPr>
                <w:rFonts w:ascii="Segoe UI" w:hAnsi="Segoe UI"/>
                <w:b w:val="0"/>
                <w:i w:val="0"/>
                <w:color w:val="4A5568"/>
                <w:sz w:val="19"/>
              </w:rPr>
              <w:t>legally compelled disclosure</w:t>
            </w:r>
          </w:p>
        </w:tc>
      </w:tr>
    </w:tbl>
    <w:p>
      <w:pPr>
        <w:spacing w:after="40"/>
      </w:pPr>
    </w:p>
    <w:tbl>
      <w:tblPr>
        <w:tblW w:type="auto" w:w="0"/>
        <w:jc w:val="center"/>
        <w:tblLook w:firstColumn="1" w:firstRow="1" w:lastColumn="0" w:lastRow="0" w:noHBand="0" w:noVBand="1" w:val="04A0"/>
      </w:tblPr>
      <w:tblGrid>
        <w:gridCol w:w="9638"/>
      </w:tblGrid>
      <w:tr>
        <w:tc>
          <w:tcPr>
            <w:tcW w:type="dxa" w:w="9411"/>
            <w:tcBorders>
              <w:top w:val="single" w:sz="8" w:space="0" w:color="C98A1B"/>
              <w:left w:val="single" w:sz="8" w:space="0" w:color="C98A1B"/>
              <w:bottom w:val="single" w:sz="8" w:space="0" w:color="C98A1B"/>
              <w:right w:val="single" w:sz="8" w:space="0" w:color="C98A1B"/>
            </w:tcBorders>
            <w:shd w:val="clear" w:color="auto" w:fill="FFF6E6"/>
          </w:tcPr>
          <w:p>
            <w:pPr>
              <w:spacing w:before="40" w:after="60"/>
            </w:pPr>
            <w:r>
              <w:rPr>
                <w:rFonts w:ascii="Segoe UI" w:hAnsi="Segoe UI"/>
                <w:b/>
                <w:i w:val="0"/>
                <w:color w:val="8A5A00"/>
                <w:sz w:val="21"/>
              </w:rPr>
              <w:t xml:space="preserve">Mnemonic: </w:t>
            </w:r>
            <w:r>
              <w:rPr>
                <w:rFonts w:ascii="Segoe UI" w:hAnsi="Segoe UI"/>
                <w:b/>
                <w:i w:val="0"/>
                <w:color w:val="C98A1B"/>
                <w:sz w:val="26"/>
              </w:rPr>
              <w:t>ELCC</w:t>
            </w:r>
            <w:r>
              <w:rPr>
                <w:rFonts w:ascii="Segoe UI" w:hAnsi="Segoe UI"/>
                <w:b/>
                <w:i w:val="0"/>
                <w:color w:val="8A5A00"/>
                <w:sz w:val="21"/>
              </w:rPr>
              <w:t xml:space="preserve">  —  the four sources of the duty to safeguard confidentiality (secondary notes)</w:t>
            </w:r>
          </w:p>
          <w:p>
            <w:pPr>
              <w:spacing w:before="0" w:after="20"/>
            </w:pPr>
            <w:r>
              <w:rPr>
                <w:rFonts w:ascii="Segoe UI" w:hAnsi="Segoe UI"/>
                <w:b/>
                <w:i w:val="0"/>
                <w:color w:val="C98A1B"/>
                <w:sz w:val="22"/>
              </w:rPr>
              <w:t xml:space="preserve">E  </w:t>
            </w:r>
            <w:r>
              <w:rPr>
                <w:rFonts w:ascii="Segoe UI" w:hAnsi="Segoe UI"/>
                <w:b/>
                <w:i w:val="0"/>
                <w:color w:val="1B2330"/>
                <w:sz w:val="19"/>
              </w:rPr>
              <w:t xml:space="preserve">Ethical codes — </w:t>
            </w:r>
            <w:r>
              <w:rPr>
                <w:rFonts w:ascii="Segoe UI" w:hAnsi="Segoe UI"/>
                <w:b w:val="0"/>
                <w:i w:val="0"/>
                <w:color w:val="4A5568"/>
                <w:sz w:val="19"/>
              </w:rPr>
              <w:t>the mental health professions' ethics codes</w:t>
            </w:r>
          </w:p>
          <w:p>
            <w:pPr>
              <w:spacing w:before="0" w:after="20"/>
            </w:pPr>
            <w:r>
              <w:rPr>
                <w:rFonts w:ascii="Segoe UI" w:hAnsi="Segoe UI"/>
                <w:b/>
                <w:i w:val="0"/>
                <w:color w:val="C98A1B"/>
                <w:sz w:val="22"/>
              </w:rPr>
              <w:t xml:space="preserve">L  </w:t>
            </w:r>
            <w:r>
              <w:rPr>
                <w:rFonts w:ascii="Segoe UI" w:hAnsi="Segoe UI"/>
                <w:b/>
                <w:i w:val="0"/>
                <w:color w:val="1B2330"/>
                <w:sz w:val="19"/>
              </w:rPr>
              <w:t xml:space="preserve">Licensure / law — </w:t>
            </w:r>
            <w:r>
              <w:rPr>
                <w:rFonts w:ascii="Segoe UI" w:hAnsi="Segoe UI"/>
                <w:b w:val="0"/>
                <w:i w:val="0"/>
                <w:color w:val="4A5568"/>
                <w:sz w:val="19"/>
              </w:rPr>
              <w:t>licensure regulations and privilege statutes</w:t>
            </w:r>
          </w:p>
          <w:p>
            <w:pPr>
              <w:spacing w:before="0" w:after="20"/>
            </w:pPr>
            <w:r>
              <w:rPr>
                <w:rFonts w:ascii="Segoe UI" w:hAnsi="Segoe UI"/>
                <w:b/>
                <w:i w:val="0"/>
                <w:color w:val="C98A1B"/>
                <w:sz w:val="22"/>
              </w:rPr>
              <w:t xml:space="preserve">C  </w:t>
            </w:r>
            <w:r>
              <w:rPr>
                <w:rFonts w:ascii="Segoe UI" w:hAnsi="Segoe UI"/>
                <w:b/>
                <w:i w:val="0"/>
                <w:color w:val="1B2330"/>
                <w:sz w:val="19"/>
              </w:rPr>
              <w:t xml:space="preserve">Common law — </w:t>
            </w:r>
            <w:r>
              <w:rPr>
                <w:rFonts w:ascii="Segoe UI" w:hAnsi="Segoe UI"/>
                <w:b w:val="0"/>
                <w:i w:val="0"/>
                <w:color w:val="4A5568"/>
                <w:sz w:val="19"/>
              </w:rPr>
              <w:t>case law protecting therapist-patient communication</w:t>
            </w:r>
          </w:p>
          <w:p>
            <w:pPr>
              <w:spacing w:before="0" w:after="20"/>
            </w:pPr>
            <w:r>
              <w:rPr>
                <w:rFonts w:ascii="Segoe UI" w:hAnsi="Segoe UI"/>
                <w:b/>
                <w:i w:val="0"/>
                <w:color w:val="C98A1B"/>
                <w:sz w:val="22"/>
              </w:rPr>
              <w:t xml:space="preserve">C  </w:t>
            </w:r>
            <w:r>
              <w:rPr>
                <w:rFonts w:ascii="Segoe UI" w:hAnsi="Segoe UI"/>
                <w:b/>
                <w:i w:val="0"/>
                <w:color w:val="1B2330"/>
                <w:sz w:val="19"/>
              </w:rPr>
              <w:t xml:space="preserve">Constitution — </w:t>
            </w:r>
            <w:r>
              <w:rPr>
                <w:rFonts w:ascii="Segoe UI" w:hAnsi="Segoe UI"/>
                <w:b w:val="0"/>
                <w:i w:val="0"/>
                <w:color w:val="4A5568"/>
                <w:sz w:val="19"/>
              </w:rPr>
              <w:t>an inferred constitutional right of privacy</w:t>
            </w:r>
          </w:p>
        </w:tc>
      </w:tr>
    </w:tbl>
    <w:p>
      <w:pPr>
        <w:spacing w:after="40"/>
      </w:pPr>
    </w:p>
    <w:p>
      <w:pPr>
        <w:pStyle w:val="Heading1"/>
        <w:pageBreakBefore/>
      </w:pPr>
      <w:r>
        <w:rPr>
          <w:rFonts w:ascii="Segoe UI" w:hAnsi="Segoe UI"/>
          <w:b/>
          <w:i w:val="0"/>
          <w:color w:val="2B4C7E"/>
          <w:sz w:val="30"/>
        </w:rPr>
        <w:t>5. Rights and Responsibilities in Psychotherapy</w:t>
      </w:r>
    </w:p>
    <w:p>
      <w:pPr>
        <w:spacing w:before="180" w:after="40"/>
      </w:pPr>
      <w:r>
        <w:rPr>
          <w:rFonts w:ascii="Segoe UI" w:hAnsi="Segoe UI"/>
          <w:b/>
          <w:i w:val="0"/>
          <w:color w:val="1B2330"/>
          <w:sz w:val="23"/>
        </w:rPr>
        <w:t>Client rights</w:t>
      </w:r>
    </w:p>
    <w:p>
      <w:pPr>
        <w:pStyle w:val="ListBullet"/>
        <w:spacing w:before="0" w:after="40"/>
      </w:pPr>
      <w:r>
        <w:rPr>
          <w:rFonts w:ascii="Calibri" w:hAnsi="Calibri"/>
          <w:b w:val="0"/>
          <w:i w:val="0"/>
          <w:color w:val="1B2330"/>
          <w:sz w:val="21"/>
        </w:rPr>
        <w:t>Right to competent, respectful, non-discriminatory treatment.</w:t>
      </w:r>
    </w:p>
    <w:p>
      <w:pPr>
        <w:pStyle w:val="ListBullet"/>
        <w:spacing w:before="0" w:after="40"/>
      </w:pPr>
      <w:r>
        <w:rPr>
          <w:rFonts w:ascii="Calibri" w:hAnsi="Calibri"/>
          <w:b w:val="0"/>
          <w:i w:val="0"/>
          <w:color w:val="1B2330"/>
          <w:sz w:val="21"/>
        </w:rPr>
        <w:t>Right to informed consent and to adequate information about therapy.</w:t>
      </w:r>
    </w:p>
    <w:p>
      <w:pPr>
        <w:pStyle w:val="ListBullet"/>
        <w:spacing w:before="0" w:after="40"/>
      </w:pPr>
      <w:r>
        <w:rPr>
          <w:rFonts w:ascii="Calibri" w:hAnsi="Calibri"/>
          <w:b w:val="0"/>
          <w:i w:val="0"/>
          <w:color w:val="1B2330"/>
          <w:sz w:val="21"/>
        </w:rPr>
        <w:t>Right to confidentiality (within its legal limits).</w:t>
      </w:r>
    </w:p>
    <w:p>
      <w:pPr>
        <w:pStyle w:val="ListBullet"/>
        <w:spacing w:before="0" w:after="40"/>
      </w:pPr>
      <w:r>
        <w:rPr>
          <w:rFonts w:ascii="Calibri" w:hAnsi="Calibri"/>
          <w:b w:val="0"/>
          <w:i w:val="0"/>
          <w:color w:val="1B2330"/>
          <w:sz w:val="21"/>
        </w:rPr>
        <w:t>Right to autonomy and self-determination, including the right to withdraw or refuse treatment without penalty.</w:t>
      </w:r>
    </w:p>
    <w:p>
      <w:pPr>
        <w:pStyle w:val="ListBullet"/>
        <w:spacing w:before="0" w:after="40"/>
      </w:pPr>
      <w:r>
        <w:rPr>
          <w:rFonts w:ascii="Calibri" w:hAnsi="Calibri"/>
          <w:b w:val="0"/>
          <w:i w:val="0"/>
          <w:color w:val="1B2330"/>
          <w:sz w:val="21"/>
        </w:rPr>
        <w:t>Right to privacy and dignity; right to safety (no exploitation or harm).</w:t>
      </w:r>
    </w:p>
    <w:p>
      <w:pPr>
        <w:pStyle w:val="ListBullet"/>
        <w:spacing w:before="0" w:after="40"/>
      </w:pPr>
      <w:r>
        <w:rPr>
          <w:rFonts w:ascii="Calibri" w:hAnsi="Calibri"/>
          <w:b w:val="0"/>
          <w:i w:val="0"/>
          <w:color w:val="1B2330"/>
          <w:sz w:val="21"/>
        </w:rPr>
        <w:t>Right to access one's records (consistent with MHCA 2017) and to make complaints about services.</w:t>
      </w:r>
    </w:p>
    <w:p>
      <w:pPr>
        <w:pStyle w:val="ListBullet"/>
        <w:spacing w:before="0" w:after="40"/>
      </w:pPr>
      <w:r>
        <w:rPr>
          <w:rFonts w:ascii="Calibri" w:hAnsi="Calibri"/>
          <w:b w:val="0"/>
          <w:i w:val="0"/>
          <w:color w:val="1B2330"/>
          <w:sz w:val="21"/>
        </w:rPr>
        <w:t>Right to a clear contract (fees, frequency, duration, cancellation).</w:t>
      </w:r>
    </w:p>
    <w:p>
      <w:pPr>
        <w:spacing w:before="180" w:after="40"/>
      </w:pPr>
      <w:r>
        <w:rPr>
          <w:rFonts w:ascii="Segoe UI" w:hAnsi="Segoe UI"/>
          <w:b/>
          <w:i w:val="0"/>
          <w:color w:val="1B2330"/>
          <w:sz w:val="23"/>
        </w:rPr>
        <w:t>Client responsibilities</w:t>
      </w:r>
    </w:p>
    <w:p>
      <w:pPr>
        <w:pStyle w:val="ListBullet"/>
        <w:spacing w:before="0" w:after="40"/>
      </w:pPr>
      <w:r>
        <w:rPr>
          <w:rFonts w:ascii="Calibri" w:hAnsi="Calibri"/>
          <w:b w:val="0"/>
          <w:i w:val="0"/>
          <w:color w:val="1B2330"/>
          <w:sz w:val="21"/>
        </w:rPr>
        <w:t>Attend sessions, be punctual, give notice of cancellation.</w:t>
      </w:r>
    </w:p>
    <w:p>
      <w:pPr>
        <w:pStyle w:val="ListBullet"/>
        <w:spacing w:before="0" w:after="40"/>
      </w:pPr>
      <w:r>
        <w:rPr>
          <w:rFonts w:ascii="Calibri" w:hAnsi="Calibri"/>
          <w:b w:val="0"/>
          <w:i w:val="0"/>
          <w:color w:val="1B2330"/>
          <w:sz w:val="21"/>
        </w:rPr>
        <w:t>Participate actively and honestly; complete agreed homework / tasks.</w:t>
      </w:r>
    </w:p>
    <w:p>
      <w:pPr>
        <w:pStyle w:val="ListBullet"/>
        <w:spacing w:before="0" w:after="40"/>
      </w:pPr>
      <w:r>
        <w:rPr>
          <w:rFonts w:ascii="Calibri" w:hAnsi="Calibri"/>
          <w:b w:val="0"/>
          <w:i w:val="0"/>
          <w:color w:val="1B2330"/>
          <w:sz w:val="21"/>
        </w:rPr>
        <w:t>Pay agreed fees; respect the therapeutic frame and boundaries.</w:t>
      </w:r>
    </w:p>
    <w:p>
      <w:pPr>
        <w:spacing w:before="180" w:after="40"/>
      </w:pPr>
      <w:r>
        <w:rPr>
          <w:rFonts w:ascii="Segoe UI" w:hAnsi="Segoe UI"/>
          <w:b/>
          <w:i w:val="0"/>
          <w:color w:val="1B2330"/>
          <w:sz w:val="23"/>
        </w:rPr>
        <w:t>Therapist responsibilities</w:t>
      </w:r>
    </w:p>
    <w:p>
      <w:pPr>
        <w:pStyle w:val="ListBullet"/>
        <w:spacing w:before="0" w:after="40"/>
      </w:pPr>
      <w:r>
        <w:rPr>
          <w:rFonts w:ascii="Calibri" w:hAnsi="Calibri"/>
          <w:b w:val="0"/>
          <w:i w:val="0"/>
          <w:color w:val="1B2330"/>
          <w:sz w:val="21"/>
        </w:rPr>
        <w:t>Practise competently and within the limits of training; refer when needed.</w:t>
      </w:r>
    </w:p>
    <w:p>
      <w:pPr>
        <w:pStyle w:val="ListBullet"/>
        <w:spacing w:before="0" w:after="40"/>
      </w:pPr>
      <w:r>
        <w:rPr>
          <w:rFonts w:ascii="Calibri" w:hAnsi="Calibri"/>
          <w:b w:val="0"/>
          <w:i w:val="0"/>
          <w:color w:val="1B2330"/>
          <w:sz w:val="21"/>
        </w:rPr>
        <w:t>Obtain valid informed consent; protect confidentiality and its limits.</w:t>
      </w:r>
    </w:p>
    <w:p>
      <w:pPr>
        <w:pStyle w:val="ListBullet"/>
        <w:spacing w:before="0" w:after="40"/>
      </w:pPr>
      <w:r>
        <w:rPr>
          <w:rFonts w:ascii="Calibri" w:hAnsi="Calibri"/>
          <w:b w:val="0"/>
          <w:i w:val="0"/>
          <w:color w:val="1B2330"/>
          <w:sz w:val="21"/>
        </w:rPr>
        <w:t>Maintain boundaries; avoid dual relationships and exploitation.</w:t>
      </w:r>
    </w:p>
    <w:p>
      <w:pPr>
        <w:pStyle w:val="ListBullet"/>
        <w:spacing w:before="0" w:after="40"/>
      </w:pPr>
      <w:r>
        <w:rPr>
          <w:rFonts w:ascii="Calibri" w:hAnsi="Calibri"/>
          <w:b w:val="0"/>
          <w:i w:val="0"/>
          <w:color w:val="1B2330"/>
          <w:sz w:val="21"/>
        </w:rPr>
        <w:t>Keep accurate, secure records; honour reporting obligations.</w:t>
      </w:r>
    </w:p>
    <w:p>
      <w:pPr>
        <w:pStyle w:val="ListBullet"/>
        <w:spacing w:before="0" w:after="40"/>
      </w:pPr>
      <w:r>
        <w:rPr>
          <w:rFonts w:ascii="Calibri" w:hAnsi="Calibri"/>
          <w:b w:val="0"/>
          <w:i w:val="0"/>
          <w:color w:val="1B2330"/>
          <w:sz w:val="21"/>
        </w:rPr>
        <w:t>Provide continuity of care; avoid abandonment; arrange referral and handover.</w:t>
      </w:r>
    </w:p>
    <w:p>
      <w:pPr>
        <w:pStyle w:val="ListBullet"/>
        <w:spacing w:before="0" w:after="40"/>
      </w:pPr>
      <w:r>
        <w:rPr>
          <w:rFonts w:ascii="Calibri" w:hAnsi="Calibri"/>
          <w:b w:val="0"/>
          <w:i w:val="0"/>
          <w:color w:val="1B2330"/>
          <w:sz w:val="21"/>
        </w:rPr>
        <w:t>Use supervision; engage in self-care; keep up to date (continuing education).</w:t>
      </w:r>
    </w:p>
    <w:p>
      <w:pPr>
        <w:spacing w:before="180" w:after="40"/>
      </w:pPr>
      <w:r>
        <w:rPr>
          <w:rFonts w:ascii="Segoe UI" w:hAnsi="Segoe UI"/>
          <w:b/>
          <w:i w:val="0"/>
          <w:color w:val="1B2330"/>
          <w:sz w:val="23"/>
        </w:rPr>
        <w:t>Confidentiality as a right (secondary notes)</w:t>
      </w:r>
    </w:p>
    <w:p>
      <w:pPr>
        <w:pStyle w:val="ListBullet"/>
        <w:spacing w:before="0" w:after="40"/>
      </w:pPr>
      <w:r>
        <w:rPr>
          <w:rFonts w:ascii="Calibri" w:hAnsi="Calibri"/>
          <w:b w:val="0"/>
          <w:i w:val="0"/>
          <w:color w:val="1B2330"/>
          <w:sz w:val="21"/>
        </w:rPr>
        <w:t>Confidentiality may be understood as the client's right of "informed consent to disclosure": the therapist has an ethical duty to obtain the client's consent before disclosing treatment details to anyone, including those close to the client.</w:t>
      </w:r>
    </w:p>
    <w:p>
      <w:pPr>
        <w:pStyle w:val="ListBullet"/>
        <w:spacing w:before="0" w:after="40"/>
      </w:pPr>
      <w:r>
        <w:rPr>
          <w:rFonts w:ascii="Calibri" w:hAnsi="Calibri"/>
          <w:b w:val="0"/>
          <w:i w:val="0"/>
          <w:color w:val="1B2330"/>
          <w:sz w:val="21"/>
        </w:rPr>
        <w:t>The right can create dilemmas when the client discloses that a third party is at risk (see Topic 4 limits), or when family/employers seek information or ask the therapist not to tell the client about their contact.</w:t>
      </w:r>
    </w:p>
    <w:p>
      <w:pPr>
        <w:pStyle w:val="ListBullet"/>
        <w:spacing w:before="0" w:after="40"/>
      </w:pPr>
      <w:r>
        <w:rPr>
          <w:rFonts w:ascii="Calibri" w:hAnsi="Calibri"/>
          <w:b w:val="0"/>
          <w:i w:val="0"/>
          <w:color w:val="1B2330"/>
          <w:sz w:val="21"/>
        </w:rPr>
        <w:t>Use of case material for teaching / research is a separate, specific consent issue:</w:t>
      </w:r>
    </w:p>
    <w:p>
      <w:pPr>
        <w:pStyle w:val="ListBullet2"/>
        <w:spacing w:before="0" w:after="20"/>
      </w:pPr>
      <w:r>
        <w:rPr>
          <w:rFonts w:ascii="Calibri" w:hAnsi="Calibri"/>
          <w:b w:val="0"/>
          <w:i w:val="0"/>
          <w:color w:val="1B2330"/>
          <w:sz w:val="20"/>
        </w:rPr>
        <w:t>rising emphasis on client autonomy and ownership of personal material;</w:t>
      </w:r>
    </w:p>
    <w:p>
      <w:pPr>
        <w:pStyle w:val="ListBullet2"/>
        <w:spacing w:before="0" w:after="20"/>
      </w:pPr>
      <w:r>
        <w:rPr>
          <w:rFonts w:ascii="Calibri" w:hAnsi="Calibri"/>
          <w:b w:val="0"/>
          <w:i w:val="0"/>
          <w:color w:val="1B2330"/>
          <w:sz w:val="20"/>
        </w:rPr>
        <w:t>some journals require the client to have read and consented to the write-up;</w:t>
      </w:r>
    </w:p>
    <w:p>
      <w:pPr>
        <w:pStyle w:val="ListBullet2"/>
        <w:spacing w:before="0" w:after="20"/>
      </w:pPr>
      <w:r>
        <w:rPr>
          <w:rFonts w:ascii="Calibri" w:hAnsi="Calibri"/>
          <w:b w:val="0"/>
          <w:i w:val="0"/>
          <w:color w:val="1B2330"/>
          <w:sz w:val="20"/>
        </w:rPr>
        <w:t>consent sought after therapy ends can itself be intrusive.</w:t>
      </w:r>
    </w:p>
    <w:tbl>
      <w:tblPr>
        <w:tblW w:type="auto" w:w="0"/>
        <w:jc w:val="center"/>
        <w:tblLook w:firstColumn="1" w:firstRow="1" w:lastColumn="0" w:lastRow="0" w:noHBand="0" w:noVBand="1" w:val="04A0"/>
      </w:tblPr>
      <w:tblGrid>
        <w:gridCol w:w="9638"/>
      </w:tblGrid>
      <w:tr>
        <w:tc>
          <w:tcPr>
            <w:tcW w:type="dxa" w:w="9411"/>
            <w:tcBorders>
              <w:top w:val="single" w:sz="8" w:space="0" w:color="B23A48"/>
              <w:left w:val="single" w:sz="8" w:space="0" w:color="B23A48"/>
              <w:bottom w:val="single" w:sz="8" w:space="0" w:color="B23A48"/>
              <w:right w:val="single" w:sz="8" w:space="0" w:color="B23A48"/>
            </w:tcBorders>
            <w:shd w:val="clear" w:color="auto" w:fill="FDECEF"/>
          </w:tcPr>
          <w:p>
            <w:pPr>
              <w:spacing w:before="40" w:after="60"/>
            </w:pPr>
            <w:r>
              <w:rPr>
                <w:rFonts w:ascii="Segoe UI" w:hAnsi="Segoe UI"/>
                <w:b/>
                <w:i w:val="0"/>
                <w:color w:val="B23A48"/>
                <w:sz w:val="21"/>
              </w:rPr>
              <w:t>Codes behind these rights/duties</w:t>
            </w:r>
          </w:p>
          <w:p>
            <w:pPr>
              <w:pStyle w:val="ListBullet"/>
              <w:spacing w:before="0" w:after="40"/>
            </w:pPr>
            <w:r>
              <w:rPr>
                <w:rFonts w:ascii="Calibri" w:hAnsi="Calibri"/>
                <w:b w:val="0"/>
                <w:i w:val="0"/>
                <w:color w:val="1B2330"/>
                <w:sz w:val="19"/>
              </w:rPr>
              <w:t>APA Ethical Principles and the RCI code of conduct underpin these rights and responsibilities (supported).</w:t>
            </w:r>
          </w:p>
          <w:p>
            <w:pPr>
              <w:pStyle w:val="ListBullet"/>
              <w:spacing w:before="0" w:after="40"/>
            </w:pPr>
            <w:r>
              <w:rPr>
                <w:rFonts w:ascii="Calibri" w:hAnsi="Calibri"/>
                <w:b w:val="0"/>
                <w:i w:val="0"/>
                <w:color w:val="1B2330"/>
                <w:sz w:val="19"/>
              </w:rPr>
              <w:t>IACP themes are broadly consistent (SECONDARY / paraphrased — no clause numbers asserted).</w:t>
            </w:r>
          </w:p>
        </w:tc>
      </w:tr>
    </w:tbl>
    <w:p>
      <w:pPr>
        <w:spacing w:after="40"/>
      </w:pPr>
    </w:p>
    <w:p>
      <w:pPr>
        <w:spacing w:before="160" w:after="40"/>
      </w:pPr>
      <w:r>
        <w:rPr>
          <w:rFonts w:ascii="Segoe UI" w:hAnsi="Segoe UI"/>
          <w:b/>
          <w:i w:val="0"/>
          <w:color w:val="2B4C7E"/>
          <w:sz w:val="21"/>
        </w:rPr>
        <w:t>Flow chart: Flow: rights and duties in balance</w:t>
      </w:r>
    </w:p>
    <w:tbl>
      <w:tblPr>
        <w:tblW w:type="auto" w:w="0"/>
        <w:jc w:val="center"/>
        <w:tblLook w:firstColumn="1" w:firstRow="1" w:lastColumn="0" w:lastRow="0" w:noHBand="0" w:noVBand="1" w:val="04A0"/>
      </w:tblPr>
      <w:tblGrid>
        <w:gridCol w:w="9638"/>
      </w:tblGrid>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Contract sets the frame (fees, time, boundaries)</w:t>
            </w:r>
          </w:p>
        </w:tc>
      </w:tr>
      <w:tr>
        <w:tc>
          <w:tcPr>
            <w:tcW w:type="dxa" w:w="8504"/>
          </w:tcPr>
          <w:p>
            <w:pPr>
              <w:spacing w:before="20" w:after="20"/>
              <w:jc w:val="center"/>
            </w:pPr>
            <w:r>
              <w:rPr>
                <w:rFonts w:ascii="Segoe UI" w:hAnsi="Segoe UI"/>
                <w:b/>
                <w:i w:val="0"/>
                <w:color w:val="2B4C7E"/>
                <w:sz w:val="26"/>
              </w:rPr>
              <w:t>↓</w:t>
            </w:r>
          </w:p>
        </w:tc>
      </w:tr>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Client rights &lt;-&gt; Therapist duties (consent, confidentiality, competence)</w:t>
            </w:r>
          </w:p>
        </w:tc>
      </w:tr>
      <w:tr>
        <w:tc>
          <w:tcPr>
            <w:tcW w:type="dxa" w:w="8504"/>
          </w:tcPr>
          <w:p>
            <w:pPr>
              <w:spacing w:before="20" w:after="20"/>
              <w:jc w:val="center"/>
            </w:pPr>
            <w:r>
              <w:rPr>
                <w:rFonts w:ascii="Segoe UI" w:hAnsi="Segoe UI"/>
                <w:b/>
                <w:i w:val="0"/>
                <w:color w:val="2B4C7E"/>
                <w:sz w:val="26"/>
              </w:rPr>
              <w:t>↓</w:t>
            </w:r>
          </w:p>
        </w:tc>
      </w:tr>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Shared responsibilities (attendance, honesty, participation)</w:t>
            </w:r>
          </w:p>
        </w:tc>
      </w:tr>
      <w:tr>
        <w:tc>
          <w:tcPr>
            <w:tcW w:type="dxa" w:w="8504"/>
          </w:tcPr>
          <w:p>
            <w:pPr>
              <w:spacing w:before="20" w:after="20"/>
              <w:jc w:val="center"/>
            </w:pPr>
            <w:r>
              <w:rPr>
                <w:rFonts w:ascii="Segoe UI" w:hAnsi="Segoe UI"/>
                <w:b/>
                <w:i w:val="0"/>
                <w:color w:val="2B4C7E"/>
                <w:sz w:val="26"/>
              </w:rPr>
              <w:t>↓</w:t>
            </w:r>
          </w:p>
        </w:tc>
      </w:tr>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Breach? → repair, refer, or complaint / review mechanism</w:t>
            </w:r>
          </w:p>
        </w:tc>
      </w:tr>
    </w:tbl>
    <w:p>
      <w:pPr>
        <w:spacing w:after="40"/>
      </w:pPr>
    </w:p>
    <w:p>
      <w:pPr>
        <w:spacing w:before="160" w:after="40"/>
      </w:pPr>
      <w:r>
        <w:rPr>
          <w:rFonts w:ascii="Segoe UI" w:hAnsi="Segoe UI"/>
          <w:b/>
          <w:i w:val="0"/>
          <w:color w:val="2B4C7E"/>
          <w:sz w:val="21"/>
        </w:rPr>
        <w:t>Flow chart: Flow: a request to disclose client information (secondary notes)</w:t>
      </w:r>
    </w:p>
    <w:tbl>
      <w:tblPr>
        <w:tblW w:type="auto" w:w="0"/>
        <w:jc w:val="center"/>
        <w:tblLook w:firstColumn="1" w:firstRow="1" w:lastColumn="0" w:lastRow="0" w:noHBand="0" w:noVBand="1" w:val="04A0"/>
      </w:tblPr>
      <w:tblGrid>
        <w:gridCol w:w="9638"/>
      </w:tblGrid>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Someone requests information about the client / therapy</w:t>
            </w:r>
          </w:p>
        </w:tc>
      </w:tr>
      <w:tr>
        <w:tc>
          <w:tcPr>
            <w:tcW w:type="dxa" w:w="8504"/>
          </w:tcPr>
          <w:p>
            <w:pPr>
              <w:spacing w:before="20" w:after="20"/>
              <w:jc w:val="center"/>
            </w:pPr>
            <w:r>
              <w:rPr>
                <w:rFonts w:ascii="Segoe UI" w:hAnsi="Segoe UI"/>
                <w:b/>
                <w:i w:val="0"/>
                <w:color w:val="2B4C7E"/>
                <w:sz w:val="26"/>
              </w:rPr>
              <w:t>↓</w:t>
            </w:r>
          </w:p>
        </w:tc>
      </w:tr>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Default duty: do not disclose without consent</w:t>
            </w:r>
          </w:p>
        </w:tc>
      </w:tr>
      <w:tr>
        <w:tc>
          <w:tcPr>
            <w:tcW w:type="dxa" w:w="8504"/>
          </w:tcPr>
          <w:p>
            <w:pPr>
              <w:spacing w:before="20" w:after="20"/>
              <w:jc w:val="center"/>
            </w:pPr>
            <w:r>
              <w:rPr>
                <w:rFonts w:ascii="Segoe UI" w:hAnsi="Segoe UI"/>
                <w:b/>
                <w:i w:val="0"/>
                <w:color w:val="2B4C7E"/>
                <w:sz w:val="26"/>
              </w:rPr>
              <w:t>↓</w:t>
            </w:r>
          </w:p>
        </w:tc>
      </w:tr>
    </w:tbl>
    <w:p>
      <w:pPr>
        <w:spacing w:before="20" w:after="0"/>
        <w:jc w:val="center"/>
      </w:pPr>
      <w:r>
        <w:rPr>
          <w:rFonts w:ascii="Segoe UI" w:hAnsi="Segoe UI"/>
          <w:b w:val="0"/>
          <w:i/>
          <w:color w:val="4A5568"/>
          <w:sz w:val="17"/>
        </w:rPr>
        <w:t>Client consents to share agreed material</w:t>
      </w:r>
    </w:p>
    <w:p>
      <w:pPr>
        <w:spacing w:before="0" w:after="0"/>
        <w:jc w:val="center"/>
      </w:pPr>
      <w:r>
        <w:rPr>
          <w:rFonts w:ascii="Segoe UI" w:hAnsi="Segoe UI"/>
          <w:b/>
          <w:i w:val="0"/>
          <w:color w:val="2B4C7E"/>
          <w:sz w:val="22"/>
        </w:rPr>
        <w:t>↓</w:t>
      </w:r>
    </w:p>
    <w:tbl>
      <w:tblPr>
        <w:tblW w:type="auto" w:w="0"/>
        <w:jc w:val="center"/>
        <w:tblLook w:firstColumn="1" w:firstRow="1" w:lastColumn="0" w:lastRow="0" w:noHBand="0" w:noVBand="1" w:val="04A0"/>
      </w:tblPr>
      <w:tblGrid>
        <w:gridCol w:w="9638"/>
      </w:tblGrid>
      <w:tr>
        <w:tc>
          <w:tcPr>
            <w:tcW w:type="dxa" w:w="8504"/>
            <w:tcBorders>
              <w:top w:val="single" w:sz="8" w:space="0" w:color="2B4C7E"/>
              <w:left w:val="single" w:sz="8" w:space="0" w:color="2B4C7E"/>
              <w:bottom w:val="single" w:sz="8" w:space="0" w:color="2B4C7E"/>
              <w:right w:val="single" w:sz="8" w:space="0" w:color="2B4C7E"/>
            </w:tcBorders>
            <w:shd w:val="clear" w:color="auto" w:fill="E8EEF7"/>
          </w:tcPr>
          <w:p>
            <w:pPr>
              <w:spacing w:before="20" w:after="20"/>
              <w:jc w:val="center"/>
            </w:pPr>
            <w:r>
              <w:rPr>
                <w:rFonts w:ascii="Segoe UI" w:hAnsi="Segoe UI"/>
                <w:b w:val="0"/>
                <w:i w:val="0"/>
                <w:color w:val="1B2330"/>
                <w:sz w:val="19"/>
              </w:rPr>
              <w:t>Disclose only what is agreed</w:t>
            </w:r>
          </w:p>
        </w:tc>
      </w:tr>
    </w:tbl>
    <w:p>
      <w:pPr>
        <w:spacing w:before="20" w:after="0"/>
        <w:jc w:val="center"/>
      </w:pPr>
      <w:r>
        <w:rPr>
          <w:rFonts w:ascii="Segoe UI" w:hAnsi="Segoe UI"/>
          <w:b w:val="0"/>
          <w:i/>
          <w:color w:val="4A5568"/>
          <w:sz w:val="17"/>
        </w:rPr>
        <w:t>Third party at risk of serious harm</w:t>
      </w:r>
    </w:p>
    <w:p>
      <w:pPr>
        <w:spacing w:before="0" w:after="0"/>
        <w:jc w:val="center"/>
      </w:pPr>
      <w:r>
        <w:rPr>
          <w:rFonts w:ascii="Segoe UI" w:hAnsi="Segoe UI"/>
          <w:b/>
          <w:i w:val="0"/>
          <w:color w:val="2B4C7E"/>
          <w:sz w:val="22"/>
        </w:rPr>
        <w:t>↓</w:t>
      </w:r>
    </w:p>
    <w:tbl>
      <w:tblPr>
        <w:tblW w:type="auto" w:w="0"/>
        <w:jc w:val="center"/>
        <w:tblLook w:firstColumn="1" w:firstRow="1" w:lastColumn="0" w:lastRow="0" w:noHBand="0" w:noVBand="1" w:val="04A0"/>
      </w:tblPr>
      <w:tblGrid>
        <w:gridCol w:w="9638"/>
      </w:tblGrid>
      <w:tr>
        <w:tc>
          <w:tcPr>
            <w:tcW w:type="dxa" w:w="8504"/>
            <w:tcBorders>
              <w:top w:val="single" w:sz="8" w:space="0" w:color="2B4C7E"/>
              <w:left w:val="single" w:sz="8" w:space="0" w:color="2B4C7E"/>
              <w:bottom w:val="single" w:sz="8" w:space="0" w:color="2B4C7E"/>
              <w:right w:val="single" w:sz="8" w:space="0" w:color="2B4C7E"/>
            </w:tcBorders>
            <w:shd w:val="clear" w:color="auto" w:fill="E8EEF7"/>
          </w:tcPr>
          <w:p>
            <w:pPr>
              <w:spacing w:before="20" w:after="20"/>
              <w:jc w:val="center"/>
            </w:pPr>
            <w:r>
              <w:rPr>
                <w:rFonts w:ascii="Segoe UI" w:hAnsi="Segoe UI"/>
                <w:b w:val="0"/>
                <w:i w:val="0"/>
                <w:color w:val="1B2330"/>
                <w:sz w:val="19"/>
              </w:rPr>
              <w:t>Weigh duty to protect vs confidentiality</w:t>
            </w:r>
          </w:p>
        </w:tc>
      </w:tr>
    </w:tbl>
    <w:p>
      <w:pPr>
        <w:spacing w:before="20" w:after="0"/>
        <w:jc w:val="center"/>
      </w:pPr>
      <w:r>
        <w:rPr>
          <w:rFonts w:ascii="Segoe UI" w:hAnsi="Segoe UI"/>
          <w:b w:val="0"/>
          <w:i/>
          <w:color w:val="4A5568"/>
          <w:sz w:val="17"/>
        </w:rPr>
        <w:t>Teaching / research / publication</w:t>
      </w:r>
    </w:p>
    <w:p>
      <w:pPr>
        <w:spacing w:before="0" w:after="0"/>
        <w:jc w:val="center"/>
      </w:pPr>
      <w:r>
        <w:rPr>
          <w:rFonts w:ascii="Segoe UI" w:hAnsi="Segoe UI"/>
          <w:b/>
          <w:i w:val="0"/>
          <w:color w:val="2B4C7E"/>
          <w:sz w:val="22"/>
        </w:rPr>
        <w:t>↓</w:t>
      </w:r>
    </w:p>
    <w:tbl>
      <w:tblPr>
        <w:tblW w:type="auto" w:w="0"/>
        <w:jc w:val="center"/>
        <w:tblLook w:firstColumn="1" w:firstRow="1" w:lastColumn="0" w:lastRow="0" w:noHBand="0" w:noVBand="1" w:val="04A0"/>
      </w:tblPr>
      <w:tblGrid>
        <w:gridCol w:w="9638"/>
      </w:tblGrid>
      <w:tr>
        <w:tc>
          <w:tcPr>
            <w:tcW w:type="dxa" w:w="8504"/>
            <w:tcBorders>
              <w:top w:val="single" w:sz="8" w:space="0" w:color="2B4C7E"/>
              <w:left w:val="single" w:sz="8" w:space="0" w:color="2B4C7E"/>
              <w:bottom w:val="single" w:sz="8" w:space="0" w:color="2B4C7E"/>
              <w:right w:val="single" w:sz="8" w:space="0" w:color="2B4C7E"/>
            </w:tcBorders>
            <w:shd w:val="clear" w:color="auto" w:fill="E8EEF7"/>
          </w:tcPr>
          <w:p>
            <w:pPr>
              <w:spacing w:before="20" w:after="20"/>
              <w:jc w:val="center"/>
            </w:pPr>
            <w:r>
              <w:rPr>
                <w:rFonts w:ascii="Segoe UI" w:hAnsi="Segoe UI"/>
                <w:b w:val="0"/>
                <w:i w:val="0"/>
                <w:color w:val="1B2330"/>
                <w:sz w:val="19"/>
              </w:rPr>
              <w:t>Separate specific consent; anonymise</w:t>
            </w:r>
          </w:p>
        </w:tc>
      </w:tr>
    </w:tbl>
    <w:p>
      <w:pPr>
        <w:spacing w:before="20" w:after="0"/>
        <w:jc w:val="center"/>
      </w:pPr>
      <w:r>
        <w:rPr>
          <w:rFonts w:ascii="Segoe UI" w:hAnsi="Segoe UI"/>
          <w:b w:val="0"/>
          <w:i/>
          <w:color w:val="4A5568"/>
          <w:sz w:val="17"/>
        </w:rPr>
        <w:t>No consent and no overriding duty</w:t>
      </w:r>
    </w:p>
    <w:p>
      <w:pPr>
        <w:spacing w:before="0" w:after="0"/>
        <w:jc w:val="center"/>
      </w:pPr>
      <w:r>
        <w:rPr>
          <w:rFonts w:ascii="Segoe UI" w:hAnsi="Segoe UI"/>
          <w:b/>
          <w:i w:val="0"/>
          <w:color w:val="2B4C7E"/>
          <w:sz w:val="22"/>
        </w:rPr>
        <w:t>↓</w:t>
      </w:r>
    </w:p>
    <w:tbl>
      <w:tblPr>
        <w:tblW w:type="auto" w:w="0"/>
        <w:jc w:val="center"/>
        <w:tblLook w:firstColumn="1" w:firstRow="1" w:lastColumn="0" w:lastRow="0" w:noHBand="0" w:noVBand="1" w:val="04A0"/>
      </w:tblPr>
      <w:tblGrid>
        <w:gridCol w:w="9638"/>
      </w:tblGrid>
      <w:tr>
        <w:tc>
          <w:tcPr>
            <w:tcW w:type="dxa" w:w="8504"/>
            <w:tcBorders>
              <w:top w:val="single" w:sz="8" w:space="0" w:color="2B4C7E"/>
              <w:left w:val="single" w:sz="8" w:space="0" w:color="2B4C7E"/>
              <w:bottom w:val="single" w:sz="8" w:space="0" w:color="2B4C7E"/>
              <w:right w:val="single" w:sz="8" w:space="0" w:color="2B4C7E"/>
            </w:tcBorders>
            <w:shd w:val="clear" w:color="auto" w:fill="E8EEF7"/>
          </w:tcPr>
          <w:p>
            <w:pPr>
              <w:spacing w:before="20" w:after="20"/>
              <w:jc w:val="center"/>
            </w:pPr>
            <w:r>
              <w:rPr>
                <w:rFonts w:ascii="Segoe UI" w:hAnsi="Segoe UI"/>
                <w:b w:val="0"/>
                <w:i w:val="0"/>
                <w:color w:val="1B2330"/>
                <w:sz w:val="19"/>
              </w:rPr>
              <w:t>Maintain confidentiality</w:t>
            </w:r>
          </w:p>
        </w:tc>
      </w:tr>
    </w:tbl>
    <w:p>
      <w:pPr>
        <w:spacing w:after="40"/>
      </w:pPr>
    </w:p>
    <w:tbl>
      <w:tblPr>
        <w:tblW w:type="auto" w:w="0"/>
        <w:jc w:val="center"/>
        <w:tblLook w:firstColumn="1" w:firstRow="1" w:lastColumn="0" w:lastRow="0" w:noHBand="0" w:noVBand="1" w:val="04A0"/>
      </w:tblPr>
      <w:tblGrid>
        <w:gridCol w:w="9638"/>
      </w:tblGrid>
      <w:tr>
        <w:tc>
          <w:tcPr>
            <w:tcW w:type="dxa" w:w="9411"/>
            <w:tcBorders>
              <w:top w:val="single" w:sz="8" w:space="0" w:color="C98A1B"/>
              <w:left w:val="single" w:sz="8" w:space="0" w:color="C98A1B"/>
              <w:bottom w:val="single" w:sz="8" w:space="0" w:color="C98A1B"/>
              <w:right w:val="single" w:sz="8" w:space="0" w:color="C98A1B"/>
            </w:tcBorders>
            <w:shd w:val="clear" w:color="auto" w:fill="FFF6E6"/>
          </w:tcPr>
          <w:p>
            <w:pPr>
              <w:spacing w:before="40" w:after="60"/>
            </w:pPr>
            <w:r>
              <w:rPr>
                <w:rFonts w:ascii="Segoe UI" w:hAnsi="Segoe UI"/>
                <w:b/>
                <w:i w:val="0"/>
                <w:color w:val="8A5A00"/>
                <w:sz w:val="21"/>
              </w:rPr>
              <w:t xml:space="preserve">Mnemonic: </w:t>
            </w:r>
            <w:r>
              <w:rPr>
                <w:rFonts w:ascii="Segoe UI" w:hAnsi="Segoe UI"/>
                <w:b/>
                <w:i w:val="0"/>
                <w:color w:val="C98A1B"/>
                <w:sz w:val="26"/>
              </w:rPr>
              <w:t>CARED</w:t>
            </w:r>
            <w:r>
              <w:rPr>
                <w:rFonts w:ascii="Segoe UI" w:hAnsi="Segoe UI"/>
                <w:b/>
                <w:i w:val="0"/>
                <w:color w:val="8A5A00"/>
                <w:sz w:val="21"/>
              </w:rPr>
              <w:t xml:space="preserve">  —  what the client is owed</w:t>
            </w:r>
          </w:p>
          <w:p>
            <w:pPr>
              <w:spacing w:before="0" w:after="20"/>
            </w:pPr>
            <w:r>
              <w:rPr>
                <w:rFonts w:ascii="Segoe UI" w:hAnsi="Segoe UI"/>
                <w:b/>
                <w:i w:val="0"/>
                <w:color w:val="C98A1B"/>
                <w:sz w:val="22"/>
              </w:rPr>
              <w:t xml:space="preserve">C  </w:t>
            </w:r>
            <w:r>
              <w:rPr>
                <w:rFonts w:ascii="Segoe UI" w:hAnsi="Segoe UI"/>
                <w:b/>
                <w:i w:val="0"/>
                <w:color w:val="1B2330"/>
                <w:sz w:val="19"/>
              </w:rPr>
              <w:t xml:space="preserve">Consent &amp; confidentiality — </w:t>
            </w:r>
            <w:r>
              <w:rPr>
                <w:rFonts w:ascii="Segoe UI" w:hAnsi="Segoe UI"/>
                <w:b w:val="0"/>
                <w:i w:val="0"/>
                <w:color w:val="4A5568"/>
                <w:sz w:val="19"/>
              </w:rPr>
              <w:t>informed consent; confidentiality</w:t>
            </w:r>
          </w:p>
          <w:p>
            <w:pPr>
              <w:spacing w:before="0" w:after="20"/>
            </w:pPr>
            <w:r>
              <w:rPr>
                <w:rFonts w:ascii="Segoe UI" w:hAnsi="Segoe UI"/>
                <w:b/>
                <w:i w:val="0"/>
                <w:color w:val="C98A1B"/>
                <w:sz w:val="22"/>
              </w:rPr>
              <w:t xml:space="preserve">A  </w:t>
            </w:r>
            <w:r>
              <w:rPr>
                <w:rFonts w:ascii="Segoe UI" w:hAnsi="Segoe UI"/>
                <w:b/>
                <w:i w:val="0"/>
                <w:color w:val="1B2330"/>
                <w:sz w:val="19"/>
              </w:rPr>
              <w:t xml:space="preserve">Autonomy — </w:t>
            </w:r>
            <w:r>
              <w:rPr>
                <w:rFonts w:ascii="Segoe UI" w:hAnsi="Segoe UI"/>
                <w:b w:val="0"/>
                <w:i w:val="0"/>
                <w:color w:val="4A5568"/>
                <w:sz w:val="19"/>
              </w:rPr>
              <w:t>self-determination; right to withdraw</w:t>
            </w:r>
          </w:p>
          <w:p>
            <w:pPr>
              <w:spacing w:before="0" w:after="20"/>
            </w:pPr>
            <w:r>
              <w:rPr>
                <w:rFonts w:ascii="Segoe UI" w:hAnsi="Segoe UI"/>
                <w:b/>
                <w:i w:val="0"/>
                <w:color w:val="C98A1B"/>
                <w:sz w:val="22"/>
              </w:rPr>
              <w:t xml:space="preserve">R  </w:t>
            </w:r>
            <w:r>
              <w:rPr>
                <w:rFonts w:ascii="Segoe UI" w:hAnsi="Segoe UI"/>
                <w:b/>
                <w:i w:val="0"/>
                <w:color w:val="1B2330"/>
                <w:sz w:val="19"/>
              </w:rPr>
              <w:t xml:space="preserve">Respect &amp; records — </w:t>
            </w:r>
            <w:r>
              <w:rPr>
                <w:rFonts w:ascii="Segoe UI" w:hAnsi="Segoe UI"/>
                <w:b w:val="0"/>
                <w:i w:val="0"/>
                <w:color w:val="4A5568"/>
                <w:sz w:val="19"/>
              </w:rPr>
              <w:t>dignity; access to own records</w:t>
            </w:r>
          </w:p>
          <w:p>
            <w:pPr>
              <w:spacing w:before="0" w:after="20"/>
            </w:pPr>
            <w:r>
              <w:rPr>
                <w:rFonts w:ascii="Segoe UI" w:hAnsi="Segoe UI"/>
                <w:b/>
                <w:i w:val="0"/>
                <w:color w:val="C98A1B"/>
                <w:sz w:val="22"/>
              </w:rPr>
              <w:t xml:space="preserve">E  </w:t>
            </w:r>
            <w:r>
              <w:rPr>
                <w:rFonts w:ascii="Segoe UI" w:hAnsi="Segoe UI"/>
                <w:b/>
                <w:i w:val="0"/>
                <w:color w:val="1B2330"/>
                <w:sz w:val="19"/>
              </w:rPr>
              <w:t xml:space="preserve">Equality — </w:t>
            </w:r>
            <w:r>
              <w:rPr>
                <w:rFonts w:ascii="Segoe UI" w:hAnsi="Segoe UI"/>
                <w:b w:val="0"/>
                <w:i w:val="0"/>
                <w:color w:val="4A5568"/>
                <w:sz w:val="19"/>
              </w:rPr>
              <w:t>non-discriminatory, competent care</w:t>
            </w:r>
          </w:p>
          <w:p>
            <w:pPr>
              <w:spacing w:before="0" w:after="20"/>
            </w:pPr>
            <w:r>
              <w:rPr>
                <w:rFonts w:ascii="Segoe UI" w:hAnsi="Segoe UI"/>
                <w:b/>
                <w:i w:val="0"/>
                <w:color w:val="C98A1B"/>
                <w:sz w:val="22"/>
              </w:rPr>
              <w:t xml:space="preserve">D  </w:t>
            </w:r>
            <w:r>
              <w:rPr>
                <w:rFonts w:ascii="Segoe UI" w:hAnsi="Segoe UI"/>
                <w:b/>
                <w:i w:val="0"/>
                <w:color w:val="1B2330"/>
                <w:sz w:val="19"/>
              </w:rPr>
              <w:t xml:space="preserve">Dignity &amp; safety — </w:t>
            </w:r>
            <w:r>
              <w:rPr>
                <w:rFonts w:ascii="Segoe UI" w:hAnsi="Segoe UI"/>
                <w:b w:val="0"/>
                <w:i w:val="0"/>
                <w:color w:val="4A5568"/>
                <w:sz w:val="19"/>
              </w:rPr>
              <w:t>privacy; no exploitation or harm</w:t>
            </w:r>
          </w:p>
        </w:tc>
      </w:tr>
    </w:tbl>
    <w:p>
      <w:pPr>
        <w:spacing w:after="40"/>
      </w:pPr>
    </w:p>
    <w:tbl>
      <w:tblPr>
        <w:tblW w:type="auto" w:w="0"/>
        <w:jc w:val="center"/>
        <w:tblLook w:firstColumn="1" w:firstRow="1" w:lastColumn="0" w:lastRow="0" w:noHBand="0" w:noVBand="1" w:val="04A0"/>
      </w:tblPr>
      <w:tblGrid>
        <w:gridCol w:w="9638"/>
      </w:tblGrid>
      <w:tr>
        <w:tc>
          <w:tcPr>
            <w:tcW w:type="dxa" w:w="9411"/>
            <w:tcBorders>
              <w:top w:val="single" w:sz="8" w:space="0" w:color="C98A1B"/>
              <w:left w:val="single" w:sz="8" w:space="0" w:color="C98A1B"/>
              <w:bottom w:val="single" w:sz="8" w:space="0" w:color="C98A1B"/>
              <w:right w:val="single" w:sz="8" w:space="0" w:color="C98A1B"/>
            </w:tcBorders>
            <w:shd w:val="clear" w:color="auto" w:fill="FFF6E6"/>
          </w:tcPr>
          <w:p>
            <w:pPr>
              <w:spacing w:before="40" w:after="60"/>
            </w:pPr>
            <w:r>
              <w:rPr>
                <w:rFonts w:ascii="Segoe UI" w:hAnsi="Segoe UI"/>
                <w:b/>
                <w:i w:val="0"/>
                <w:color w:val="8A5A00"/>
                <w:sz w:val="21"/>
              </w:rPr>
              <w:t xml:space="preserve">Mnemonic: </w:t>
            </w:r>
            <w:r>
              <w:rPr>
                <w:rFonts w:ascii="Segoe UI" w:hAnsi="Segoe UI"/>
                <w:b/>
                <w:i w:val="0"/>
                <w:color w:val="C98A1B"/>
                <w:sz w:val="26"/>
              </w:rPr>
              <w:t>PROTECT</w:t>
            </w:r>
            <w:r>
              <w:rPr>
                <w:rFonts w:ascii="Segoe UI" w:hAnsi="Segoe UI"/>
                <w:b/>
                <w:i w:val="0"/>
                <w:color w:val="8A5A00"/>
                <w:sz w:val="21"/>
              </w:rPr>
              <w:t xml:space="preserve">  —  what the therapist is responsible for</w:t>
            </w:r>
          </w:p>
          <w:p>
            <w:pPr>
              <w:spacing w:before="0" w:after="20"/>
            </w:pPr>
            <w:r>
              <w:rPr>
                <w:rFonts w:ascii="Segoe UI" w:hAnsi="Segoe UI"/>
                <w:b/>
                <w:i w:val="0"/>
                <w:color w:val="C98A1B"/>
                <w:sz w:val="22"/>
              </w:rPr>
              <w:t xml:space="preserve">P  </w:t>
            </w:r>
            <w:r>
              <w:rPr>
                <w:rFonts w:ascii="Segoe UI" w:hAnsi="Segoe UI"/>
                <w:b/>
                <w:i w:val="0"/>
                <w:color w:val="1B2330"/>
                <w:sz w:val="19"/>
              </w:rPr>
              <w:t xml:space="preserve">Practise competently — </w:t>
            </w:r>
            <w:r>
              <w:rPr>
                <w:rFonts w:ascii="Segoe UI" w:hAnsi="Segoe UI"/>
                <w:b w:val="0"/>
                <w:i w:val="0"/>
                <w:color w:val="4A5568"/>
                <w:sz w:val="19"/>
              </w:rPr>
              <w:t>within limits of training; refer when needed</w:t>
            </w:r>
          </w:p>
          <w:p>
            <w:pPr>
              <w:spacing w:before="0" w:after="20"/>
            </w:pPr>
            <w:r>
              <w:rPr>
                <w:rFonts w:ascii="Segoe UI" w:hAnsi="Segoe UI"/>
                <w:b/>
                <w:i w:val="0"/>
                <w:color w:val="C98A1B"/>
                <w:sz w:val="22"/>
              </w:rPr>
              <w:t xml:space="preserve">R  </w:t>
            </w:r>
            <w:r>
              <w:rPr>
                <w:rFonts w:ascii="Segoe UI" w:hAnsi="Segoe UI"/>
                <w:b/>
                <w:i w:val="0"/>
                <w:color w:val="1B2330"/>
                <w:sz w:val="19"/>
              </w:rPr>
              <w:t xml:space="preserve">Records — </w:t>
            </w:r>
            <w:r>
              <w:rPr>
                <w:rFonts w:ascii="Segoe UI" w:hAnsi="Segoe UI"/>
                <w:b w:val="0"/>
                <w:i w:val="0"/>
                <w:color w:val="4A5568"/>
                <w:sz w:val="19"/>
              </w:rPr>
              <w:t>accurate, secure record keeping</w:t>
            </w:r>
          </w:p>
          <w:p>
            <w:pPr>
              <w:spacing w:before="0" w:after="20"/>
            </w:pPr>
            <w:r>
              <w:rPr>
                <w:rFonts w:ascii="Segoe UI" w:hAnsi="Segoe UI"/>
                <w:b/>
                <w:i w:val="0"/>
                <w:color w:val="C98A1B"/>
                <w:sz w:val="22"/>
              </w:rPr>
              <w:t xml:space="preserve">O  </w:t>
            </w:r>
            <w:r>
              <w:rPr>
                <w:rFonts w:ascii="Segoe UI" w:hAnsi="Segoe UI"/>
                <w:b/>
                <w:i w:val="0"/>
                <w:color w:val="1B2330"/>
                <w:sz w:val="19"/>
              </w:rPr>
              <w:t xml:space="preserve">Obtain consent — </w:t>
            </w:r>
            <w:r>
              <w:rPr>
                <w:rFonts w:ascii="Segoe UI" w:hAnsi="Segoe UI"/>
                <w:b w:val="0"/>
                <w:i w:val="0"/>
                <w:color w:val="4A5568"/>
                <w:sz w:val="19"/>
              </w:rPr>
              <w:t>valid informed consent</w:t>
            </w:r>
          </w:p>
          <w:p>
            <w:pPr>
              <w:spacing w:before="0" w:after="20"/>
            </w:pPr>
            <w:r>
              <w:rPr>
                <w:rFonts w:ascii="Segoe UI" w:hAnsi="Segoe UI"/>
                <w:b/>
                <w:i w:val="0"/>
                <w:color w:val="C98A1B"/>
                <w:sz w:val="22"/>
              </w:rPr>
              <w:t xml:space="preserve">T  </w:t>
            </w:r>
            <w:r>
              <w:rPr>
                <w:rFonts w:ascii="Segoe UI" w:hAnsi="Segoe UI"/>
                <w:b/>
                <w:i w:val="0"/>
                <w:color w:val="1B2330"/>
                <w:sz w:val="19"/>
              </w:rPr>
              <w:t xml:space="preserve">Trust / confidentiality — </w:t>
            </w:r>
            <w:r>
              <w:rPr>
                <w:rFonts w:ascii="Segoe UI" w:hAnsi="Segoe UI"/>
                <w:b w:val="0"/>
                <w:i w:val="0"/>
                <w:color w:val="4A5568"/>
                <w:sz w:val="19"/>
              </w:rPr>
              <w:t>protect confidentiality and its limits</w:t>
            </w:r>
          </w:p>
          <w:p>
            <w:pPr>
              <w:spacing w:before="0" w:after="20"/>
            </w:pPr>
            <w:r>
              <w:rPr>
                <w:rFonts w:ascii="Segoe UI" w:hAnsi="Segoe UI"/>
                <w:b/>
                <w:i w:val="0"/>
                <w:color w:val="C98A1B"/>
                <w:sz w:val="22"/>
              </w:rPr>
              <w:t xml:space="preserve">E  </w:t>
            </w:r>
            <w:r>
              <w:rPr>
                <w:rFonts w:ascii="Segoe UI" w:hAnsi="Segoe UI"/>
                <w:b/>
                <w:i w:val="0"/>
                <w:color w:val="1B2330"/>
                <w:sz w:val="19"/>
              </w:rPr>
              <w:t xml:space="preserve">Ethical boundaries — </w:t>
            </w:r>
            <w:r>
              <w:rPr>
                <w:rFonts w:ascii="Segoe UI" w:hAnsi="Segoe UI"/>
                <w:b w:val="0"/>
                <w:i w:val="0"/>
                <w:color w:val="4A5568"/>
                <w:sz w:val="19"/>
              </w:rPr>
              <w:t>avoid dual relationships and exploitation</w:t>
            </w:r>
          </w:p>
          <w:p>
            <w:pPr>
              <w:spacing w:before="0" w:after="20"/>
            </w:pPr>
            <w:r>
              <w:rPr>
                <w:rFonts w:ascii="Segoe UI" w:hAnsi="Segoe UI"/>
                <w:b/>
                <w:i w:val="0"/>
                <w:color w:val="C98A1B"/>
                <w:sz w:val="22"/>
              </w:rPr>
              <w:t xml:space="preserve">C  </w:t>
            </w:r>
            <w:r>
              <w:rPr>
                <w:rFonts w:ascii="Segoe UI" w:hAnsi="Segoe UI"/>
                <w:b/>
                <w:i w:val="0"/>
                <w:color w:val="1B2330"/>
                <w:sz w:val="19"/>
              </w:rPr>
              <w:t xml:space="preserve">Continuity — </w:t>
            </w:r>
            <w:r>
              <w:rPr>
                <w:rFonts w:ascii="Segoe UI" w:hAnsi="Segoe UI"/>
                <w:b w:val="0"/>
                <w:i w:val="0"/>
                <w:color w:val="4A5568"/>
                <w:sz w:val="19"/>
              </w:rPr>
              <w:t>no abandonment; arrange referral / handover</w:t>
            </w:r>
          </w:p>
          <w:p>
            <w:pPr>
              <w:spacing w:before="0" w:after="20"/>
            </w:pPr>
            <w:r>
              <w:rPr>
                <w:rFonts w:ascii="Segoe UI" w:hAnsi="Segoe UI"/>
                <w:b/>
                <w:i w:val="0"/>
                <w:color w:val="C98A1B"/>
                <w:sz w:val="22"/>
              </w:rPr>
              <w:t xml:space="preserve">T  </w:t>
            </w:r>
            <w:r>
              <w:rPr>
                <w:rFonts w:ascii="Segoe UI" w:hAnsi="Segoe UI"/>
                <w:b/>
                <w:i w:val="0"/>
                <w:color w:val="1B2330"/>
                <w:sz w:val="19"/>
              </w:rPr>
              <w:t xml:space="preserve">Training kept up — </w:t>
            </w:r>
            <w:r>
              <w:rPr>
                <w:rFonts w:ascii="Segoe UI" w:hAnsi="Segoe UI"/>
                <w:b w:val="0"/>
                <w:i w:val="0"/>
                <w:color w:val="4A5568"/>
                <w:sz w:val="19"/>
              </w:rPr>
              <w:t>supervision, self-care, continuing education</w:t>
            </w:r>
          </w:p>
        </w:tc>
      </w:tr>
    </w:tbl>
    <w:p>
      <w:pPr>
        <w:spacing w:after="40"/>
      </w:pPr>
    </w:p>
    <w:p>
      <w:pPr>
        <w:pStyle w:val="Heading1"/>
        <w:pageBreakBefore/>
      </w:pPr>
      <w:r>
        <w:rPr>
          <w:rFonts w:ascii="Segoe UI" w:hAnsi="Segoe UI"/>
          <w:b/>
          <w:i w:val="0"/>
          <w:color w:val="2B4C7E"/>
          <w:sz w:val="30"/>
        </w:rPr>
        <w:t>6. Consent and Assent (Including Minors)</w:t>
      </w:r>
    </w:p>
    <w:p>
      <w:pPr>
        <w:spacing w:before="60" w:after="60"/>
      </w:pPr>
      <w:r>
        <w:rPr>
          <w:rFonts w:ascii="Calibri" w:hAnsi="Calibri"/>
          <w:b w:val="0"/>
          <w:i w:val="0"/>
          <w:color w:val="1B2330"/>
          <w:sz w:val="21"/>
        </w:rPr>
        <w:t>Informed consent is the client's voluntary agreement to assessment or therapy after receiving and understanding adequate information. Consent is a process, not a one-time signature.</w:t>
      </w:r>
    </w:p>
    <w:p>
      <w:pPr>
        <w:spacing w:before="180" w:after="40"/>
      </w:pPr>
      <w:r>
        <w:rPr>
          <w:rFonts w:ascii="Segoe UI" w:hAnsi="Segoe UI"/>
          <w:b/>
          <w:i w:val="0"/>
          <w:color w:val="1B2330"/>
          <w:sz w:val="23"/>
        </w:rPr>
        <w:t>The principle behind consent (secondary notes)</w:t>
      </w:r>
    </w:p>
    <w:p>
      <w:pPr>
        <w:pStyle w:val="ListBullet"/>
        <w:spacing w:before="0" w:after="40"/>
      </w:pPr>
      <w:r>
        <w:rPr>
          <w:rFonts w:ascii="Calibri" w:hAnsi="Calibri"/>
          <w:b w:val="0"/>
          <w:i w:val="0"/>
          <w:color w:val="1B2330"/>
          <w:sz w:val="21"/>
        </w:rPr>
        <w:t>The underpinning ethical principle is respect for autonomy: clients should be free to choose or refuse treatment for themselves.</w:t>
      </w:r>
    </w:p>
    <w:p>
      <w:pPr>
        <w:pStyle w:val="ListBullet"/>
        <w:spacing w:before="0" w:after="40"/>
      </w:pPr>
      <w:r>
        <w:rPr>
          <w:rFonts w:ascii="Calibri" w:hAnsi="Calibri"/>
          <w:b w:val="0"/>
          <w:i w:val="0"/>
          <w:color w:val="1B2330"/>
          <w:sz w:val="21"/>
        </w:rPr>
        <w:t>For consent to be legally valid it must be:</w:t>
      </w:r>
    </w:p>
    <w:p>
      <w:pPr>
        <w:pStyle w:val="ListBullet2"/>
        <w:spacing w:before="0" w:after="20"/>
      </w:pPr>
      <w:r>
        <w:rPr>
          <w:rFonts w:ascii="Calibri" w:hAnsi="Calibri"/>
          <w:b w:val="0"/>
          <w:i w:val="0"/>
          <w:color w:val="1B2330"/>
          <w:sz w:val="20"/>
        </w:rPr>
        <w:t>voluntary;</w:t>
      </w:r>
    </w:p>
    <w:p>
      <w:pPr>
        <w:pStyle w:val="ListBullet2"/>
        <w:spacing w:before="0" w:after="20"/>
      </w:pPr>
      <w:r>
        <w:rPr>
          <w:rFonts w:ascii="Calibri" w:hAnsi="Calibri"/>
          <w:b w:val="0"/>
          <w:i w:val="0"/>
          <w:color w:val="1B2330"/>
          <w:sz w:val="20"/>
        </w:rPr>
        <w:t>given by a client competent to make that decision;</w:t>
      </w:r>
    </w:p>
    <w:p>
      <w:pPr>
        <w:pStyle w:val="ListBullet2"/>
        <w:spacing w:before="0" w:after="20"/>
      </w:pPr>
      <w:r>
        <w:rPr>
          <w:rFonts w:ascii="Calibri" w:hAnsi="Calibri"/>
          <w:b w:val="0"/>
          <w:i w:val="0"/>
          <w:color w:val="1B2330"/>
          <w:sz w:val="20"/>
        </w:rPr>
        <w:t>adequately informed, including about possible negative side-effects.</w:t>
      </w:r>
    </w:p>
    <w:p>
      <w:pPr>
        <w:pStyle w:val="ListBullet"/>
        <w:spacing w:before="0" w:after="40"/>
      </w:pPr>
      <w:r>
        <w:rPr>
          <w:rFonts w:ascii="Calibri" w:hAnsi="Calibri"/>
          <w:b w:val="0"/>
          <w:i w:val="0"/>
          <w:color w:val="1B2330"/>
          <w:sz w:val="21"/>
        </w:rPr>
        <w:t>A specific difficulty in therapy: the therapist often cannot predict exactly what the client will experience or what the outcome will be, so it is good practice to warn that the process is not always comfortable and that many clients feel worse before they feel better (less so in CBT).</w:t>
      </w:r>
    </w:p>
    <w:p>
      <w:pPr>
        <w:spacing w:before="180" w:after="40"/>
      </w:pPr>
      <w:r>
        <w:rPr>
          <w:rFonts w:ascii="Segoe UI" w:hAnsi="Segoe UI"/>
          <w:b/>
          <w:i w:val="0"/>
          <w:color w:val="1B2330"/>
          <w:sz w:val="23"/>
        </w:rPr>
        <w:t>Elements of informed consent</w:t>
      </w:r>
    </w:p>
    <w:p>
      <w:pPr>
        <w:pStyle w:val="ListBullet"/>
        <w:spacing w:before="0" w:after="40"/>
      </w:pPr>
      <w:r>
        <w:rPr>
          <w:rFonts w:ascii="Calibri" w:hAnsi="Calibri"/>
          <w:b w:val="0"/>
          <w:i w:val="0"/>
          <w:color w:val="1B2330"/>
          <w:sz w:val="21"/>
        </w:rPr>
        <w:t>Capacity (competence): ability to understand, appreciate, reason and express a choice.</w:t>
      </w:r>
    </w:p>
    <w:p>
      <w:pPr>
        <w:pStyle w:val="ListBullet"/>
        <w:spacing w:before="0" w:after="40"/>
      </w:pPr>
      <w:r>
        <w:rPr>
          <w:rFonts w:ascii="Calibri" w:hAnsi="Calibri"/>
          <w:b w:val="0"/>
          <w:i w:val="0"/>
          <w:color w:val="1B2330"/>
          <w:sz w:val="21"/>
        </w:rPr>
        <w:t>Disclosure of information:</w:t>
      </w:r>
    </w:p>
    <w:p>
      <w:pPr>
        <w:pStyle w:val="ListBullet2"/>
        <w:spacing w:before="0" w:after="20"/>
      </w:pPr>
      <w:r>
        <w:rPr>
          <w:rFonts w:ascii="Calibri" w:hAnsi="Calibri"/>
          <w:b w:val="0"/>
          <w:i w:val="0"/>
          <w:color w:val="1B2330"/>
          <w:sz w:val="20"/>
        </w:rPr>
        <w:t>purpose and nature of therapy; methods; expected benefits;</w:t>
      </w:r>
    </w:p>
    <w:p>
      <w:pPr>
        <w:pStyle w:val="ListBullet2"/>
        <w:spacing w:before="0" w:after="20"/>
      </w:pPr>
      <w:r>
        <w:rPr>
          <w:rFonts w:ascii="Calibri" w:hAnsi="Calibri"/>
          <w:b w:val="0"/>
          <w:i w:val="0"/>
          <w:color w:val="1B2330"/>
          <w:sz w:val="20"/>
        </w:rPr>
        <w:t>possible risks and discomfort; alternatives (including no treatment);</w:t>
      </w:r>
    </w:p>
    <w:p>
      <w:pPr>
        <w:pStyle w:val="ListBullet2"/>
        <w:spacing w:before="0" w:after="20"/>
      </w:pPr>
      <w:r>
        <w:rPr>
          <w:rFonts w:ascii="Calibri" w:hAnsi="Calibri"/>
          <w:b w:val="0"/>
          <w:i w:val="0"/>
          <w:color w:val="1B2330"/>
          <w:sz w:val="20"/>
        </w:rPr>
        <w:t>duration; fees; confidentiality and its limits;</w:t>
      </w:r>
    </w:p>
    <w:p>
      <w:pPr>
        <w:pStyle w:val="ListBullet2"/>
        <w:spacing w:before="0" w:after="20"/>
      </w:pPr>
      <w:r>
        <w:rPr>
          <w:rFonts w:ascii="Calibri" w:hAnsi="Calibri"/>
          <w:b w:val="0"/>
          <w:i w:val="0"/>
          <w:color w:val="1B2330"/>
          <w:sz w:val="20"/>
        </w:rPr>
        <w:t>recording / observation; supervision; therapist's qualifications;</w:t>
      </w:r>
    </w:p>
    <w:p>
      <w:pPr>
        <w:pStyle w:val="ListBullet2"/>
        <w:spacing w:before="0" w:after="20"/>
      </w:pPr>
      <w:r>
        <w:rPr>
          <w:rFonts w:ascii="Calibri" w:hAnsi="Calibri"/>
          <w:b w:val="0"/>
          <w:i w:val="0"/>
          <w:color w:val="1B2330"/>
          <w:sz w:val="20"/>
        </w:rPr>
        <w:t>the right to withdraw without penalty.</w:t>
      </w:r>
    </w:p>
    <w:p>
      <w:pPr>
        <w:pStyle w:val="ListBullet"/>
        <w:spacing w:before="0" w:after="40"/>
      </w:pPr>
      <w:r>
        <w:rPr>
          <w:rFonts w:ascii="Calibri" w:hAnsi="Calibri"/>
          <w:b w:val="0"/>
          <w:i w:val="0"/>
          <w:color w:val="1B2330"/>
          <w:sz w:val="21"/>
        </w:rPr>
        <w:t>Comprehension: simple, understandable language; check understanding.</w:t>
      </w:r>
    </w:p>
    <w:p>
      <w:pPr>
        <w:pStyle w:val="ListBullet"/>
        <w:spacing w:before="0" w:after="40"/>
      </w:pPr>
      <w:r>
        <w:rPr>
          <w:rFonts w:ascii="Calibri" w:hAnsi="Calibri"/>
          <w:b w:val="0"/>
          <w:i w:val="0"/>
          <w:color w:val="1B2330"/>
          <w:sz w:val="21"/>
        </w:rPr>
        <w:t>Voluntariness: free from coercion or undue pressure.</w:t>
      </w:r>
    </w:p>
    <w:p>
      <w:pPr>
        <w:pStyle w:val="ListBullet"/>
        <w:spacing w:before="0" w:after="40"/>
      </w:pPr>
      <w:r>
        <w:rPr>
          <w:rFonts w:ascii="Calibri" w:hAnsi="Calibri"/>
          <w:b w:val="0"/>
          <w:i w:val="0"/>
          <w:color w:val="1B2330"/>
          <w:sz w:val="21"/>
        </w:rPr>
        <w:t>Documentation: written (or recorded) consent, revisited when the plan changes.</w:t>
      </w:r>
    </w:p>
    <w:p>
      <w:pPr>
        <w:spacing w:before="180" w:after="40"/>
      </w:pPr>
      <w:r>
        <w:rPr>
          <w:rFonts w:ascii="Segoe UI" w:hAnsi="Segoe UI"/>
          <w:b/>
          <w:i w:val="0"/>
          <w:color w:val="1B2330"/>
          <w:sz w:val="23"/>
        </w:rPr>
        <w:t>Special issues</w:t>
      </w:r>
    </w:p>
    <w:p>
      <w:pPr>
        <w:pStyle w:val="ListBullet"/>
        <w:spacing w:before="0" w:after="40"/>
      </w:pPr>
      <w:r>
        <w:rPr>
          <w:rFonts w:ascii="Calibri" w:hAnsi="Calibri"/>
          <w:b w:val="0"/>
          <w:i w:val="0"/>
          <w:color w:val="1B2330"/>
          <w:sz w:val="21"/>
        </w:rPr>
        <w:t>Minors (&lt;18 years in India):</w:t>
      </w:r>
    </w:p>
    <w:p>
      <w:pPr>
        <w:pStyle w:val="ListBullet2"/>
        <w:spacing w:before="0" w:after="20"/>
      </w:pPr>
      <w:r>
        <w:rPr>
          <w:rFonts w:ascii="Calibri" w:hAnsi="Calibri"/>
          <w:b w:val="0"/>
          <w:i w:val="0"/>
          <w:color w:val="1B2330"/>
          <w:sz w:val="20"/>
        </w:rPr>
        <w:t>Legal consent comes from the parent or legal guardian.</w:t>
      </w:r>
    </w:p>
    <w:p>
      <w:pPr>
        <w:pStyle w:val="ListBullet2"/>
        <w:spacing w:before="0" w:after="20"/>
      </w:pPr>
      <w:r>
        <w:rPr>
          <w:rFonts w:ascii="Calibri" w:hAnsi="Calibri"/>
          <w:b w:val="0"/>
          <w:i w:val="0"/>
          <w:color w:val="1B2330"/>
          <w:sz w:val="20"/>
        </w:rPr>
        <w:t>The child's assent (affirmative, informed agreement to the extent of the child's developing capacity) is also sought.</w:t>
      </w:r>
    </w:p>
    <w:p>
      <w:pPr>
        <w:pStyle w:val="ListBullet2"/>
        <w:spacing w:before="0" w:after="20"/>
      </w:pPr>
      <w:r>
        <w:rPr>
          <w:rFonts w:ascii="Calibri" w:hAnsi="Calibri"/>
          <w:b w:val="0"/>
          <w:i w:val="0"/>
          <w:color w:val="1B2330"/>
          <w:sz w:val="20"/>
        </w:rPr>
        <w:t>Assent respects autonomy, increases cooperation and strengthens the alliance.</w:t>
      </w:r>
    </w:p>
    <w:p>
      <w:pPr>
        <w:pStyle w:val="ListBullet2"/>
        <w:spacing w:before="0" w:after="20"/>
      </w:pPr>
      <w:r>
        <w:rPr>
          <w:rFonts w:ascii="Calibri" w:hAnsi="Calibri"/>
          <w:b w:val="0"/>
          <w:i w:val="0"/>
          <w:color w:val="1B2330"/>
          <w:sz w:val="20"/>
        </w:rPr>
        <w:t>Guidelines (for example ICMR 2017) generally require assent for children roughly 7-18 years, with simpler language for younger children and more weight to the wishes of older, mature adolescents.</w:t>
      </w:r>
    </w:p>
    <w:p>
      <w:pPr>
        <w:pStyle w:val="ListBullet2"/>
        <w:spacing w:before="0" w:after="20"/>
      </w:pPr>
      <w:r>
        <w:rPr>
          <w:rFonts w:ascii="Calibri" w:hAnsi="Calibri"/>
          <w:b w:val="0"/>
          <w:i w:val="0"/>
          <w:color w:val="1B2330"/>
          <w:sz w:val="20"/>
        </w:rPr>
        <w:t>If a child refuses, explore concerns and, unless safety requires otherwise, respect it.</w:t>
      </w:r>
    </w:p>
    <w:p>
      <w:pPr>
        <w:pStyle w:val="ListBullet"/>
        <w:spacing w:before="0" w:after="40"/>
      </w:pPr>
      <w:r>
        <w:rPr>
          <w:rFonts w:ascii="Calibri" w:hAnsi="Calibri"/>
          <w:b w:val="0"/>
          <w:i w:val="0"/>
          <w:color w:val="1B2330"/>
          <w:sz w:val="21"/>
        </w:rPr>
        <w:t>Adults lacking capacity: involve the nominated representative / legal guardian under MHCA 2017; still seek the person's views; use the least restrictive approach.</w:t>
      </w:r>
    </w:p>
    <w:p>
      <w:pPr>
        <w:pStyle w:val="ListBullet"/>
        <w:spacing w:before="0" w:after="40"/>
      </w:pPr>
      <w:r>
        <w:rPr>
          <w:rFonts w:ascii="Calibri" w:hAnsi="Calibri"/>
          <w:b w:val="0"/>
          <w:i w:val="0"/>
          <w:color w:val="1B2330"/>
          <w:sz w:val="21"/>
        </w:rPr>
        <w:t>Separate, specific consent for recording, observation, supervision, research or publication; case material is anonymised.</w:t>
      </w:r>
    </w:p>
    <w:p>
      <w:pPr>
        <w:pStyle w:val="ListBullet"/>
        <w:spacing w:before="0" w:after="40"/>
      </w:pPr>
      <w:r>
        <w:rPr>
          <w:rFonts w:ascii="Calibri" w:hAnsi="Calibri"/>
          <w:b w:val="0"/>
          <w:i w:val="0"/>
          <w:color w:val="1B2330"/>
          <w:sz w:val="21"/>
        </w:rPr>
        <w:t>Emergency (immediate risk to life) can justify action without full consent, with documentation.</w:t>
      </w:r>
    </w:p>
    <w:p>
      <w:pPr>
        <w:pStyle w:val="ListBullet"/>
        <w:spacing w:before="0" w:after="40"/>
      </w:pPr>
      <w:r>
        <w:rPr>
          <w:rFonts w:ascii="Calibri" w:hAnsi="Calibri"/>
          <w:b w:val="0"/>
          <w:i w:val="0"/>
          <w:color w:val="1B2330"/>
          <w:sz w:val="21"/>
        </w:rPr>
        <w:t>Cultural context: family involvement is common in collectivist settings; still ensure the client's own consent and confidentiality.</w:t>
      </w:r>
    </w:p>
    <w:p>
      <w:pPr>
        <w:spacing w:before="180" w:after="40"/>
      </w:pPr>
      <w:r>
        <w:rPr>
          <w:rFonts w:ascii="Segoe UI" w:hAnsi="Segoe UI"/>
          <w:b/>
          <w:i w:val="0"/>
          <w:color w:val="1B2330"/>
          <w:sz w:val="23"/>
        </w:rPr>
        <w:t>Capacity and voluntariness can fluctuate (secondary notes)</w:t>
      </w:r>
    </w:p>
    <w:p>
      <w:pPr>
        <w:pStyle w:val="ListBullet"/>
        <w:spacing w:before="0" w:after="40"/>
      </w:pPr>
      <w:r>
        <w:rPr>
          <w:rFonts w:ascii="Calibri" w:hAnsi="Calibri"/>
          <w:b w:val="0"/>
          <w:i w:val="0"/>
          <w:color w:val="1B2330"/>
          <w:sz w:val="21"/>
        </w:rPr>
        <w:t>The problem is usually not a global loss of competence but fluctuating capacity or rapidly changing decisions (e.g. recent trauma or bereavement, psychotic symptoms).</w:t>
      </w:r>
    </w:p>
    <w:p>
      <w:pPr>
        <w:pStyle w:val="ListBullet"/>
        <w:spacing w:before="0" w:after="40"/>
      </w:pPr>
      <w:r>
        <w:rPr>
          <w:rFonts w:ascii="Calibri" w:hAnsi="Calibri"/>
          <w:b w:val="0"/>
          <w:i w:val="0"/>
          <w:color w:val="1B2330"/>
          <w:sz w:val="21"/>
        </w:rPr>
        <w:t>A child who agreed to therapy one day and refuses the next may be making an informed refusal — or showing that the work has begun; this needs careful judgement.</w:t>
      </w:r>
    </w:p>
    <w:p>
      <w:pPr>
        <w:pStyle w:val="ListBullet"/>
        <w:spacing w:before="0" w:after="40"/>
      </w:pPr>
      <w:r>
        <w:rPr>
          <w:rFonts w:ascii="Calibri" w:hAnsi="Calibri"/>
          <w:b w:val="0"/>
          <w:i w:val="0"/>
          <w:color w:val="1B2330"/>
          <w:sz w:val="21"/>
        </w:rPr>
        <w:t>Voluntariness is strained when clients are pressured or "coerced":</w:t>
      </w:r>
    </w:p>
    <w:p>
      <w:pPr>
        <w:pStyle w:val="ListBullet2"/>
        <w:spacing w:before="0" w:after="20"/>
      </w:pPr>
      <w:r>
        <w:rPr>
          <w:rFonts w:ascii="Calibri" w:hAnsi="Calibri"/>
          <w:b w:val="0"/>
          <w:i w:val="0"/>
          <w:color w:val="1B2330"/>
          <w:sz w:val="20"/>
        </w:rPr>
        <w:t>family-pushed children or family members who agree only under pressure;</w:t>
      </w:r>
    </w:p>
    <w:p>
      <w:pPr>
        <w:pStyle w:val="ListBullet2"/>
        <w:spacing w:before="0" w:after="20"/>
      </w:pPr>
      <w:r>
        <w:rPr>
          <w:rFonts w:ascii="Calibri" w:hAnsi="Calibri"/>
          <w:b w:val="0"/>
          <w:i w:val="0"/>
          <w:color w:val="1B2330"/>
          <w:sz w:val="20"/>
        </w:rPr>
        <w:t>mandated / forensic clients (therapy as an alternative to prison or part of detention) — handled openly as part of the work from the start.</w:t>
      </w:r>
    </w:p>
    <w:p>
      <w:pPr>
        <w:spacing w:before="160" w:after="40"/>
      </w:pPr>
      <w:r>
        <w:rPr>
          <w:rFonts w:ascii="Segoe UI" w:hAnsi="Segoe UI"/>
          <w:b/>
          <w:i w:val="0"/>
          <w:color w:val="2B4C7E"/>
          <w:sz w:val="21"/>
        </w:rPr>
        <w:t>Flow chart: Consent and assent decision flow</w:t>
      </w:r>
    </w:p>
    <w:tbl>
      <w:tblPr>
        <w:tblW w:type="auto" w:w="0"/>
        <w:jc w:val="center"/>
        <w:tblLook w:firstColumn="1" w:firstRow="1" w:lastColumn="0" w:lastRow="0" w:noHBand="0" w:noVBand="1" w:val="04A0"/>
      </w:tblPr>
      <w:tblGrid>
        <w:gridCol w:w="9638"/>
      </w:tblGrid>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Is the client an adult with capacity?</w:t>
            </w:r>
          </w:p>
        </w:tc>
      </w:tr>
      <w:tr>
        <w:tc>
          <w:tcPr>
            <w:tcW w:type="dxa" w:w="8504"/>
          </w:tcPr>
          <w:p>
            <w:pPr>
              <w:spacing w:before="20" w:after="20"/>
              <w:jc w:val="center"/>
            </w:pPr>
            <w:r>
              <w:rPr>
                <w:rFonts w:ascii="Segoe UI" w:hAnsi="Segoe UI"/>
                <w:b/>
                <w:i w:val="0"/>
                <w:color w:val="2B4C7E"/>
                <w:sz w:val="26"/>
              </w:rPr>
              <w:t>↓</w:t>
            </w:r>
          </w:p>
        </w:tc>
      </w:tr>
    </w:tbl>
    <w:p>
      <w:pPr>
        <w:spacing w:before="20" w:after="0"/>
        <w:jc w:val="center"/>
      </w:pPr>
      <w:r>
        <w:rPr>
          <w:rFonts w:ascii="Segoe UI" w:hAnsi="Segoe UI"/>
          <w:b w:val="0"/>
          <w:i/>
          <w:color w:val="4A5568"/>
          <w:sz w:val="17"/>
        </w:rPr>
        <w:t>Adult, has capacity</w:t>
      </w:r>
    </w:p>
    <w:p>
      <w:pPr>
        <w:spacing w:before="0" w:after="0"/>
        <w:jc w:val="center"/>
      </w:pPr>
      <w:r>
        <w:rPr>
          <w:rFonts w:ascii="Segoe UI" w:hAnsi="Segoe UI"/>
          <w:b/>
          <w:i w:val="0"/>
          <w:color w:val="2B4C7E"/>
          <w:sz w:val="22"/>
        </w:rPr>
        <w:t>↓</w:t>
      </w:r>
    </w:p>
    <w:tbl>
      <w:tblPr>
        <w:tblW w:type="auto" w:w="0"/>
        <w:jc w:val="center"/>
        <w:tblLook w:firstColumn="1" w:firstRow="1" w:lastColumn="0" w:lastRow="0" w:noHBand="0" w:noVBand="1" w:val="04A0"/>
      </w:tblPr>
      <w:tblGrid>
        <w:gridCol w:w="9638"/>
      </w:tblGrid>
      <w:tr>
        <w:tc>
          <w:tcPr>
            <w:tcW w:type="dxa" w:w="8504"/>
            <w:tcBorders>
              <w:top w:val="single" w:sz="8" w:space="0" w:color="2B4C7E"/>
              <w:left w:val="single" w:sz="8" w:space="0" w:color="2B4C7E"/>
              <w:bottom w:val="single" w:sz="8" w:space="0" w:color="2B4C7E"/>
              <w:right w:val="single" w:sz="8" w:space="0" w:color="2B4C7E"/>
            </w:tcBorders>
            <w:shd w:val="clear" w:color="auto" w:fill="E8EEF7"/>
          </w:tcPr>
          <w:p>
            <w:pPr>
              <w:spacing w:before="20" w:after="20"/>
              <w:jc w:val="center"/>
            </w:pPr>
            <w:r>
              <w:rPr>
                <w:rFonts w:ascii="Segoe UI" w:hAnsi="Segoe UI"/>
                <w:b w:val="0"/>
                <w:i w:val="0"/>
                <w:color w:val="1B2330"/>
                <w:sz w:val="19"/>
              </w:rPr>
              <w:t>Informed consent from the client</w:t>
            </w:r>
          </w:p>
        </w:tc>
      </w:tr>
    </w:tbl>
    <w:p>
      <w:pPr>
        <w:spacing w:before="20" w:after="0"/>
        <w:jc w:val="center"/>
      </w:pPr>
      <w:r>
        <w:rPr>
          <w:rFonts w:ascii="Segoe UI" w:hAnsi="Segoe UI"/>
          <w:b w:val="0"/>
          <w:i/>
          <w:color w:val="4A5568"/>
          <w:sz w:val="17"/>
        </w:rPr>
        <w:t>Minor (&lt;18)</w:t>
      </w:r>
    </w:p>
    <w:p>
      <w:pPr>
        <w:spacing w:before="0" w:after="0"/>
        <w:jc w:val="center"/>
      </w:pPr>
      <w:r>
        <w:rPr>
          <w:rFonts w:ascii="Segoe UI" w:hAnsi="Segoe UI"/>
          <w:b/>
          <w:i w:val="0"/>
          <w:color w:val="2B4C7E"/>
          <w:sz w:val="22"/>
        </w:rPr>
        <w:t>↓</w:t>
      </w:r>
    </w:p>
    <w:tbl>
      <w:tblPr>
        <w:tblW w:type="auto" w:w="0"/>
        <w:jc w:val="center"/>
        <w:tblLook w:firstColumn="1" w:firstRow="1" w:lastColumn="0" w:lastRow="0" w:noHBand="0" w:noVBand="1" w:val="04A0"/>
      </w:tblPr>
      <w:tblGrid>
        <w:gridCol w:w="9638"/>
      </w:tblGrid>
      <w:tr>
        <w:tc>
          <w:tcPr>
            <w:tcW w:type="dxa" w:w="8504"/>
            <w:tcBorders>
              <w:top w:val="single" w:sz="8" w:space="0" w:color="2B4C7E"/>
              <w:left w:val="single" w:sz="8" w:space="0" w:color="2B4C7E"/>
              <w:bottom w:val="single" w:sz="8" w:space="0" w:color="2B4C7E"/>
              <w:right w:val="single" w:sz="8" w:space="0" w:color="2B4C7E"/>
            </w:tcBorders>
            <w:shd w:val="clear" w:color="auto" w:fill="E8EEF7"/>
          </w:tcPr>
          <w:p>
            <w:pPr>
              <w:spacing w:before="20" w:after="20"/>
              <w:jc w:val="center"/>
            </w:pPr>
            <w:r>
              <w:rPr>
                <w:rFonts w:ascii="Segoe UI" w:hAnsi="Segoe UI"/>
                <w:b w:val="0"/>
                <w:i w:val="0"/>
                <w:color w:val="1B2330"/>
                <w:sz w:val="19"/>
              </w:rPr>
              <w:t>Guardian consent + child's assent</w:t>
            </w:r>
          </w:p>
        </w:tc>
      </w:tr>
    </w:tbl>
    <w:p>
      <w:pPr>
        <w:spacing w:before="20" w:after="0"/>
        <w:jc w:val="center"/>
      </w:pPr>
      <w:r>
        <w:rPr>
          <w:rFonts w:ascii="Segoe UI" w:hAnsi="Segoe UI"/>
          <w:b w:val="0"/>
          <w:i/>
          <w:color w:val="4A5568"/>
          <w:sz w:val="17"/>
        </w:rPr>
        <w:t>Adult lacking capacity</w:t>
      </w:r>
    </w:p>
    <w:p>
      <w:pPr>
        <w:spacing w:before="0" w:after="0"/>
        <w:jc w:val="center"/>
      </w:pPr>
      <w:r>
        <w:rPr>
          <w:rFonts w:ascii="Segoe UI" w:hAnsi="Segoe UI"/>
          <w:b/>
          <w:i w:val="0"/>
          <w:color w:val="2B4C7E"/>
          <w:sz w:val="22"/>
        </w:rPr>
        <w:t>↓</w:t>
      </w:r>
    </w:p>
    <w:tbl>
      <w:tblPr>
        <w:tblW w:type="auto" w:w="0"/>
        <w:jc w:val="center"/>
        <w:tblLook w:firstColumn="1" w:firstRow="1" w:lastColumn="0" w:lastRow="0" w:noHBand="0" w:noVBand="1" w:val="04A0"/>
      </w:tblPr>
      <w:tblGrid>
        <w:gridCol w:w="9638"/>
      </w:tblGrid>
      <w:tr>
        <w:tc>
          <w:tcPr>
            <w:tcW w:type="dxa" w:w="8504"/>
            <w:tcBorders>
              <w:top w:val="single" w:sz="8" w:space="0" w:color="2B4C7E"/>
              <w:left w:val="single" w:sz="8" w:space="0" w:color="2B4C7E"/>
              <w:bottom w:val="single" w:sz="8" w:space="0" w:color="2B4C7E"/>
              <w:right w:val="single" w:sz="8" w:space="0" w:color="2B4C7E"/>
            </w:tcBorders>
            <w:shd w:val="clear" w:color="auto" w:fill="E8EEF7"/>
          </w:tcPr>
          <w:p>
            <w:pPr>
              <w:spacing w:before="20" w:after="20"/>
              <w:jc w:val="center"/>
            </w:pPr>
            <w:r>
              <w:rPr>
                <w:rFonts w:ascii="Segoe UI" w:hAnsi="Segoe UI"/>
                <w:b w:val="0"/>
                <w:i w:val="0"/>
                <w:color w:val="1B2330"/>
                <w:sz w:val="19"/>
              </w:rPr>
              <w:t>Nominated representative (MHCA) + seek the person's views</w:t>
            </w:r>
          </w:p>
        </w:tc>
      </w:tr>
    </w:tbl>
    <w:p>
      <w:pPr>
        <w:spacing w:before="20" w:after="0"/>
        <w:jc w:val="center"/>
      </w:pPr>
      <w:r>
        <w:rPr>
          <w:rFonts w:ascii="Segoe UI" w:hAnsi="Segoe UI"/>
          <w:b w:val="0"/>
          <w:i/>
          <w:color w:val="4A5568"/>
          <w:sz w:val="17"/>
        </w:rPr>
        <w:t>Emergency, risk to life</w:t>
      </w:r>
    </w:p>
    <w:p>
      <w:pPr>
        <w:spacing w:before="0" w:after="0"/>
        <w:jc w:val="center"/>
      </w:pPr>
      <w:r>
        <w:rPr>
          <w:rFonts w:ascii="Segoe UI" w:hAnsi="Segoe UI"/>
          <w:b/>
          <w:i w:val="0"/>
          <w:color w:val="2B4C7E"/>
          <w:sz w:val="22"/>
        </w:rPr>
        <w:t>↓</w:t>
      </w:r>
    </w:p>
    <w:tbl>
      <w:tblPr>
        <w:tblW w:type="auto" w:w="0"/>
        <w:jc w:val="center"/>
        <w:tblLook w:firstColumn="1" w:firstRow="1" w:lastColumn="0" w:lastRow="0" w:noHBand="0" w:noVBand="1" w:val="04A0"/>
      </w:tblPr>
      <w:tblGrid>
        <w:gridCol w:w="9638"/>
      </w:tblGrid>
      <w:tr>
        <w:tc>
          <w:tcPr>
            <w:tcW w:type="dxa" w:w="8504"/>
            <w:tcBorders>
              <w:top w:val="single" w:sz="8" w:space="0" w:color="2B4C7E"/>
              <w:left w:val="single" w:sz="8" w:space="0" w:color="2B4C7E"/>
              <w:bottom w:val="single" w:sz="8" w:space="0" w:color="2B4C7E"/>
              <w:right w:val="single" w:sz="8" w:space="0" w:color="2B4C7E"/>
            </w:tcBorders>
            <w:shd w:val="clear" w:color="auto" w:fill="E8EEF7"/>
          </w:tcPr>
          <w:p>
            <w:pPr>
              <w:spacing w:before="20" w:after="20"/>
              <w:jc w:val="center"/>
            </w:pPr>
            <w:r>
              <w:rPr>
                <w:rFonts w:ascii="Segoe UI" w:hAnsi="Segoe UI"/>
                <w:b w:val="0"/>
                <w:i w:val="0"/>
                <w:color w:val="1B2330"/>
                <w:sz w:val="19"/>
              </w:rPr>
              <w:t>Act in best interests; document; obtain consent as soon as possible</w:t>
            </w:r>
          </w:p>
        </w:tc>
      </w:tr>
    </w:tbl>
    <w:p>
      <w:pPr>
        <w:spacing w:before="20" w:after="0"/>
        <w:jc w:val="center"/>
      </w:pPr>
      <w:r>
        <w:rPr>
          <w:rFonts w:ascii="Segoe UI" w:hAnsi="Segoe UI"/>
          <w:b w:val="0"/>
          <w:i/>
          <w:color w:val="4A5568"/>
          <w:sz w:val="17"/>
        </w:rPr>
        <w:t>Refusal by a minor</w:t>
      </w:r>
    </w:p>
    <w:p>
      <w:pPr>
        <w:spacing w:before="0" w:after="0"/>
        <w:jc w:val="center"/>
      </w:pPr>
      <w:r>
        <w:rPr>
          <w:rFonts w:ascii="Segoe UI" w:hAnsi="Segoe UI"/>
          <w:b/>
          <w:i w:val="0"/>
          <w:color w:val="2B4C7E"/>
          <w:sz w:val="22"/>
        </w:rPr>
        <w:t>↓</w:t>
      </w:r>
    </w:p>
    <w:tbl>
      <w:tblPr>
        <w:tblW w:type="auto" w:w="0"/>
        <w:jc w:val="center"/>
        <w:tblLook w:firstColumn="1" w:firstRow="1" w:lastColumn="0" w:lastRow="0" w:noHBand="0" w:noVBand="1" w:val="04A0"/>
      </w:tblPr>
      <w:tblGrid>
        <w:gridCol w:w="9638"/>
      </w:tblGrid>
      <w:tr>
        <w:tc>
          <w:tcPr>
            <w:tcW w:type="dxa" w:w="8504"/>
            <w:tcBorders>
              <w:top w:val="single" w:sz="8" w:space="0" w:color="2B4C7E"/>
              <w:left w:val="single" w:sz="8" w:space="0" w:color="2B4C7E"/>
              <w:bottom w:val="single" w:sz="8" w:space="0" w:color="2B4C7E"/>
              <w:right w:val="single" w:sz="8" w:space="0" w:color="2B4C7E"/>
            </w:tcBorders>
            <w:shd w:val="clear" w:color="auto" w:fill="E8EEF7"/>
          </w:tcPr>
          <w:p>
            <w:pPr>
              <w:spacing w:before="20" w:after="20"/>
              <w:jc w:val="center"/>
            </w:pPr>
            <w:r>
              <w:rPr>
                <w:rFonts w:ascii="Segoe UI" w:hAnsi="Segoe UI"/>
                <w:b w:val="0"/>
                <w:i w:val="0"/>
                <w:color w:val="1B2330"/>
                <w:sz w:val="19"/>
              </w:rPr>
              <w:t>Explore concerns; respect unless safety requires otherwise</w:t>
            </w:r>
          </w:p>
        </w:tc>
      </w:tr>
    </w:tbl>
    <w:p>
      <w:pPr>
        <w:spacing w:after="40"/>
      </w:pPr>
    </w:p>
    <w:tbl>
      <w:tblPr>
        <w:tblW w:type="auto" w:w="0"/>
        <w:jc w:val="center"/>
        <w:tblLook w:firstColumn="1" w:firstRow="1" w:lastColumn="0" w:lastRow="0" w:noHBand="0" w:noVBand="1" w:val="04A0"/>
      </w:tblPr>
      <w:tblGrid>
        <w:gridCol w:w="9638"/>
      </w:tblGrid>
      <w:tr>
        <w:tc>
          <w:tcPr>
            <w:tcW w:type="dxa" w:w="9411"/>
            <w:tcBorders>
              <w:top w:val="single" w:sz="8" w:space="0" w:color="C98A1B"/>
              <w:left w:val="single" w:sz="8" w:space="0" w:color="C98A1B"/>
              <w:bottom w:val="single" w:sz="8" w:space="0" w:color="C98A1B"/>
              <w:right w:val="single" w:sz="8" w:space="0" w:color="C98A1B"/>
            </w:tcBorders>
            <w:shd w:val="clear" w:color="auto" w:fill="FFF6E6"/>
          </w:tcPr>
          <w:p>
            <w:pPr>
              <w:spacing w:before="40" w:after="60"/>
            </w:pPr>
            <w:r>
              <w:rPr>
                <w:rFonts w:ascii="Segoe UI" w:hAnsi="Segoe UI"/>
                <w:b/>
                <w:i w:val="0"/>
                <w:color w:val="8A5A00"/>
                <w:sz w:val="21"/>
              </w:rPr>
              <w:t xml:space="preserve">Mnemonic: </w:t>
            </w:r>
            <w:r>
              <w:rPr>
                <w:rFonts w:ascii="Segoe UI" w:hAnsi="Segoe UI"/>
                <w:b/>
                <w:i w:val="0"/>
                <w:color w:val="C98A1B"/>
                <w:sz w:val="26"/>
              </w:rPr>
              <w:t>CIVIC</w:t>
            </w:r>
            <w:r>
              <w:rPr>
                <w:rFonts w:ascii="Segoe UI" w:hAnsi="Segoe UI"/>
                <w:b/>
                <w:i w:val="0"/>
                <w:color w:val="8A5A00"/>
                <w:sz w:val="21"/>
              </w:rPr>
              <w:t xml:space="preserve">  —  the elements of valid consent</w:t>
            </w:r>
          </w:p>
          <w:p>
            <w:pPr>
              <w:spacing w:before="0" w:after="20"/>
            </w:pPr>
            <w:r>
              <w:rPr>
                <w:rFonts w:ascii="Segoe UI" w:hAnsi="Segoe UI"/>
                <w:b/>
                <w:i w:val="0"/>
                <w:color w:val="C98A1B"/>
                <w:sz w:val="22"/>
              </w:rPr>
              <w:t xml:space="preserve">C  </w:t>
            </w:r>
            <w:r>
              <w:rPr>
                <w:rFonts w:ascii="Segoe UI" w:hAnsi="Segoe UI"/>
                <w:b/>
                <w:i w:val="0"/>
                <w:color w:val="1B2330"/>
                <w:sz w:val="19"/>
              </w:rPr>
              <w:t xml:space="preserve">Capacity — </w:t>
            </w:r>
            <w:r>
              <w:rPr>
                <w:rFonts w:ascii="Segoe UI" w:hAnsi="Segoe UI"/>
                <w:b w:val="0"/>
                <w:i w:val="0"/>
                <w:color w:val="4A5568"/>
                <w:sz w:val="19"/>
              </w:rPr>
              <w:t>capacity / competence to decide</w:t>
            </w:r>
          </w:p>
          <w:p>
            <w:pPr>
              <w:spacing w:before="0" w:after="20"/>
            </w:pPr>
            <w:r>
              <w:rPr>
                <w:rFonts w:ascii="Segoe UI" w:hAnsi="Segoe UI"/>
                <w:b/>
                <w:i w:val="0"/>
                <w:color w:val="C98A1B"/>
                <w:sz w:val="22"/>
              </w:rPr>
              <w:t xml:space="preserve">I  </w:t>
            </w:r>
            <w:r>
              <w:rPr>
                <w:rFonts w:ascii="Segoe UI" w:hAnsi="Segoe UI"/>
                <w:b/>
                <w:i w:val="0"/>
                <w:color w:val="1B2330"/>
                <w:sz w:val="19"/>
              </w:rPr>
              <w:t xml:space="preserve">Information — </w:t>
            </w:r>
            <w:r>
              <w:rPr>
                <w:rFonts w:ascii="Segoe UI" w:hAnsi="Segoe UI"/>
                <w:b w:val="0"/>
                <w:i w:val="0"/>
                <w:color w:val="4A5568"/>
                <w:sz w:val="19"/>
              </w:rPr>
              <w:t>full disclosure of relevant information</w:t>
            </w:r>
          </w:p>
          <w:p>
            <w:pPr>
              <w:spacing w:before="0" w:after="20"/>
            </w:pPr>
            <w:r>
              <w:rPr>
                <w:rFonts w:ascii="Segoe UI" w:hAnsi="Segoe UI"/>
                <w:b/>
                <w:i w:val="0"/>
                <w:color w:val="C98A1B"/>
                <w:sz w:val="22"/>
              </w:rPr>
              <w:t xml:space="preserve">V  </w:t>
            </w:r>
            <w:r>
              <w:rPr>
                <w:rFonts w:ascii="Segoe UI" w:hAnsi="Segoe UI"/>
                <w:b/>
                <w:i w:val="0"/>
                <w:color w:val="1B2330"/>
                <w:sz w:val="19"/>
              </w:rPr>
              <w:t xml:space="preserve">Voluntariness — </w:t>
            </w:r>
            <w:r>
              <w:rPr>
                <w:rFonts w:ascii="Segoe UI" w:hAnsi="Segoe UI"/>
                <w:b w:val="0"/>
                <w:i w:val="0"/>
                <w:color w:val="4A5568"/>
                <w:sz w:val="19"/>
              </w:rPr>
              <w:t>free from coercion or undue pressure</w:t>
            </w:r>
          </w:p>
          <w:p>
            <w:pPr>
              <w:spacing w:before="0" w:after="20"/>
            </w:pPr>
            <w:r>
              <w:rPr>
                <w:rFonts w:ascii="Segoe UI" w:hAnsi="Segoe UI"/>
                <w:b/>
                <w:i w:val="0"/>
                <w:color w:val="C98A1B"/>
                <w:sz w:val="22"/>
              </w:rPr>
              <w:t xml:space="preserve">I  </w:t>
            </w:r>
            <w:r>
              <w:rPr>
                <w:rFonts w:ascii="Segoe UI" w:hAnsi="Segoe UI"/>
                <w:b/>
                <w:i w:val="0"/>
                <w:color w:val="1B2330"/>
                <w:sz w:val="19"/>
              </w:rPr>
              <w:t xml:space="preserve">Insight / comprehension — </w:t>
            </w:r>
            <w:r>
              <w:rPr>
                <w:rFonts w:ascii="Segoe UI" w:hAnsi="Segoe UI"/>
                <w:b w:val="0"/>
                <w:i w:val="0"/>
                <w:color w:val="4A5568"/>
                <w:sz w:val="19"/>
              </w:rPr>
              <w:t>the client understands the information</w:t>
            </w:r>
          </w:p>
          <w:p>
            <w:pPr>
              <w:spacing w:before="0" w:after="20"/>
            </w:pPr>
            <w:r>
              <w:rPr>
                <w:rFonts w:ascii="Segoe UI" w:hAnsi="Segoe UI"/>
                <w:b/>
                <w:i w:val="0"/>
                <w:color w:val="C98A1B"/>
                <w:sz w:val="22"/>
              </w:rPr>
              <w:t xml:space="preserve">C  </w:t>
            </w:r>
            <w:r>
              <w:rPr>
                <w:rFonts w:ascii="Segoe UI" w:hAnsi="Segoe UI"/>
                <w:b/>
                <w:i w:val="0"/>
                <w:color w:val="1B2330"/>
                <w:sz w:val="19"/>
              </w:rPr>
              <w:t xml:space="preserve">Consent documented — </w:t>
            </w:r>
            <w:r>
              <w:rPr>
                <w:rFonts w:ascii="Segoe UI" w:hAnsi="Segoe UI"/>
                <w:b w:val="0"/>
                <w:i w:val="0"/>
                <w:color w:val="4A5568"/>
                <w:sz w:val="19"/>
              </w:rPr>
              <w:t>documented and revisited as a process</w:t>
            </w:r>
          </w:p>
        </w:tc>
      </w:tr>
    </w:tbl>
    <w:p>
      <w:pPr>
        <w:spacing w:after="40"/>
      </w:pPr>
    </w:p>
    <w:tbl>
      <w:tblPr>
        <w:tblW w:type="auto" w:w="0"/>
        <w:jc w:val="center"/>
        <w:tblLook w:firstColumn="1" w:firstRow="1" w:lastColumn="0" w:lastRow="0" w:noHBand="0" w:noVBand="1" w:val="04A0"/>
      </w:tblPr>
      <w:tblGrid>
        <w:gridCol w:w="9638"/>
      </w:tblGrid>
      <w:tr>
        <w:tc>
          <w:tcPr>
            <w:tcW w:type="dxa" w:w="9411"/>
            <w:tcBorders>
              <w:top w:val="single" w:sz="8" w:space="0" w:color="C98A1B"/>
              <w:left w:val="single" w:sz="8" w:space="0" w:color="C98A1B"/>
              <w:bottom w:val="single" w:sz="8" w:space="0" w:color="C98A1B"/>
              <w:right w:val="single" w:sz="8" w:space="0" w:color="C98A1B"/>
            </w:tcBorders>
            <w:shd w:val="clear" w:color="auto" w:fill="FFF6E6"/>
          </w:tcPr>
          <w:p>
            <w:pPr>
              <w:spacing w:before="40" w:after="60"/>
            </w:pPr>
            <w:r>
              <w:rPr>
                <w:rFonts w:ascii="Segoe UI" w:hAnsi="Segoe UI"/>
                <w:b/>
                <w:i w:val="0"/>
                <w:color w:val="8A5A00"/>
                <w:sz w:val="21"/>
              </w:rPr>
              <w:t xml:space="preserve">Mnemonic: </w:t>
            </w:r>
            <w:r>
              <w:rPr>
                <w:rFonts w:ascii="Segoe UI" w:hAnsi="Segoe UI"/>
                <w:b/>
                <w:i w:val="0"/>
                <w:color w:val="C98A1B"/>
                <w:sz w:val="26"/>
              </w:rPr>
              <w:t>AVID</w:t>
            </w:r>
            <w:r>
              <w:rPr>
                <w:rFonts w:ascii="Segoe UI" w:hAnsi="Segoe UI"/>
                <w:b/>
                <w:i w:val="0"/>
                <w:color w:val="8A5A00"/>
                <w:sz w:val="21"/>
              </w:rPr>
              <w:t xml:space="preserve">  —  the test for valid consent (secondary notes)</w:t>
            </w:r>
          </w:p>
          <w:p>
            <w:pPr>
              <w:spacing w:before="0" w:after="20"/>
            </w:pPr>
            <w:r>
              <w:rPr>
                <w:rFonts w:ascii="Segoe UI" w:hAnsi="Segoe UI"/>
                <w:b/>
                <w:i w:val="0"/>
                <w:color w:val="C98A1B"/>
                <w:sz w:val="22"/>
              </w:rPr>
              <w:t xml:space="preserve">A  </w:t>
            </w:r>
            <w:r>
              <w:rPr>
                <w:rFonts w:ascii="Segoe UI" w:hAnsi="Segoe UI"/>
                <w:b/>
                <w:i w:val="0"/>
                <w:color w:val="1B2330"/>
                <w:sz w:val="19"/>
              </w:rPr>
              <w:t xml:space="preserve">Autonomy — </w:t>
            </w:r>
            <w:r>
              <w:rPr>
                <w:rFonts w:ascii="Segoe UI" w:hAnsi="Segoe UI"/>
                <w:b w:val="0"/>
                <w:i w:val="0"/>
                <w:color w:val="4A5568"/>
                <w:sz w:val="19"/>
              </w:rPr>
              <w:t>respects the client's right to choose or refuse</w:t>
            </w:r>
          </w:p>
          <w:p>
            <w:pPr>
              <w:spacing w:before="0" w:after="20"/>
            </w:pPr>
            <w:r>
              <w:rPr>
                <w:rFonts w:ascii="Segoe UI" w:hAnsi="Segoe UI"/>
                <w:b/>
                <w:i w:val="0"/>
                <w:color w:val="C98A1B"/>
                <w:sz w:val="22"/>
              </w:rPr>
              <w:t xml:space="preserve">V  </w:t>
            </w:r>
            <w:r>
              <w:rPr>
                <w:rFonts w:ascii="Segoe UI" w:hAnsi="Segoe UI"/>
                <w:b/>
                <w:i w:val="0"/>
                <w:color w:val="1B2330"/>
                <w:sz w:val="19"/>
              </w:rPr>
              <w:t xml:space="preserve">Voluntary — </w:t>
            </w:r>
            <w:r>
              <w:rPr>
                <w:rFonts w:ascii="Segoe UI" w:hAnsi="Segoe UI"/>
                <w:b w:val="0"/>
                <w:i w:val="0"/>
                <w:color w:val="4A5568"/>
                <w:sz w:val="19"/>
              </w:rPr>
              <w:t>free from coercion or undue pressure</w:t>
            </w:r>
          </w:p>
          <w:p>
            <w:pPr>
              <w:spacing w:before="0" w:after="20"/>
            </w:pPr>
            <w:r>
              <w:rPr>
                <w:rFonts w:ascii="Segoe UI" w:hAnsi="Segoe UI"/>
                <w:b/>
                <w:i w:val="0"/>
                <w:color w:val="C98A1B"/>
                <w:sz w:val="22"/>
              </w:rPr>
              <w:t xml:space="preserve">I  </w:t>
            </w:r>
            <w:r>
              <w:rPr>
                <w:rFonts w:ascii="Segoe UI" w:hAnsi="Segoe UI"/>
                <w:b/>
                <w:i w:val="0"/>
                <w:color w:val="1B2330"/>
                <w:sz w:val="19"/>
              </w:rPr>
              <w:t xml:space="preserve">Informed — </w:t>
            </w:r>
            <w:r>
              <w:rPr>
                <w:rFonts w:ascii="Segoe UI" w:hAnsi="Segoe UI"/>
                <w:b w:val="0"/>
                <w:i w:val="0"/>
                <w:color w:val="4A5568"/>
                <w:sz w:val="19"/>
              </w:rPr>
              <w:t>adequately informed, including of side-effects</w:t>
            </w:r>
          </w:p>
          <w:p>
            <w:pPr>
              <w:spacing w:before="0" w:after="20"/>
            </w:pPr>
            <w:r>
              <w:rPr>
                <w:rFonts w:ascii="Segoe UI" w:hAnsi="Segoe UI"/>
                <w:b/>
                <w:i w:val="0"/>
                <w:color w:val="C98A1B"/>
                <w:sz w:val="22"/>
              </w:rPr>
              <w:t xml:space="preserve">D  </w:t>
            </w:r>
            <w:r>
              <w:rPr>
                <w:rFonts w:ascii="Segoe UI" w:hAnsi="Segoe UI"/>
                <w:b/>
                <w:i w:val="0"/>
                <w:color w:val="1B2330"/>
                <w:sz w:val="19"/>
              </w:rPr>
              <w:t xml:space="preserve">Decision-capable — </w:t>
            </w:r>
            <w:r>
              <w:rPr>
                <w:rFonts w:ascii="Segoe UI" w:hAnsi="Segoe UI"/>
                <w:b w:val="0"/>
                <w:i w:val="0"/>
                <w:color w:val="4A5568"/>
                <w:sz w:val="19"/>
              </w:rPr>
              <w:t>given by a competent client</w:t>
            </w:r>
          </w:p>
        </w:tc>
      </w:tr>
    </w:tbl>
    <w:p>
      <w:pPr>
        <w:spacing w:after="40"/>
      </w:pPr>
    </w:p>
    <w:p>
      <w:pPr>
        <w:pStyle w:val="Heading1"/>
        <w:pageBreakBefore/>
      </w:pPr>
      <w:r>
        <w:rPr>
          <w:rFonts w:ascii="Segoe UI" w:hAnsi="Segoe UI"/>
          <w:b/>
          <w:i w:val="0"/>
          <w:color w:val="2B4C7E"/>
          <w:sz w:val="30"/>
        </w:rPr>
        <w:t>7. Planning and Recording of Therapy Sessions</w:t>
      </w:r>
    </w:p>
    <w:p>
      <w:pPr>
        <w:spacing w:before="180" w:after="40"/>
      </w:pPr>
      <w:r>
        <w:rPr>
          <w:rFonts w:ascii="Segoe UI" w:hAnsi="Segoe UI"/>
          <w:b/>
          <w:i w:val="0"/>
          <w:color w:val="1B2330"/>
          <w:sz w:val="23"/>
        </w:rPr>
        <w:t>Planning</w:t>
      </w:r>
    </w:p>
    <w:p>
      <w:pPr>
        <w:pStyle w:val="ListBullet"/>
        <w:spacing w:before="0" w:after="40"/>
      </w:pPr>
      <w:r>
        <w:rPr>
          <w:rFonts w:ascii="Calibri" w:hAnsi="Calibri"/>
          <w:b w:val="0"/>
          <w:i w:val="0"/>
          <w:color w:val="1B2330"/>
          <w:sz w:val="21"/>
        </w:rPr>
        <w:t>Intake and assessment: presenting complaints, history, risk assessment, mental status, test results, diagnosis.</w:t>
      </w:r>
    </w:p>
    <w:p>
      <w:pPr>
        <w:pStyle w:val="ListBullet"/>
        <w:spacing w:before="0" w:after="40"/>
      </w:pPr>
      <w:r>
        <w:rPr>
          <w:rFonts w:ascii="Calibri" w:hAnsi="Calibri"/>
          <w:b w:val="0"/>
          <w:i w:val="0"/>
          <w:color w:val="1B2330"/>
          <w:sz w:val="21"/>
        </w:rPr>
        <w:t>Case formulation: an integrated hypothesis explaining the problem using the "4 Ps":</w:t>
      </w:r>
    </w:p>
    <w:p>
      <w:pPr>
        <w:pStyle w:val="ListBullet2"/>
        <w:spacing w:before="0" w:after="20"/>
      </w:pPr>
      <w:r>
        <w:rPr>
          <w:rFonts w:ascii="Calibri" w:hAnsi="Calibri"/>
          <w:b w:val="0"/>
          <w:i w:val="0"/>
          <w:color w:val="1B2330"/>
          <w:sz w:val="20"/>
        </w:rPr>
        <w:t>Predisposing factors;</w:t>
      </w:r>
    </w:p>
    <w:p>
      <w:pPr>
        <w:pStyle w:val="ListBullet2"/>
        <w:spacing w:before="0" w:after="20"/>
      </w:pPr>
      <w:r>
        <w:rPr>
          <w:rFonts w:ascii="Calibri" w:hAnsi="Calibri"/>
          <w:b w:val="0"/>
          <w:i w:val="0"/>
          <w:color w:val="1B2330"/>
          <w:sz w:val="20"/>
        </w:rPr>
        <w:t>Precipitating factors;</w:t>
      </w:r>
    </w:p>
    <w:p>
      <w:pPr>
        <w:pStyle w:val="ListBullet2"/>
        <w:spacing w:before="0" w:after="20"/>
      </w:pPr>
      <w:r>
        <w:rPr>
          <w:rFonts w:ascii="Calibri" w:hAnsi="Calibri"/>
          <w:b w:val="0"/>
          <w:i w:val="0"/>
          <w:color w:val="1B2330"/>
          <w:sz w:val="20"/>
        </w:rPr>
        <w:t>Perpetuating factors;</w:t>
      </w:r>
    </w:p>
    <w:p>
      <w:pPr>
        <w:pStyle w:val="ListBullet2"/>
        <w:spacing w:before="0" w:after="20"/>
      </w:pPr>
      <w:r>
        <w:rPr>
          <w:rFonts w:ascii="Calibri" w:hAnsi="Calibri"/>
          <w:b w:val="0"/>
          <w:i w:val="0"/>
          <w:color w:val="1B2330"/>
          <w:sz w:val="20"/>
        </w:rPr>
        <w:t>Protective factors.</w:t>
      </w:r>
    </w:p>
    <w:p>
      <w:pPr>
        <w:pStyle w:val="ListBullet"/>
        <w:spacing w:before="0" w:after="40"/>
      </w:pPr>
      <w:r>
        <w:rPr>
          <w:rFonts w:ascii="Calibri" w:hAnsi="Calibri"/>
          <w:b w:val="0"/>
          <w:i w:val="0"/>
          <w:color w:val="1B2330"/>
          <w:sz w:val="21"/>
        </w:rPr>
        <w:t>Treatment plan: goals, chosen therapy, frequency (usually weekly), session length (usually 45-50 minutes), expected duration, measures of progress, emergency plan, criteria for termination.</w:t>
      </w:r>
    </w:p>
    <w:p>
      <w:pPr>
        <w:pStyle w:val="ListBullet"/>
        <w:spacing w:before="0" w:after="40"/>
      </w:pPr>
      <w:r>
        <w:rPr>
          <w:rFonts w:ascii="Calibri" w:hAnsi="Calibri"/>
          <w:b w:val="0"/>
          <w:i w:val="0"/>
          <w:color w:val="1B2330"/>
          <w:sz w:val="21"/>
        </w:rPr>
        <w:t>Therapeutic frame: time, place, fee, boundaries, cancellation policy, contact between sessions.</w:t>
      </w:r>
    </w:p>
    <w:p>
      <w:pPr>
        <w:pStyle w:val="ListBullet"/>
        <w:spacing w:before="0" w:after="40"/>
      </w:pPr>
      <w:r>
        <w:rPr>
          <w:rFonts w:ascii="Calibri" w:hAnsi="Calibri"/>
          <w:b w:val="0"/>
          <w:i w:val="0"/>
          <w:color w:val="1B2330"/>
          <w:sz w:val="21"/>
        </w:rPr>
        <w:t>Session planning: prepare using previous notes; plan aims per session but stay responsive to the client's needs.</w:t>
      </w:r>
    </w:p>
    <w:p>
      <w:pPr>
        <w:spacing w:before="180" w:after="40"/>
      </w:pPr>
      <w:r>
        <w:rPr>
          <w:rFonts w:ascii="Segoe UI" w:hAnsi="Segoe UI"/>
          <w:b/>
          <w:i w:val="0"/>
          <w:color w:val="1B2330"/>
          <w:sz w:val="23"/>
        </w:rPr>
        <w:t>Structure of a typical session (e.g. CBT)</w:t>
      </w:r>
    </w:p>
    <w:p>
      <w:pPr>
        <w:pStyle w:val="ListBullet"/>
        <w:spacing w:before="0" w:after="40"/>
      </w:pPr>
      <w:r>
        <w:rPr>
          <w:rFonts w:ascii="Calibri" w:hAnsi="Calibri"/>
          <w:b w:val="0"/>
          <w:i w:val="0"/>
          <w:color w:val="1B2330"/>
          <w:sz w:val="21"/>
        </w:rPr>
        <w:t>Brief check-in and mood check.</w:t>
      </w:r>
    </w:p>
    <w:p>
      <w:pPr>
        <w:pStyle w:val="ListBullet"/>
        <w:spacing w:before="0" w:after="40"/>
      </w:pPr>
      <w:r>
        <w:rPr>
          <w:rFonts w:ascii="Calibri" w:hAnsi="Calibri"/>
          <w:b w:val="0"/>
          <w:i w:val="0"/>
          <w:color w:val="1B2330"/>
          <w:sz w:val="21"/>
        </w:rPr>
        <w:t>Bridge from the previous session.</w:t>
      </w:r>
    </w:p>
    <w:p>
      <w:pPr>
        <w:pStyle w:val="ListBullet"/>
        <w:spacing w:before="0" w:after="40"/>
      </w:pPr>
      <w:r>
        <w:rPr>
          <w:rFonts w:ascii="Calibri" w:hAnsi="Calibri"/>
          <w:b w:val="0"/>
          <w:i w:val="0"/>
          <w:color w:val="1B2330"/>
          <w:sz w:val="21"/>
        </w:rPr>
        <w:t>Agenda setting (collaboratively).</w:t>
      </w:r>
    </w:p>
    <w:p>
      <w:pPr>
        <w:pStyle w:val="ListBullet"/>
        <w:spacing w:before="0" w:after="40"/>
      </w:pPr>
      <w:r>
        <w:rPr>
          <w:rFonts w:ascii="Calibri" w:hAnsi="Calibri"/>
          <w:b w:val="0"/>
          <w:i w:val="0"/>
          <w:color w:val="1B2330"/>
          <w:sz w:val="21"/>
        </w:rPr>
        <w:t>Review of homework.</w:t>
      </w:r>
    </w:p>
    <w:p>
      <w:pPr>
        <w:pStyle w:val="ListBullet"/>
        <w:spacing w:before="0" w:after="40"/>
      </w:pPr>
      <w:r>
        <w:rPr>
          <w:rFonts w:ascii="Calibri" w:hAnsi="Calibri"/>
          <w:b w:val="0"/>
          <w:i w:val="0"/>
          <w:color w:val="1B2330"/>
          <w:sz w:val="21"/>
        </w:rPr>
        <w:t>Work on agenda items (main therapeutic work).</w:t>
      </w:r>
    </w:p>
    <w:p>
      <w:pPr>
        <w:pStyle w:val="ListBullet"/>
        <w:spacing w:before="0" w:after="40"/>
      </w:pPr>
      <w:r>
        <w:rPr>
          <w:rFonts w:ascii="Calibri" w:hAnsi="Calibri"/>
          <w:b w:val="0"/>
          <w:i w:val="0"/>
          <w:color w:val="1B2330"/>
          <w:sz w:val="21"/>
        </w:rPr>
        <w:t>Capsule summaries during the session.</w:t>
      </w:r>
    </w:p>
    <w:p>
      <w:pPr>
        <w:pStyle w:val="ListBullet"/>
        <w:spacing w:before="0" w:after="40"/>
      </w:pPr>
      <w:r>
        <w:rPr>
          <w:rFonts w:ascii="Calibri" w:hAnsi="Calibri"/>
          <w:b w:val="0"/>
          <w:i w:val="0"/>
          <w:color w:val="1B2330"/>
          <w:sz w:val="21"/>
        </w:rPr>
        <w:t>Assign new homework.</w:t>
      </w:r>
    </w:p>
    <w:p>
      <w:pPr>
        <w:pStyle w:val="ListBullet"/>
        <w:spacing w:before="0" w:after="40"/>
      </w:pPr>
      <w:r>
        <w:rPr>
          <w:rFonts w:ascii="Calibri" w:hAnsi="Calibri"/>
          <w:b w:val="0"/>
          <w:i w:val="0"/>
          <w:color w:val="1B2330"/>
          <w:sz w:val="21"/>
        </w:rPr>
        <w:t>Feedback from the client on the session.</w:t>
      </w:r>
    </w:p>
    <w:p>
      <w:pPr>
        <w:spacing w:before="180" w:after="40"/>
      </w:pPr>
      <w:r>
        <w:rPr>
          <w:rFonts w:ascii="Segoe UI" w:hAnsi="Segoe UI"/>
          <w:b/>
          <w:i w:val="0"/>
          <w:color w:val="1B2330"/>
          <w:sz w:val="23"/>
        </w:rPr>
        <w:t>Recording</w:t>
      </w:r>
    </w:p>
    <w:p>
      <w:pPr>
        <w:pStyle w:val="ListBullet"/>
        <w:spacing w:before="0" w:after="40"/>
      </w:pPr>
      <w:r>
        <w:rPr>
          <w:rFonts w:ascii="Calibri" w:hAnsi="Calibri"/>
          <w:b w:val="0"/>
          <w:i w:val="0"/>
          <w:color w:val="1B2330"/>
          <w:sz w:val="21"/>
        </w:rPr>
        <w:t>Types of records: intake / case history; assessment reports and test data; treatment plan; consent forms; progress notes; process notes (private reflections, kept separate); risk assessments; referral and termination summaries; correspondence.</w:t>
      </w:r>
    </w:p>
    <w:p>
      <w:pPr>
        <w:pStyle w:val="ListBullet"/>
        <w:spacing w:before="0" w:after="40"/>
      </w:pPr>
      <w:r>
        <w:rPr>
          <w:rFonts w:ascii="Calibri" w:hAnsi="Calibri"/>
          <w:b w:val="0"/>
          <w:i w:val="0"/>
          <w:color w:val="1B2330"/>
          <w:sz w:val="21"/>
        </w:rPr>
        <w:t>Formats of progress notes:</w:t>
      </w:r>
    </w:p>
    <w:p>
      <w:pPr>
        <w:pStyle w:val="ListBullet2"/>
        <w:spacing w:before="0" w:after="20"/>
      </w:pPr>
      <w:r>
        <w:rPr>
          <w:rFonts w:ascii="Calibri" w:hAnsi="Calibri"/>
          <w:b w:val="0"/>
          <w:i w:val="0"/>
          <w:color w:val="1B2330"/>
          <w:sz w:val="20"/>
        </w:rPr>
        <w:t>SOAP: Subjective, Objective, Assessment, Plan;</w:t>
      </w:r>
    </w:p>
    <w:p>
      <w:pPr>
        <w:pStyle w:val="ListBullet2"/>
        <w:spacing w:before="0" w:after="20"/>
      </w:pPr>
      <w:r>
        <w:rPr>
          <w:rFonts w:ascii="Calibri" w:hAnsi="Calibri"/>
          <w:b w:val="0"/>
          <w:i w:val="0"/>
          <w:color w:val="1B2330"/>
          <w:sz w:val="20"/>
        </w:rPr>
        <w:t>DAP: Data, Assessment, Plan;</w:t>
      </w:r>
    </w:p>
    <w:p>
      <w:pPr>
        <w:pStyle w:val="ListBullet2"/>
        <w:spacing w:before="0" w:after="20"/>
      </w:pPr>
      <w:r>
        <w:rPr>
          <w:rFonts w:ascii="Calibri" w:hAnsi="Calibri"/>
          <w:b w:val="0"/>
          <w:i w:val="0"/>
          <w:color w:val="1B2330"/>
          <w:sz w:val="20"/>
        </w:rPr>
        <w:t>BIRP: Behaviour, Intervention, Response, Plan.</w:t>
      </w:r>
    </w:p>
    <w:p>
      <w:pPr>
        <w:pStyle w:val="ListBullet"/>
        <w:spacing w:before="0" w:after="40"/>
      </w:pPr>
      <w:r>
        <w:rPr>
          <w:rFonts w:ascii="Calibri" w:hAnsi="Calibri"/>
          <w:b w:val="0"/>
          <w:i w:val="0"/>
          <w:color w:val="1B2330"/>
          <w:sz w:val="21"/>
        </w:rPr>
        <w:t>Good records are timely, accurate, objective, factual, brief but complete, free of judgemental language, signed and dated.</w:t>
      </w:r>
    </w:p>
    <w:p>
      <w:pPr>
        <w:pStyle w:val="ListBullet"/>
        <w:spacing w:before="0" w:after="40"/>
      </w:pPr>
      <w:r>
        <w:rPr>
          <w:rFonts w:ascii="Calibri" w:hAnsi="Calibri"/>
          <w:b w:val="0"/>
          <w:i w:val="0"/>
          <w:color w:val="1B2330"/>
          <w:sz w:val="21"/>
        </w:rPr>
        <w:t>Purposes: continuity of care, monitoring progress, supervision, communication with other professionals, evidence in legal/ethical review, research and quality improvement.</w:t>
      </w:r>
    </w:p>
    <w:p>
      <w:pPr>
        <w:pStyle w:val="ListBullet"/>
        <w:spacing w:before="0" w:after="40"/>
      </w:pPr>
      <w:r>
        <w:rPr>
          <w:rFonts w:ascii="Calibri" w:hAnsi="Calibri"/>
          <w:b w:val="0"/>
          <w:i w:val="0"/>
          <w:color w:val="1B2330"/>
          <w:sz w:val="21"/>
        </w:rPr>
        <w:t>Security and confidentiality: secure storage (locked cabinets, password-protected files), restricted access, coded identifiers; retention per law or policy; safe disposal.</w:t>
      </w:r>
    </w:p>
    <w:p>
      <w:pPr>
        <w:pStyle w:val="ListBullet"/>
        <w:spacing w:before="0" w:after="40"/>
      </w:pPr>
      <w:r>
        <w:rPr>
          <w:rFonts w:ascii="Calibri" w:hAnsi="Calibri"/>
          <w:b w:val="0"/>
          <w:i w:val="0"/>
          <w:color w:val="1B2330"/>
          <w:sz w:val="21"/>
        </w:rPr>
        <w:t>Audio/video recording needs explicit written consent; used only for the agreed purpose and destroyed as agreed.</w:t>
      </w:r>
    </w:p>
    <w:p>
      <w:pPr>
        <w:spacing w:before="180" w:after="40"/>
      </w:pPr>
      <w:r>
        <w:rPr>
          <w:rFonts w:ascii="Segoe UI" w:hAnsi="Segoe UI"/>
          <w:b/>
          <w:i w:val="0"/>
          <w:color w:val="1B2330"/>
          <w:sz w:val="23"/>
        </w:rPr>
        <w:t>Progress notes vs process notes (secondary notes)</w:t>
      </w:r>
    </w:p>
    <w:p>
      <w:pPr>
        <w:pStyle w:val="ListBullet"/>
        <w:spacing w:before="0" w:after="40"/>
      </w:pPr>
      <w:r>
        <w:rPr>
          <w:rFonts w:ascii="Calibri" w:hAnsi="Calibri"/>
          <w:b w:val="0"/>
          <w:i w:val="0"/>
          <w:color w:val="1B2330"/>
          <w:sz w:val="21"/>
        </w:rPr>
        <w:t>A common practice: note briefly in the medical record that the session took place, and keep short notes of the session's main themes separately.</w:t>
      </w:r>
    </w:p>
    <w:p>
      <w:pPr>
        <w:pStyle w:val="ListBullet"/>
        <w:spacing w:before="0" w:after="40"/>
      </w:pPr>
      <w:r>
        <w:rPr>
          <w:rFonts w:ascii="Calibri" w:hAnsi="Calibri"/>
          <w:b w:val="0"/>
          <w:i w:val="0"/>
          <w:color w:val="1B2330"/>
          <w:sz w:val="21"/>
        </w:rPr>
        <w:t>Process notes (the therapist's private reflections) are generally not shared with the client; reading them is unlikely to help the client.</w:t>
      </w:r>
    </w:p>
    <w:p>
      <w:pPr>
        <w:pStyle w:val="ListBullet"/>
        <w:spacing w:before="0" w:after="40"/>
      </w:pPr>
      <w:r>
        <w:rPr>
          <w:rFonts w:ascii="Calibri" w:hAnsi="Calibri"/>
          <w:b w:val="0"/>
          <w:i w:val="0"/>
          <w:color w:val="1B2330"/>
          <w:sz w:val="21"/>
        </w:rPr>
        <w:t>The therapist does not "own" the notes outright: in some jurisdictions the client may have legal access to them unless access would harm the client or another person.</w:t>
      </w:r>
    </w:p>
    <w:p>
      <w:pPr>
        <w:pStyle w:val="ListBullet"/>
        <w:spacing w:before="0" w:after="40"/>
      </w:pPr>
      <w:r>
        <w:rPr>
          <w:rFonts w:ascii="Calibri" w:hAnsi="Calibri"/>
          <w:b w:val="0"/>
          <w:i w:val="0"/>
          <w:color w:val="1B2330"/>
          <w:sz w:val="21"/>
        </w:rPr>
        <w:t>In CBT, therapist and client often share records of thoughts, feelings and behaviours (as with homework); caution where material could be misread out of context.</w:t>
      </w:r>
    </w:p>
    <w:p>
      <w:pPr>
        <w:spacing w:before="160" w:after="40"/>
      </w:pPr>
      <w:r>
        <w:rPr>
          <w:rFonts w:ascii="Segoe UI" w:hAnsi="Segoe UI"/>
          <w:b/>
          <w:i w:val="0"/>
          <w:color w:val="2B4C7E"/>
          <w:sz w:val="21"/>
        </w:rPr>
        <w:t>Flow chart: Flow: case formulation — the 4 Ps</w:t>
      </w:r>
    </w:p>
    <w:tbl>
      <w:tblPr>
        <w:tblW w:type="auto" w:w="0"/>
        <w:jc w:val="center"/>
        <w:tblLook w:firstColumn="1" w:firstRow="1" w:lastColumn="0" w:lastRow="0" w:noHBand="0" w:noVBand="1" w:val="04A0"/>
      </w:tblPr>
      <w:tblGrid>
        <w:gridCol w:w="9638"/>
      </w:tblGrid>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Predisposing factors (vulnerability)</w:t>
            </w:r>
          </w:p>
        </w:tc>
      </w:tr>
      <w:tr>
        <w:tc>
          <w:tcPr>
            <w:tcW w:type="dxa" w:w="8504"/>
          </w:tcPr>
          <w:p>
            <w:pPr>
              <w:spacing w:before="20" w:after="20"/>
              <w:jc w:val="center"/>
            </w:pPr>
            <w:r>
              <w:rPr>
                <w:rFonts w:ascii="Segoe UI" w:hAnsi="Segoe UI"/>
                <w:b/>
                <w:i w:val="0"/>
                <w:color w:val="2B4C7E"/>
                <w:sz w:val="26"/>
              </w:rPr>
              <w:t>↓</w:t>
            </w:r>
          </w:p>
        </w:tc>
      </w:tr>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Precipitating factors (triggers)</w:t>
            </w:r>
          </w:p>
        </w:tc>
      </w:tr>
      <w:tr>
        <w:tc>
          <w:tcPr>
            <w:tcW w:type="dxa" w:w="8504"/>
          </w:tcPr>
          <w:p>
            <w:pPr>
              <w:spacing w:before="20" w:after="20"/>
              <w:jc w:val="center"/>
            </w:pPr>
            <w:r>
              <w:rPr>
                <w:rFonts w:ascii="Segoe UI" w:hAnsi="Segoe UI"/>
                <w:b/>
                <w:i w:val="0"/>
                <w:color w:val="2B4C7E"/>
                <w:sz w:val="26"/>
              </w:rPr>
              <w:t>↓</w:t>
            </w:r>
          </w:p>
        </w:tc>
      </w:tr>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Perpetuating factors (what maintains it)</w:t>
            </w:r>
          </w:p>
        </w:tc>
      </w:tr>
      <w:tr>
        <w:tc>
          <w:tcPr>
            <w:tcW w:type="dxa" w:w="8504"/>
          </w:tcPr>
          <w:p>
            <w:pPr>
              <w:spacing w:before="20" w:after="20"/>
              <w:jc w:val="center"/>
            </w:pPr>
            <w:r>
              <w:rPr>
                <w:rFonts w:ascii="Segoe UI" w:hAnsi="Segoe UI"/>
                <w:b/>
                <w:i w:val="0"/>
                <w:color w:val="2B4C7E"/>
                <w:sz w:val="26"/>
              </w:rPr>
              <w:t>↓</w:t>
            </w:r>
          </w:p>
        </w:tc>
      </w:tr>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Protective factors (strengths / supports)</w:t>
            </w:r>
          </w:p>
        </w:tc>
      </w:tr>
      <w:tr>
        <w:tc>
          <w:tcPr>
            <w:tcW w:type="dxa" w:w="8504"/>
          </w:tcPr>
          <w:p>
            <w:pPr>
              <w:spacing w:before="20" w:after="20"/>
              <w:jc w:val="center"/>
            </w:pPr>
            <w:r>
              <w:rPr>
                <w:rFonts w:ascii="Segoe UI" w:hAnsi="Segoe UI"/>
                <w:b/>
                <w:i w:val="0"/>
                <w:color w:val="2B4C7E"/>
                <w:sz w:val="26"/>
              </w:rPr>
              <w:t>↓</w:t>
            </w:r>
          </w:p>
        </w:tc>
      </w:tr>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 integrated formulation drives the treatment plan</w:t>
            </w:r>
          </w:p>
        </w:tc>
      </w:tr>
    </w:tbl>
    <w:p>
      <w:pPr>
        <w:spacing w:after="40"/>
      </w:pPr>
    </w:p>
    <w:p>
      <w:pPr>
        <w:spacing w:before="160" w:after="40"/>
      </w:pPr>
      <w:r>
        <w:rPr>
          <w:rFonts w:ascii="Segoe UI" w:hAnsi="Segoe UI"/>
          <w:b/>
          <w:i w:val="0"/>
          <w:color w:val="2B4C7E"/>
          <w:sz w:val="21"/>
        </w:rPr>
        <w:t>Flow chart: Flow: a typical session</w:t>
      </w:r>
    </w:p>
    <w:tbl>
      <w:tblPr>
        <w:tblW w:type="auto" w:w="0"/>
        <w:jc w:val="center"/>
        <w:tblLook w:firstColumn="1" w:firstRow="1" w:lastColumn="0" w:lastRow="0" w:noHBand="0" w:noVBand="1" w:val="04A0"/>
      </w:tblPr>
      <w:tblGrid>
        <w:gridCol w:w="9638"/>
      </w:tblGrid>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Check-in + mood check</w:t>
            </w:r>
          </w:p>
        </w:tc>
      </w:tr>
      <w:tr>
        <w:tc>
          <w:tcPr>
            <w:tcW w:type="dxa" w:w="8504"/>
          </w:tcPr>
          <w:p>
            <w:pPr>
              <w:spacing w:before="20" w:after="20"/>
              <w:jc w:val="center"/>
            </w:pPr>
            <w:r>
              <w:rPr>
                <w:rFonts w:ascii="Segoe UI" w:hAnsi="Segoe UI"/>
                <w:b/>
                <w:i w:val="0"/>
                <w:color w:val="2B4C7E"/>
                <w:sz w:val="26"/>
              </w:rPr>
              <w:t>↓</w:t>
            </w:r>
          </w:p>
        </w:tc>
      </w:tr>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Bridge from previous session</w:t>
            </w:r>
          </w:p>
        </w:tc>
      </w:tr>
      <w:tr>
        <w:tc>
          <w:tcPr>
            <w:tcW w:type="dxa" w:w="8504"/>
          </w:tcPr>
          <w:p>
            <w:pPr>
              <w:spacing w:before="20" w:after="20"/>
              <w:jc w:val="center"/>
            </w:pPr>
            <w:r>
              <w:rPr>
                <w:rFonts w:ascii="Segoe UI" w:hAnsi="Segoe UI"/>
                <w:b/>
                <w:i w:val="0"/>
                <w:color w:val="2B4C7E"/>
                <w:sz w:val="26"/>
              </w:rPr>
              <w:t>↓</w:t>
            </w:r>
          </w:p>
        </w:tc>
      </w:tr>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Collaborative agenda setting</w:t>
            </w:r>
          </w:p>
        </w:tc>
      </w:tr>
      <w:tr>
        <w:tc>
          <w:tcPr>
            <w:tcW w:type="dxa" w:w="8504"/>
          </w:tcPr>
          <w:p>
            <w:pPr>
              <w:spacing w:before="20" w:after="20"/>
              <w:jc w:val="center"/>
            </w:pPr>
            <w:r>
              <w:rPr>
                <w:rFonts w:ascii="Segoe UI" w:hAnsi="Segoe UI"/>
                <w:b/>
                <w:i w:val="0"/>
                <w:color w:val="2B4C7E"/>
                <w:sz w:val="26"/>
              </w:rPr>
              <w:t>↓</w:t>
            </w:r>
          </w:p>
        </w:tc>
      </w:tr>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Review homework</w:t>
            </w:r>
          </w:p>
        </w:tc>
      </w:tr>
      <w:tr>
        <w:tc>
          <w:tcPr>
            <w:tcW w:type="dxa" w:w="8504"/>
          </w:tcPr>
          <w:p>
            <w:pPr>
              <w:spacing w:before="20" w:after="20"/>
              <w:jc w:val="center"/>
            </w:pPr>
            <w:r>
              <w:rPr>
                <w:rFonts w:ascii="Segoe UI" w:hAnsi="Segoe UI"/>
                <w:b/>
                <w:i w:val="0"/>
                <w:color w:val="2B4C7E"/>
                <w:sz w:val="26"/>
              </w:rPr>
              <w:t>↓</w:t>
            </w:r>
          </w:p>
        </w:tc>
      </w:tr>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Work on agenda items</w:t>
            </w:r>
          </w:p>
        </w:tc>
      </w:tr>
      <w:tr>
        <w:tc>
          <w:tcPr>
            <w:tcW w:type="dxa" w:w="8504"/>
          </w:tcPr>
          <w:p>
            <w:pPr>
              <w:spacing w:before="20" w:after="20"/>
              <w:jc w:val="center"/>
            </w:pPr>
            <w:r>
              <w:rPr>
                <w:rFonts w:ascii="Segoe UI" w:hAnsi="Segoe UI"/>
                <w:b/>
                <w:i w:val="0"/>
                <w:color w:val="2B4C7E"/>
                <w:sz w:val="26"/>
              </w:rPr>
              <w:t>↓</w:t>
            </w:r>
          </w:p>
        </w:tc>
      </w:tr>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Summaries + new homework</w:t>
            </w:r>
          </w:p>
        </w:tc>
      </w:tr>
      <w:tr>
        <w:tc>
          <w:tcPr>
            <w:tcW w:type="dxa" w:w="8504"/>
          </w:tcPr>
          <w:p>
            <w:pPr>
              <w:spacing w:before="20" w:after="20"/>
              <w:jc w:val="center"/>
            </w:pPr>
            <w:r>
              <w:rPr>
                <w:rFonts w:ascii="Segoe UI" w:hAnsi="Segoe UI"/>
                <w:b/>
                <w:i w:val="0"/>
                <w:color w:val="2B4C7E"/>
                <w:sz w:val="26"/>
              </w:rPr>
              <w:t>↓</w:t>
            </w:r>
          </w:p>
        </w:tc>
      </w:tr>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Client feedback → write progress note (SOAP/DAP/BIRP)</w:t>
            </w:r>
          </w:p>
        </w:tc>
      </w:tr>
    </w:tbl>
    <w:p>
      <w:pPr>
        <w:spacing w:after="40"/>
      </w:pPr>
    </w:p>
    <w:tbl>
      <w:tblPr>
        <w:tblW w:type="auto" w:w="0"/>
        <w:jc w:val="center"/>
        <w:tblLook w:firstColumn="1" w:firstRow="1" w:lastColumn="0" w:lastRow="0" w:noHBand="0" w:noVBand="1" w:val="04A0"/>
      </w:tblPr>
      <w:tblGrid>
        <w:gridCol w:w="9638"/>
      </w:tblGrid>
      <w:tr>
        <w:tc>
          <w:tcPr>
            <w:tcW w:type="dxa" w:w="9411"/>
            <w:tcBorders>
              <w:top w:val="single" w:sz="8" w:space="0" w:color="C98A1B"/>
              <w:left w:val="single" w:sz="8" w:space="0" w:color="C98A1B"/>
              <w:bottom w:val="single" w:sz="8" w:space="0" w:color="C98A1B"/>
              <w:right w:val="single" w:sz="8" w:space="0" w:color="C98A1B"/>
            </w:tcBorders>
            <w:shd w:val="clear" w:color="auto" w:fill="FFF6E6"/>
          </w:tcPr>
          <w:p>
            <w:pPr>
              <w:spacing w:before="40" w:after="60"/>
            </w:pPr>
            <w:r>
              <w:rPr>
                <w:rFonts w:ascii="Segoe UI" w:hAnsi="Segoe UI"/>
                <w:b/>
                <w:i w:val="0"/>
                <w:color w:val="8A5A00"/>
                <w:sz w:val="21"/>
              </w:rPr>
              <w:t xml:space="preserve">Mnemonic: </w:t>
            </w:r>
            <w:r>
              <w:rPr>
                <w:rFonts w:ascii="Segoe UI" w:hAnsi="Segoe UI"/>
                <w:b/>
                <w:i w:val="0"/>
                <w:color w:val="C98A1B"/>
                <w:sz w:val="26"/>
              </w:rPr>
              <w:t>SOAP</w:t>
            </w:r>
            <w:r>
              <w:rPr>
                <w:rFonts w:ascii="Segoe UI" w:hAnsi="Segoe UI"/>
                <w:b/>
                <w:i w:val="0"/>
                <w:color w:val="8A5A00"/>
                <w:sz w:val="21"/>
              </w:rPr>
              <w:t xml:space="preserve">  —  the classic progress-note format</w:t>
            </w:r>
          </w:p>
          <w:p>
            <w:pPr>
              <w:spacing w:before="0" w:after="20"/>
            </w:pPr>
            <w:r>
              <w:rPr>
                <w:rFonts w:ascii="Segoe UI" w:hAnsi="Segoe UI"/>
                <w:b/>
                <w:i w:val="0"/>
                <w:color w:val="C98A1B"/>
                <w:sz w:val="22"/>
              </w:rPr>
              <w:t xml:space="preserve">S  </w:t>
            </w:r>
            <w:r>
              <w:rPr>
                <w:rFonts w:ascii="Segoe UI" w:hAnsi="Segoe UI"/>
                <w:b/>
                <w:i w:val="0"/>
                <w:color w:val="1B2330"/>
                <w:sz w:val="19"/>
              </w:rPr>
              <w:t xml:space="preserve">Subjective — </w:t>
            </w:r>
            <w:r>
              <w:rPr>
                <w:rFonts w:ascii="Segoe UI" w:hAnsi="Segoe UI"/>
                <w:b w:val="0"/>
                <w:i w:val="0"/>
                <w:color w:val="4A5568"/>
                <w:sz w:val="19"/>
              </w:rPr>
              <w:t>the client's reported experience</w:t>
            </w:r>
          </w:p>
          <w:p>
            <w:pPr>
              <w:spacing w:before="0" w:after="20"/>
            </w:pPr>
            <w:r>
              <w:rPr>
                <w:rFonts w:ascii="Segoe UI" w:hAnsi="Segoe UI"/>
                <w:b/>
                <w:i w:val="0"/>
                <w:color w:val="C98A1B"/>
                <w:sz w:val="22"/>
              </w:rPr>
              <w:t xml:space="preserve">O  </w:t>
            </w:r>
            <w:r>
              <w:rPr>
                <w:rFonts w:ascii="Segoe UI" w:hAnsi="Segoe UI"/>
                <w:b/>
                <w:i w:val="0"/>
                <w:color w:val="1B2330"/>
                <w:sz w:val="19"/>
              </w:rPr>
              <w:t xml:space="preserve">Objective — </w:t>
            </w:r>
            <w:r>
              <w:rPr>
                <w:rFonts w:ascii="Segoe UI" w:hAnsi="Segoe UI"/>
                <w:b w:val="0"/>
                <w:i w:val="0"/>
                <w:color w:val="4A5568"/>
                <w:sz w:val="19"/>
              </w:rPr>
              <w:t>observed, measurable data</w:t>
            </w:r>
          </w:p>
          <w:p>
            <w:pPr>
              <w:spacing w:before="0" w:after="20"/>
            </w:pPr>
            <w:r>
              <w:rPr>
                <w:rFonts w:ascii="Segoe UI" w:hAnsi="Segoe UI"/>
                <w:b/>
                <w:i w:val="0"/>
                <w:color w:val="C98A1B"/>
                <w:sz w:val="22"/>
              </w:rPr>
              <w:t xml:space="preserve">A  </w:t>
            </w:r>
            <w:r>
              <w:rPr>
                <w:rFonts w:ascii="Segoe UI" w:hAnsi="Segoe UI"/>
                <w:b/>
                <w:i w:val="0"/>
                <w:color w:val="1B2330"/>
                <w:sz w:val="19"/>
              </w:rPr>
              <w:t xml:space="preserve">Assessment — </w:t>
            </w:r>
            <w:r>
              <w:rPr>
                <w:rFonts w:ascii="Segoe UI" w:hAnsi="Segoe UI"/>
                <w:b w:val="0"/>
                <w:i w:val="0"/>
                <w:color w:val="4A5568"/>
                <w:sz w:val="19"/>
              </w:rPr>
              <w:t>clinical interpretation / progress</w:t>
            </w:r>
          </w:p>
          <w:p>
            <w:pPr>
              <w:spacing w:before="0" w:after="20"/>
            </w:pPr>
            <w:r>
              <w:rPr>
                <w:rFonts w:ascii="Segoe UI" w:hAnsi="Segoe UI"/>
                <w:b/>
                <w:i w:val="0"/>
                <w:color w:val="C98A1B"/>
                <w:sz w:val="22"/>
              </w:rPr>
              <w:t xml:space="preserve">P  </w:t>
            </w:r>
            <w:r>
              <w:rPr>
                <w:rFonts w:ascii="Segoe UI" w:hAnsi="Segoe UI"/>
                <w:b/>
                <w:i w:val="0"/>
                <w:color w:val="1B2330"/>
                <w:sz w:val="19"/>
              </w:rPr>
              <w:t xml:space="preserve">Plan — </w:t>
            </w:r>
            <w:r>
              <w:rPr>
                <w:rFonts w:ascii="Segoe UI" w:hAnsi="Segoe UI"/>
                <w:b w:val="0"/>
                <w:i w:val="0"/>
                <w:color w:val="4A5568"/>
                <w:sz w:val="19"/>
              </w:rPr>
              <w:t>next steps, homework, plan for next session</w:t>
            </w:r>
          </w:p>
        </w:tc>
      </w:tr>
    </w:tbl>
    <w:p>
      <w:pPr>
        <w:spacing w:after="40"/>
      </w:pPr>
    </w:p>
    <w:tbl>
      <w:tblPr>
        <w:tblW w:type="auto" w:w="0"/>
        <w:jc w:val="center"/>
        <w:tblLook w:firstColumn="1" w:firstRow="1" w:lastColumn="0" w:lastRow="0" w:noHBand="0" w:noVBand="1" w:val="04A0"/>
      </w:tblPr>
      <w:tblGrid>
        <w:gridCol w:w="9638"/>
      </w:tblGrid>
      <w:tr>
        <w:tc>
          <w:tcPr>
            <w:tcW w:type="dxa" w:w="9411"/>
            <w:tcBorders>
              <w:top w:val="single" w:sz="8" w:space="0" w:color="C98A1B"/>
              <w:left w:val="single" w:sz="8" w:space="0" w:color="C98A1B"/>
              <w:bottom w:val="single" w:sz="8" w:space="0" w:color="C98A1B"/>
              <w:right w:val="single" w:sz="8" w:space="0" w:color="C98A1B"/>
            </w:tcBorders>
            <w:shd w:val="clear" w:color="auto" w:fill="FFF6E6"/>
          </w:tcPr>
          <w:p>
            <w:pPr>
              <w:spacing w:before="40" w:after="60"/>
            </w:pPr>
            <w:r>
              <w:rPr>
                <w:rFonts w:ascii="Segoe UI" w:hAnsi="Segoe UI"/>
                <w:b/>
                <w:i w:val="0"/>
                <w:color w:val="8A5A00"/>
                <w:sz w:val="21"/>
              </w:rPr>
              <w:t xml:space="preserve">Mnemonic: </w:t>
            </w:r>
            <w:r>
              <w:rPr>
                <w:rFonts w:ascii="Segoe UI" w:hAnsi="Segoe UI"/>
                <w:b/>
                <w:i w:val="0"/>
                <w:color w:val="C98A1B"/>
                <w:sz w:val="26"/>
              </w:rPr>
              <w:t>4 Ps</w:t>
            </w:r>
            <w:r>
              <w:rPr>
                <w:rFonts w:ascii="Segoe UI" w:hAnsi="Segoe UI"/>
                <w:b/>
                <w:i w:val="0"/>
                <w:color w:val="8A5A00"/>
                <w:sz w:val="21"/>
              </w:rPr>
              <w:t xml:space="preserve">  —  the pillars of a case formulation</w:t>
            </w:r>
          </w:p>
          <w:p>
            <w:pPr>
              <w:spacing w:before="0" w:after="20"/>
            </w:pPr>
            <w:r>
              <w:rPr>
                <w:rFonts w:ascii="Segoe UI" w:hAnsi="Segoe UI"/>
                <w:b/>
                <w:i w:val="0"/>
                <w:color w:val="C98A1B"/>
                <w:sz w:val="22"/>
              </w:rPr>
              <w:t xml:space="preserve">P  </w:t>
            </w:r>
            <w:r>
              <w:rPr>
                <w:rFonts w:ascii="Segoe UI" w:hAnsi="Segoe UI"/>
                <w:b/>
                <w:i w:val="0"/>
                <w:color w:val="1B2330"/>
                <w:sz w:val="19"/>
              </w:rPr>
              <w:t xml:space="preserve">Predisposing — </w:t>
            </w:r>
            <w:r>
              <w:rPr>
                <w:rFonts w:ascii="Segoe UI" w:hAnsi="Segoe UI"/>
                <w:b w:val="0"/>
                <w:i w:val="0"/>
                <w:color w:val="4A5568"/>
                <w:sz w:val="19"/>
              </w:rPr>
              <w:t>long-standing vulnerability factors</w:t>
            </w:r>
          </w:p>
          <w:p>
            <w:pPr>
              <w:spacing w:before="0" w:after="20"/>
            </w:pPr>
            <w:r>
              <w:rPr>
                <w:rFonts w:ascii="Segoe UI" w:hAnsi="Segoe UI"/>
                <w:b/>
                <w:i w:val="0"/>
                <w:color w:val="C98A1B"/>
                <w:sz w:val="22"/>
              </w:rPr>
              <w:t xml:space="preserve">P  </w:t>
            </w:r>
            <w:r>
              <w:rPr>
                <w:rFonts w:ascii="Segoe UI" w:hAnsi="Segoe UI"/>
                <w:b/>
                <w:i w:val="0"/>
                <w:color w:val="1B2330"/>
                <w:sz w:val="19"/>
              </w:rPr>
              <w:t xml:space="preserve">Precipitating — </w:t>
            </w:r>
            <w:r>
              <w:rPr>
                <w:rFonts w:ascii="Segoe UI" w:hAnsi="Segoe UI"/>
                <w:b w:val="0"/>
                <w:i w:val="0"/>
                <w:color w:val="4A5568"/>
                <w:sz w:val="19"/>
              </w:rPr>
              <w:t>triggers that set off the problem</w:t>
            </w:r>
          </w:p>
          <w:p>
            <w:pPr>
              <w:spacing w:before="0" w:after="20"/>
            </w:pPr>
            <w:r>
              <w:rPr>
                <w:rFonts w:ascii="Segoe UI" w:hAnsi="Segoe UI"/>
                <w:b/>
                <w:i w:val="0"/>
                <w:color w:val="C98A1B"/>
                <w:sz w:val="22"/>
              </w:rPr>
              <w:t xml:space="preserve">P  </w:t>
            </w:r>
            <w:r>
              <w:rPr>
                <w:rFonts w:ascii="Segoe UI" w:hAnsi="Segoe UI"/>
                <w:b/>
                <w:i w:val="0"/>
                <w:color w:val="1B2330"/>
                <w:sz w:val="19"/>
              </w:rPr>
              <w:t xml:space="preserve">Perpetuating — </w:t>
            </w:r>
            <w:r>
              <w:rPr>
                <w:rFonts w:ascii="Segoe UI" w:hAnsi="Segoe UI"/>
                <w:b w:val="0"/>
                <w:i w:val="0"/>
                <w:color w:val="4A5568"/>
                <w:sz w:val="19"/>
              </w:rPr>
              <w:t>factors that maintain the problem</w:t>
            </w:r>
          </w:p>
          <w:p>
            <w:pPr>
              <w:spacing w:before="0" w:after="20"/>
            </w:pPr>
            <w:r>
              <w:rPr>
                <w:rFonts w:ascii="Segoe UI" w:hAnsi="Segoe UI"/>
                <w:b/>
                <w:i w:val="0"/>
                <w:color w:val="C98A1B"/>
                <w:sz w:val="22"/>
              </w:rPr>
              <w:t xml:space="preserve">P  </w:t>
            </w:r>
            <w:r>
              <w:rPr>
                <w:rFonts w:ascii="Segoe UI" w:hAnsi="Segoe UI"/>
                <w:b/>
                <w:i w:val="0"/>
                <w:color w:val="1B2330"/>
                <w:sz w:val="19"/>
              </w:rPr>
              <w:t xml:space="preserve">Protective — </w:t>
            </w:r>
            <w:r>
              <w:rPr>
                <w:rFonts w:ascii="Segoe UI" w:hAnsi="Segoe UI"/>
                <w:b w:val="0"/>
                <w:i w:val="0"/>
                <w:color w:val="4A5568"/>
                <w:sz w:val="19"/>
              </w:rPr>
              <w:t>strengths and supports to build on</w:t>
            </w:r>
          </w:p>
        </w:tc>
      </w:tr>
    </w:tbl>
    <w:p>
      <w:pPr>
        <w:spacing w:after="40"/>
      </w:pPr>
    </w:p>
    <w:p>
      <w:pPr>
        <w:pStyle w:val="Heading1"/>
        <w:pageBreakBefore/>
      </w:pPr>
      <w:r>
        <w:rPr>
          <w:rFonts w:ascii="Segoe UI" w:hAnsi="Segoe UI"/>
          <w:b/>
          <w:i w:val="0"/>
          <w:color w:val="2B4C7E"/>
          <w:sz w:val="30"/>
        </w:rPr>
        <w:t>8. Structuring Therapy and Setting Goals</w:t>
      </w:r>
    </w:p>
    <w:p>
      <w:pPr>
        <w:pStyle w:val="ListBullet"/>
        <w:spacing w:before="0" w:after="40"/>
      </w:pPr>
      <w:r>
        <w:rPr>
          <w:rFonts w:ascii="Calibri" w:hAnsi="Calibri"/>
          <w:b w:val="0"/>
          <w:i w:val="0"/>
          <w:color w:val="1B2330"/>
          <w:sz w:val="21"/>
        </w:rPr>
        <w:t>Structure gives therapy direction, safety and efficiency: a clear frame (contract), a clear agenda each session, phases, and regular review of progress.</w:t>
      </w:r>
    </w:p>
    <w:p>
      <w:pPr>
        <w:pStyle w:val="ListBullet"/>
        <w:spacing w:before="0" w:after="40"/>
      </w:pPr>
      <w:r>
        <w:rPr>
          <w:rFonts w:ascii="Calibri" w:hAnsi="Calibri"/>
          <w:b w:val="0"/>
          <w:i w:val="0"/>
          <w:color w:val="1B2330"/>
          <w:sz w:val="21"/>
        </w:rPr>
        <w:t>Phases of therapy:</w:t>
      </w:r>
    </w:p>
    <w:p>
      <w:pPr>
        <w:pStyle w:val="ListBullet2"/>
        <w:spacing w:before="0" w:after="20"/>
      </w:pPr>
      <w:r>
        <w:rPr>
          <w:rFonts w:ascii="Calibri" w:hAnsi="Calibri"/>
          <w:b w:val="0"/>
          <w:i w:val="0"/>
          <w:color w:val="1B2330"/>
          <w:sz w:val="20"/>
        </w:rPr>
        <w:t>Beginning: engagement, assessment, formulation, contracting, goal setting.</w:t>
      </w:r>
    </w:p>
    <w:p>
      <w:pPr>
        <w:pStyle w:val="ListBullet2"/>
        <w:spacing w:before="0" w:after="20"/>
      </w:pPr>
      <w:r>
        <w:rPr>
          <w:rFonts w:ascii="Calibri" w:hAnsi="Calibri"/>
          <w:b w:val="0"/>
          <w:i w:val="0"/>
          <w:color w:val="1B2330"/>
          <w:sz w:val="20"/>
        </w:rPr>
        <w:t>Middle: active intervention and working through.</w:t>
      </w:r>
    </w:p>
    <w:p>
      <w:pPr>
        <w:pStyle w:val="ListBullet2"/>
        <w:spacing w:before="0" w:after="20"/>
      </w:pPr>
      <w:r>
        <w:rPr>
          <w:rFonts w:ascii="Calibri" w:hAnsi="Calibri"/>
          <w:b w:val="0"/>
          <w:i w:val="0"/>
          <w:color w:val="1B2330"/>
          <w:sz w:val="20"/>
        </w:rPr>
        <w:t>End: consolidation, relapse prevention, termination, follow-up.</w:t>
      </w:r>
    </w:p>
    <w:p>
      <w:pPr>
        <w:pStyle w:val="ListBullet"/>
        <w:spacing w:before="0" w:after="40"/>
      </w:pPr>
      <w:r>
        <w:rPr>
          <w:rFonts w:ascii="Calibri" w:hAnsi="Calibri"/>
          <w:b w:val="0"/>
          <w:i w:val="0"/>
          <w:color w:val="1B2330"/>
          <w:sz w:val="21"/>
        </w:rPr>
        <w:t>Goal setting: collaborative (jointly negotiated), derived from the case formulation, expressed in the client's own words.</w:t>
      </w:r>
    </w:p>
    <w:p>
      <w:pPr>
        <w:pStyle w:val="ListBullet"/>
        <w:spacing w:before="0" w:after="40"/>
      </w:pPr>
      <w:r>
        <w:rPr>
          <w:rFonts w:ascii="Calibri" w:hAnsi="Calibri"/>
          <w:b w:val="0"/>
          <w:i w:val="0"/>
          <w:color w:val="1B2330"/>
          <w:sz w:val="21"/>
        </w:rPr>
        <w:t>Because patient, therapist and significant others may hold different goals (see Topic 2), negotiating and clarifying goals is part of structuring therapy and of valid informed consent.</w:t>
      </w:r>
    </w:p>
    <w:p>
      <w:pPr>
        <w:spacing w:before="180" w:after="40"/>
      </w:pPr>
      <w:r>
        <w:rPr>
          <w:rFonts w:ascii="Segoe UI" w:hAnsi="Segoe UI"/>
          <w:b/>
          <w:i w:val="0"/>
          <w:color w:val="1B2330"/>
          <w:sz w:val="23"/>
        </w:rPr>
        <w:t>Characteristics of good goals (SMART)</w:t>
      </w:r>
    </w:p>
    <w:p>
      <w:pPr>
        <w:pStyle w:val="ListBullet"/>
        <w:spacing w:before="0" w:after="40"/>
      </w:pPr>
      <w:r>
        <w:rPr>
          <w:rFonts w:ascii="Calibri" w:hAnsi="Calibri"/>
          <w:b w:val="0"/>
          <w:i w:val="0"/>
          <w:color w:val="1B2330"/>
          <w:sz w:val="21"/>
        </w:rPr>
        <w:t>Specific; Measurable; Achievable; Realistic/Relevant; Time-bound.</w:t>
      </w:r>
    </w:p>
    <w:p>
      <w:pPr>
        <w:pStyle w:val="ListBullet"/>
        <w:spacing w:before="0" w:after="40"/>
      </w:pPr>
      <w:r>
        <w:rPr>
          <w:rFonts w:ascii="Calibri" w:hAnsi="Calibri"/>
          <w:b w:val="0"/>
          <w:i w:val="0"/>
          <w:color w:val="1B2330"/>
          <w:sz w:val="21"/>
        </w:rPr>
        <w:t>Also stated positively, under the client's control, and ordered by priority.</w:t>
      </w:r>
    </w:p>
    <w:p>
      <w:pPr>
        <w:spacing w:before="180" w:after="40"/>
      </w:pPr>
      <w:r>
        <w:rPr>
          <w:rFonts w:ascii="Segoe UI" w:hAnsi="Segoe UI"/>
          <w:b/>
          <w:i w:val="0"/>
          <w:color w:val="1B2330"/>
          <w:sz w:val="23"/>
        </w:rPr>
        <w:t>Types of goals and measurement</w:t>
      </w:r>
    </w:p>
    <w:p>
      <w:pPr>
        <w:pStyle w:val="ListBullet"/>
        <w:spacing w:before="0" w:after="40"/>
      </w:pPr>
      <w:r>
        <w:rPr>
          <w:rFonts w:ascii="Calibri" w:hAnsi="Calibri"/>
          <w:b w:val="0"/>
          <w:i w:val="0"/>
          <w:color w:val="1B2330"/>
          <w:sz w:val="21"/>
        </w:rPr>
        <w:t>Ultimate vs intermediate vs immediate (session) goals.</w:t>
      </w:r>
    </w:p>
    <w:p>
      <w:pPr>
        <w:pStyle w:val="ListBullet"/>
        <w:spacing w:before="0" w:after="40"/>
      </w:pPr>
      <w:r>
        <w:rPr>
          <w:rFonts w:ascii="Calibri" w:hAnsi="Calibri"/>
          <w:b w:val="0"/>
          <w:i w:val="0"/>
          <w:color w:val="1B2330"/>
          <w:sz w:val="21"/>
        </w:rPr>
        <w:t>Outcome goals (symptom relief, behaviour change) vs process goals (insight, alliance, skills).</w:t>
      </w:r>
    </w:p>
    <w:p>
      <w:pPr>
        <w:pStyle w:val="ListBullet"/>
        <w:spacing w:before="0" w:after="40"/>
      </w:pPr>
      <w:r>
        <w:rPr>
          <w:rFonts w:ascii="Calibri" w:hAnsi="Calibri"/>
          <w:b w:val="0"/>
          <w:i w:val="0"/>
          <w:color w:val="1B2330"/>
          <w:sz w:val="21"/>
        </w:rPr>
        <w:t>Short-term vs long-term.</w:t>
      </w:r>
    </w:p>
    <w:p>
      <w:pPr>
        <w:pStyle w:val="ListBullet"/>
        <w:spacing w:before="0" w:after="40"/>
      </w:pPr>
      <w:r>
        <w:rPr>
          <w:rFonts w:ascii="Calibri" w:hAnsi="Calibri"/>
          <w:b w:val="0"/>
          <w:i w:val="0"/>
          <w:color w:val="1B2330"/>
          <w:sz w:val="21"/>
        </w:rPr>
        <w:t>Goal Attainment Scaling (Kiresuk and Sherman, 1968): each goal scaled from -2 (much worse) to +2 (much better than expected) for individualised measurement.</w:t>
      </w:r>
    </w:p>
    <w:p>
      <w:pPr>
        <w:spacing w:before="180" w:after="40"/>
      </w:pPr>
      <w:r>
        <w:rPr>
          <w:rFonts w:ascii="Segoe UI" w:hAnsi="Segoe UI"/>
          <w:b/>
          <w:i w:val="0"/>
          <w:color w:val="1B2330"/>
          <w:sz w:val="23"/>
        </w:rPr>
        <w:t>Why structure and goals matter</w:t>
      </w:r>
    </w:p>
    <w:p>
      <w:pPr>
        <w:pStyle w:val="ListBullet"/>
        <w:spacing w:before="0" w:after="40"/>
      </w:pPr>
      <w:r>
        <w:rPr>
          <w:rFonts w:ascii="Calibri" w:hAnsi="Calibri"/>
          <w:b w:val="0"/>
          <w:i w:val="0"/>
          <w:color w:val="1B2330"/>
          <w:sz w:val="21"/>
        </w:rPr>
        <w:t>Goal consensus is a component of the therapeutic alliance (Bordin) and predicts outcome.</w:t>
      </w:r>
    </w:p>
    <w:p>
      <w:pPr>
        <w:pStyle w:val="ListBullet"/>
        <w:spacing w:before="0" w:after="40"/>
      </w:pPr>
      <w:r>
        <w:rPr>
          <w:rFonts w:ascii="Calibri" w:hAnsi="Calibri"/>
          <w:b w:val="0"/>
          <w:i w:val="0"/>
          <w:color w:val="1B2330"/>
          <w:sz w:val="21"/>
        </w:rPr>
        <w:t>Clear goals increase motivation and signal when therapy is complete.</w:t>
      </w:r>
    </w:p>
    <w:p>
      <w:pPr>
        <w:pStyle w:val="ListBullet"/>
        <w:spacing w:before="0" w:after="40"/>
      </w:pPr>
      <w:r>
        <w:rPr>
          <w:rFonts w:ascii="Calibri" w:hAnsi="Calibri"/>
          <w:b w:val="0"/>
          <w:i w:val="0"/>
          <w:color w:val="1B2330"/>
          <w:sz w:val="21"/>
        </w:rPr>
        <w:t>Goals are revisited and revised as new information or progress emerges.</w:t>
      </w:r>
    </w:p>
    <w:p>
      <w:pPr>
        <w:spacing w:before="160" w:after="40"/>
      </w:pPr>
      <w:r>
        <w:rPr>
          <w:rFonts w:ascii="Segoe UI" w:hAnsi="Segoe UI"/>
          <w:b/>
          <w:i w:val="0"/>
          <w:color w:val="2B4C7E"/>
          <w:sz w:val="21"/>
        </w:rPr>
        <w:t>Flow chart: Flow: structuring the course of therapy</w:t>
      </w:r>
    </w:p>
    <w:tbl>
      <w:tblPr>
        <w:tblW w:type="auto" w:w="0"/>
        <w:jc w:val="center"/>
        <w:tblLook w:firstColumn="1" w:firstRow="1" w:lastColumn="0" w:lastRow="0" w:noHBand="0" w:noVBand="1" w:val="04A0"/>
      </w:tblPr>
      <w:tblGrid>
        <w:gridCol w:w="9638"/>
      </w:tblGrid>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Beginning: engage, assess, formulate, contract</w:t>
            </w:r>
          </w:p>
        </w:tc>
      </w:tr>
      <w:tr>
        <w:tc>
          <w:tcPr>
            <w:tcW w:type="dxa" w:w="8504"/>
          </w:tcPr>
          <w:p>
            <w:pPr>
              <w:spacing w:before="20" w:after="20"/>
              <w:jc w:val="center"/>
            </w:pPr>
            <w:r>
              <w:rPr>
                <w:rFonts w:ascii="Segoe UI" w:hAnsi="Segoe UI"/>
                <w:b/>
                <w:i w:val="0"/>
                <w:color w:val="2B4C7E"/>
                <w:sz w:val="26"/>
              </w:rPr>
              <w:t>↓</w:t>
            </w:r>
          </w:p>
        </w:tc>
      </w:tr>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Set collaborative SMART goals (from formulation)</w:t>
            </w:r>
          </w:p>
        </w:tc>
      </w:tr>
      <w:tr>
        <w:tc>
          <w:tcPr>
            <w:tcW w:type="dxa" w:w="8504"/>
          </w:tcPr>
          <w:p>
            <w:pPr>
              <w:spacing w:before="20" w:after="20"/>
              <w:jc w:val="center"/>
            </w:pPr>
            <w:r>
              <w:rPr>
                <w:rFonts w:ascii="Segoe UI" w:hAnsi="Segoe UI"/>
                <w:b/>
                <w:i w:val="0"/>
                <w:color w:val="2B4C7E"/>
                <w:sz w:val="26"/>
              </w:rPr>
              <w:t>↓</w:t>
            </w:r>
          </w:p>
        </w:tc>
      </w:tr>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Middle: intervene, work through, scale progress (GAS)</w:t>
            </w:r>
          </w:p>
        </w:tc>
      </w:tr>
      <w:tr>
        <w:tc>
          <w:tcPr>
            <w:tcW w:type="dxa" w:w="8504"/>
          </w:tcPr>
          <w:p>
            <w:pPr>
              <w:spacing w:before="20" w:after="20"/>
              <w:jc w:val="center"/>
            </w:pPr>
            <w:r>
              <w:rPr>
                <w:rFonts w:ascii="Segoe UI" w:hAnsi="Segoe UI"/>
                <w:b/>
                <w:i w:val="0"/>
                <w:color w:val="2B4C7E"/>
                <w:sz w:val="26"/>
              </w:rPr>
              <w:t>↓</w:t>
            </w:r>
          </w:p>
        </w:tc>
      </w:tr>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Review and revise goals</w:t>
            </w:r>
          </w:p>
        </w:tc>
      </w:tr>
      <w:tr>
        <w:tc>
          <w:tcPr>
            <w:tcW w:type="dxa" w:w="8504"/>
          </w:tcPr>
          <w:p>
            <w:pPr>
              <w:spacing w:before="20" w:after="20"/>
              <w:jc w:val="center"/>
            </w:pPr>
            <w:r>
              <w:rPr>
                <w:rFonts w:ascii="Segoe UI" w:hAnsi="Segoe UI"/>
                <w:b/>
                <w:i w:val="0"/>
                <w:color w:val="2B4C7E"/>
                <w:sz w:val="26"/>
              </w:rPr>
              <w:t>↓</w:t>
            </w:r>
          </w:p>
        </w:tc>
      </w:tr>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End: consolidate, relapse prevention, terminate, follow-up</w:t>
            </w:r>
          </w:p>
        </w:tc>
      </w:tr>
    </w:tbl>
    <w:p>
      <w:pPr>
        <w:spacing w:after="40"/>
      </w:pPr>
    </w:p>
    <w:tbl>
      <w:tblPr>
        <w:tblW w:type="auto" w:w="0"/>
        <w:jc w:val="center"/>
        <w:tblLook w:firstColumn="1" w:firstRow="1" w:lastColumn="0" w:lastRow="0" w:noHBand="0" w:noVBand="1" w:val="04A0"/>
      </w:tblPr>
      <w:tblGrid>
        <w:gridCol w:w="9638"/>
      </w:tblGrid>
      <w:tr>
        <w:tc>
          <w:tcPr>
            <w:tcW w:type="dxa" w:w="9411"/>
            <w:tcBorders>
              <w:top w:val="single" w:sz="8" w:space="0" w:color="C98A1B"/>
              <w:left w:val="single" w:sz="8" w:space="0" w:color="C98A1B"/>
              <w:bottom w:val="single" w:sz="8" w:space="0" w:color="C98A1B"/>
              <w:right w:val="single" w:sz="8" w:space="0" w:color="C98A1B"/>
            </w:tcBorders>
            <w:shd w:val="clear" w:color="auto" w:fill="FFF6E6"/>
          </w:tcPr>
          <w:p>
            <w:pPr>
              <w:spacing w:before="40" w:after="60"/>
            </w:pPr>
            <w:r>
              <w:rPr>
                <w:rFonts w:ascii="Segoe UI" w:hAnsi="Segoe UI"/>
                <w:b/>
                <w:i w:val="0"/>
                <w:color w:val="8A5A00"/>
                <w:sz w:val="21"/>
              </w:rPr>
              <w:t xml:space="preserve">Mnemonic: </w:t>
            </w:r>
            <w:r>
              <w:rPr>
                <w:rFonts w:ascii="Segoe UI" w:hAnsi="Segoe UI"/>
                <w:b/>
                <w:i w:val="0"/>
                <w:color w:val="C98A1B"/>
                <w:sz w:val="26"/>
              </w:rPr>
              <w:t>SMART</w:t>
            </w:r>
            <w:r>
              <w:rPr>
                <w:rFonts w:ascii="Segoe UI" w:hAnsi="Segoe UI"/>
                <w:b/>
                <w:i w:val="0"/>
                <w:color w:val="8A5A00"/>
                <w:sz w:val="21"/>
              </w:rPr>
              <w:t xml:space="preserve">  —  the characteristics of good goals</w:t>
            </w:r>
          </w:p>
          <w:p>
            <w:pPr>
              <w:spacing w:before="0" w:after="20"/>
            </w:pPr>
            <w:r>
              <w:rPr>
                <w:rFonts w:ascii="Segoe UI" w:hAnsi="Segoe UI"/>
                <w:b/>
                <w:i w:val="0"/>
                <w:color w:val="C98A1B"/>
                <w:sz w:val="22"/>
              </w:rPr>
              <w:t xml:space="preserve">S  </w:t>
            </w:r>
            <w:r>
              <w:rPr>
                <w:rFonts w:ascii="Segoe UI" w:hAnsi="Segoe UI"/>
                <w:b/>
                <w:i w:val="0"/>
                <w:color w:val="1B2330"/>
                <w:sz w:val="19"/>
              </w:rPr>
              <w:t xml:space="preserve">Specific — </w:t>
            </w:r>
            <w:r>
              <w:rPr>
                <w:rFonts w:ascii="Segoe UI" w:hAnsi="Segoe UI"/>
                <w:b w:val="0"/>
                <w:i w:val="0"/>
                <w:color w:val="4A5568"/>
                <w:sz w:val="19"/>
              </w:rPr>
              <w:t>clearly defined</w:t>
            </w:r>
          </w:p>
          <w:p>
            <w:pPr>
              <w:spacing w:before="0" w:after="20"/>
            </w:pPr>
            <w:r>
              <w:rPr>
                <w:rFonts w:ascii="Segoe UI" w:hAnsi="Segoe UI"/>
                <w:b/>
                <w:i w:val="0"/>
                <w:color w:val="C98A1B"/>
                <w:sz w:val="22"/>
              </w:rPr>
              <w:t xml:space="preserve">M  </w:t>
            </w:r>
            <w:r>
              <w:rPr>
                <w:rFonts w:ascii="Segoe UI" w:hAnsi="Segoe UI"/>
                <w:b/>
                <w:i w:val="0"/>
                <w:color w:val="1B2330"/>
                <w:sz w:val="19"/>
              </w:rPr>
              <w:t xml:space="preserve">Measurable — </w:t>
            </w:r>
            <w:r>
              <w:rPr>
                <w:rFonts w:ascii="Segoe UI" w:hAnsi="Segoe UI"/>
                <w:b w:val="0"/>
                <w:i w:val="0"/>
                <w:color w:val="4A5568"/>
                <w:sz w:val="19"/>
              </w:rPr>
              <w:t>progress can be measured</w:t>
            </w:r>
          </w:p>
          <w:p>
            <w:pPr>
              <w:spacing w:before="0" w:after="20"/>
            </w:pPr>
            <w:r>
              <w:rPr>
                <w:rFonts w:ascii="Segoe UI" w:hAnsi="Segoe UI"/>
                <w:b/>
                <w:i w:val="0"/>
                <w:color w:val="C98A1B"/>
                <w:sz w:val="22"/>
              </w:rPr>
              <w:t xml:space="preserve">A  </w:t>
            </w:r>
            <w:r>
              <w:rPr>
                <w:rFonts w:ascii="Segoe UI" w:hAnsi="Segoe UI"/>
                <w:b/>
                <w:i w:val="0"/>
                <w:color w:val="1B2330"/>
                <w:sz w:val="19"/>
              </w:rPr>
              <w:t xml:space="preserve">Achievable — </w:t>
            </w:r>
            <w:r>
              <w:rPr>
                <w:rFonts w:ascii="Segoe UI" w:hAnsi="Segoe UI"/>
                <w:b w:val="0"/>
                <w:i w:val="0"/>
                <w:color w:val="4A5568"/>
                <w:sz w:val="19"/>
              </w:rPr>
              <w:t>attainable for the client</w:t>
            </w:r>
          </w:p>
          <w:p>
            <w:pPr>
              <w:spacing w:before="0" w:after="20"/>
            </w:pPr>
            <w:r>
              <w:rPr>
                <w:rFonts w:ascii="Segoe UI" w:hAnsi="Segoe UI"/>
                <w:b/>
                <w:i w:val="0"/>
                <w:color w:val="C98A1B"/>
                <w:sz w:val="22"/>
              </w:rPr>
              <w:t xml:space="preserve">R  </w:t>
            </w:r>
            <w:r>
              <w:rPr>
                <w:rFonts w:ascii="Segoe UI" w:hAnsi="Segoe UI"/>
                <w:b/>
                <w:i w:val="0"/>
                <w:color w:val="1B2330"/>
                <w:sz w:val="19"/>
              </w:rPr>
              <w:t xml:space="preserve">Realistic / Relevant — </w:t>
            </w:r>
            <w:r>
              <w:rPr>
                <w:rFonts w:ascii="Segoe UI" w:hAnsi="Segoe UI"/>
                <w:b w:val="0"/>
                <w:i w:val="0"/>
                <w:color w:val="4A5568"/>
                <w:sz w:val="19"/>
              </w:rPr>
              <w:t>meaningful and feasible</w:t>
            </w:r>
          </w:p>
          <w:p>
            <w:pPr>
              <w:spacing w:before="0" w:after="20"/>
            </w:pPr>
            <w:r>
              <w:rPr>
                <w:rFonts w:ascii="Segoe UI" w:hAnsi="Segoe UI"/>
                <w:b/>
                <w:i w:val="0"/>
                <w:color w:val="C98A1B"/>
                <w:sz w:val="22"/>
              </w:rPr>
              <w:t xml:space="preserve">T  </w:t>
            </w:r>
            <w:r>
              <w:rPr>
                <w:rFonts w:ascii="Segoe UI" w:hAnsi="Segoe UI"/>
                <w:b/>
                <w:i w:val="0"/>
                <w:color w:val="1B2330"/>
                <w:sz w:val="19"/>
              </w:rPr>
              <w:t xml:space="preserve">Time-bound — </w:t>
            </w:r>
            <w:r>
              <w:rPr>
                <w:rFonts w:ascii="Segoe UI" w:hAnsi="Segoe UI"/>
                <w:b w:val="0"/>
                <w:i w:val="0"/>
                <w:color w:val="4A5568"/>
                <w:sz w:val="19"/>
              </w:rPr>
              <w:t>has a time frame</w:t>
            </w:r>
          </w:p>
        </w:tc>
      </w:tr>
    </w:tbl>
    <w:p>
      <w:pPr>
        <w:spacing w:after="40"/>
      </w:pPr>
    </w:p>
    <w:p>
      <w:pPr>
        <w:spacing w:before="160" w:after="40"/>
      </w:pPr>
      <w:r>
        <w:rPr>
          <w:rFonts w:ascii="Segoe UI" w:hAnsi="Segoe UI"/>
          <w:b/>
          <w:i w:val="0"/>
          <w:color w:val="2B4C7E"/>
          <w:sz w:val="21"/>
        </w:rPr>
        <w:t>Flow chart: Flow: the three phases of therapy</w:t>
      </w:r>
    </w:p>
    <w:tbl>
      <w:tblPr>
        <w:tblW w:type="auto" w:w="0"/>
        <w:jc w:val="center"/>
        <w:tblLook w:firstColumn="1" w:firstRow="1" w:lastColumn="0" w:lastRow="0" w:noHBand="0" w:noVBand="1" w:val="04A0"/>
      </w:tblPr>
      <w:tblGrid>
        <w:gridCol w:w="9638"/>
      </w:tblGrid>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Beginning: engage, assess, formulate, contract, set goals</w:t>
            </w:r>
          </w:p>
        </w:tc>
      </w:tr>
      <w:tr>
        <w:tc>
          <w:tcPr>
            <w:tcW w:type="dxa" w:w="8504"/>
          </w:tcPr>
          <w:p>
            <w:pPr>
              <w:spacing w:before="20" w:after="20"/>
              <w:jc w:val="center"/>
            </w:pPr>
            <w:r>
              <w:rPr>
                <w:rFonts w:ascii="Segoe UI" w:hAnsi="Segoe UI"/>
                <w:b/>
                <w:i w:val="0"/>
                <w:color w:val="2B4C7E"/>
                <w:sz w:val="26"/>
              </w:rPr>
              <w:t>↓</w:t>
            </w:r>
          </w:p>
        </w:tc>
      </w:tr>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Middle: active intervention and working through</w:t>
            </w:r>
          </w:p>
        </w:tc>
      </w:tr>
      <w:tr>
        <w:tc>
          <w:tcPr>
            <w:tcW w:type="dxa" w:w="8504"/>
          </w:tcPr>
          <w:p>
            <w:pPr>
              <w:spacing w:before="20" w:after="20"/>
              <w:jc w:val="center"/>
            </w:pPr>
            <w:r>
              <w:rPr>
                <w:rFonts w:ascii="Segoe UI" w:hAnsi="Segoe UI"/>
                <w:b/>
                <w:i w:val="0"/>
                <w:color w:val="2B4C7E"/>
                <w:sz w:val="26"/>
              </w:rPr>
              <w:t>↓</w:t>
            </w:r>
          </w:p>
        </w:tc>
      </w:tr>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End: consolidate, relapse prevention, terminate, follow-up</w:t>
            </w:r>
          </w:p>
        </w:tc>
      </w:tr>
    </w:tbl>
    <w:p>
      <w:pPr>
        <w:spacing w:after="40"/>
      </w:pPr>
    </w:p>
    <w:tbl>
      <w:tblPr>
        <w:tblW w:type="auto" w:w="0"/>
        <w:jc w:val="center"/>
        <w:tblLook w:firstColumn="1" w:firstRow="1" w:lastColumn="0" w:lastRow="0" w:noHBand="0" w:noVBand="1" w:val="04A0"/>
      </w:tblPr>
      <w:tblGrid>
        <w:gridCol w:w="9638"/>
      </w:tblGrid>
      <w:tr>
        <w:tc>
          <w:tcPr>
            <w:tcW w:type="dxa" w:w="9411"/>
            <w:tcBorders>
              <w:top w:val="single" w:sz="8" w:space="0" w:color="C98A1B"/>
              <w:left w:val="single" w:sz="8" w:space="0" w:color="C98A1B"/>
              <w:bottom w:val="single" w:sz="8" w:space="0" w:color="C98A1B"/>
              <w:right w:val="single" w:sz="8" w:space="0" w:color="C98A1B"/>
            </w:tcBorders>
            <w:shd w:val="clear" w:color="auto" w:fill="FFF6E6"/>
          </w:tcPr>
          <w:p>
            <w:pPr>
              <w:spacing w:before="40" w:after="60"/>
            </w:pPr>
            <w:r>
              <w:rPr>
                <w:rFonts w:ascii="Segoe UI" w:hAnsi="Segoe UI"/>
                <w:b/>
                <w:i w:val="0"/>
                <w:color w:val="8A5A00"/>
                <w:sz w:val="21"/>
              </w:rPr>
              <w:t xml:space="preserve">Mnemonic: </w:t>
            </w:r>
            <w:r>
              <w:rPr>
                <w:rFonts w:ascii="Segoe UI" w:hAnsi="Segoe UI"/>
                <w:b/>
                <w:i w:val="0"/>
                <w:color w:val="C98A1B"/>
                <w:sz w:val="26"/>
              </w:rPr>
              <w:t>OPIS</w:t>
            </w:r>
            <w:r>
              <w:rPr>
                <w:rFonts w:ascii="Segoe UI" w:hAnsi="Segoe UI"/>
                <w:b/>
                <w:i w:val="0"/>
                <w:color w:val="8A5A00"/>
                <w:sz w:val="21"/>
              </w:rPr>
              <w:t xml:space="preserve">  —  the ways goals are classified</w:t>
            </w:r>
          </w:p>
          <w:p>
            <w:pPr>
              <w:spacing w:before="0" w:after="20"/>
            </w:pPr>
            <w:r>
              <w:rPr>
                <w:rFonts w:ascii="Segoe UI" w:hAnsi="Segoe UI"/>
                <w:b/>
                <w:i w:val="0"/>
                <w:color w:val="C98A1B"/>
                <w:sz w:val="22"/>
              </w:rPr>
              <w:t xml:space="preserve">O  </w:t>
            </w:r>
            <w:r>
              <w:rPr>
                <w:rFonts w:ascii="Segoe UI" w:hAnsi="Segoe UI"/>
                <w:b/>
                <w:i w:val="0"/>
                <w:color w:val="1B2330"/>
                <w:sz w:val="19"/>
              </w:rPr>
              <w:t xml:space="preserve">Outcome vs process — </w:t>
            </w:r>
            <w:r>
              <w:rPr>
                <w:rFonts w:ascii="Segoe UI" w:hAnsi="Segoe UI"/>
                <w:b w:val="0"/>
                <w:i w:val="0"/>
                <w:color w:val="4A5568"/>
                <w:sz w:val="19"/>
              </w:rPr>
              <w:t>symptom/behaviour change vs insight/alliance/skills</w:t>
            </w:r>
          </w:p>
          <w:p>
            <w:pPr>
              <w:spacing w:before="0" w:after="20"/>
            </w:pPr>
            <w:r>
              <w:rPr>
                <w:rFonts w:ascii="Segoe UI" w:hAnsi="Segoe UI"/>
                <w:b/>
                <w:i w:val="0"/>
                <w:color w:val="C98A1B"/>
                <w:sz w:val="22"/>
              </w:rPr>
              <w:t xml:space="preserve">P  </w:t>
            </w:r>
            <w:r>
              <w:rPr>
                <w:rFonts w:ascii="Segoe UI" w:hAnsi="Segoe UI"/>
                <w:b/>
                <w:i w:val="0"/>
                <w:color w:val="1B2330"/>
                <w:sz w:val="19"/>
              </w:rPr>
              <w:t xml:space="preserve">Priority-ordered — </w:t>
            </w:r>
            <w:r>
              <w:rPr>
                <w:rFonts w:ascii="Segoe UI" w:hAnsi="Segoe UI"/>
                <w:b w:val="0"/>
                <w:i w:val="0"/>
                <w:color w:val="4A5568"/>
                <w:sz w:val="19"/>
              </w:rPr>
              <w:t>ranked by importance</w:t>
            </w:r>
          </w:p>
          <w:p>
            <w:pPr>
              <w:spacing w:before="0" w:after="20"/>
            </w:pPr>
            <w:r>
              <w:rPr>
                <w:rFonts w:ascii="Segoe UI" w:hAnsi="Segoe UI"/>
                <w:b/>
                <w:i w:val="0"/>
                <w:color w:val="C98A1B"/>
                <w:sz w:val="22"/>
              </w:rPr>
              <w:t xml:space="preserve">I  </w:t>
            </w:r>
            <w:r>
              <w:rPr>
                <w:rFonts w:ascii="Segoe UI" w:hAnsi="Segoe UI"/>
                <w:b/>
                <w:i w:val="0"/>
                <w:color w:val="1B2330"/>
                <w:sz w:val="19"/>
              </w:rPr>
              <w:t xml:space="preserve">Immediate/intermediate/ultimate — </w:t>
            </w:r>
            <w:r>
              <w:rPr>
                <w:rFonts w:ascii="Segoe UI" w:hAnsi="Segoe UI"/>
                <w:b w:val="0"/>
                <w:i w:val="0"/>
                <w:color w:val="4A5568"/>
                <w:sz w:val="19"/>
              </w:rPr>
              <w:t>session, mid-course and final goals</w:t>
            </w:r>
          </w:p>
          <w:p>
            <w:pPr>
              <w:spacing w:before="0" w:after="20"/>
            </w:pPr>
            <w:r>
              <w:rPr>
                <w:rFonts w:ascii="Segoe UI" w:hAnsi="Segoe UI"/>
                <w:b/>
                <w:i w:val="0"/>
                <w:color w:val="C98A1B"/>
                <w:sz w:val="22"/>
              </w:rPr>
              <w:t xml:space="preserve">S  </w:t>
            </w:r>
            <w:r>
              <w:rPr>
                <w:rFonts w:ascii="Segoe UI" w:hAnsi="Segoe UI"/>
                <w:b/>
                <w:i w:val="0"/>
                <w:color w:val="1B2330"/>
                <w:sz w:val="19"/>
              </w:rPr>
              <w:t xml:space="preserve">Short vs long term — </w:t>
            </w:r>
            <w:r>
              <w:rPr>
                <w:rFonts w:ascii="Segoe UI" w:hAnsi="Segoe UI"/>
                <w:b w:val="0"/>
                <w:i w:val="0"/>
                <w:color w:val="4A5568"/>
                <w:sz w:val="19"/>
              </w:rPr>
              <w:t>time horizon of the goal</w:t>
            </w:r>
          </w:p>
        </w:tc>
      </w:tr>
    </w:tbl>
    <w:p>
      <w:pPr>
        <w:spacing w:after="40"/>
      </w:pPr>
    </w:p>
    <w:p>
      <w:pPr>
        <w:pStyle w:val="Heading1"/>
        <w:pageBreakBefore/>
      </w:pPr>
      <w:r>
        <w:rPr>
          <w:rFonts w:ascii="Segoe UI" w:hAnsi="Segoe UI"/>
          <w:b/>
          <w:i w:val="0"/>
          <w:color w:val="2B4C7E"/>
          <w:sz w:val="30"/>
        </w:rPr>
        <w:t>9. Pre- and Post-Assessment</w:t>
      </w:r>
    </w:p>
    <w:p>
      <w:pPr>
        <w:spacing w:before="180" w:after="40"/>
      </w:pPr>
      <w:r>
        <w:rPr>
          <w:rFonts w:ascii="Segoe UI" w:hAnsi="Segoe UI"/>
          <w:b/>
          <w:i w:val="0"/>
          <w:color w:val="1B2330"/>
          <w:sz w:val="23"/>
        </w:rPr>
        <w:t>Purpose</w:t>
      </w:r>
    </w:p>
    <w:p>
      <w:pPr>
        <w:pStyle w:val="ListBullet"/>
        <w:spacing w:before="0" w:after="40"/>
      </w:pPr>
      <w:r>
        <w:rPr>
          <w:rFonts w:ascii="Calibri" w:hAnsi="Calibri"/>
          <w:b w:val="0"/>
          <w:i w:val="0"/>
          <w:color w:val="1B2330"/>
          <w:sz w:val="21"/>
        </w:rPr>
        <w:t>Pre-assessment (baseline): diagnosis, severity, risk, strengths, and a benchmark.</w:t>
      </w:r>
    </w:p>
    <w:p>
      <w:pPr>
        <w:pStyle w:val="ListBullet"/>
        <w:spacing w:before="0" w:after="40"/>
      </w:pPr>
      <w:r>
        <w:rPr>
          <w:rFonts w:ascii="Calibri" w:hAnsi="Calibri"/>
          <w:b w:val="0"/>
          <w:i w:val="0"/>
          <w:color w:val="1B2330"/>
          <w:sz w:val="21"/>
        </w:rPr>
        <w:t>Post-assessment: evaluates change after therapy; follow-up checks maintenance.</w:t>
      </w:r>
    </w:p>
    <w:p>
      <w:pPr>
        <w:pStyle w:val="ListBullet"/>
        <w:spacing w:before="0" w:after="40"/>
      </w:pPr>
      <w:r>
        <w:rPr>
          <w:rFonts w:ascii="Calibri" w:hAnsi="Calibri"/>
          <w:b w:val="0"/>
          <w:i w:val="0"/>
          <w:color w:val="1B2330"/>
          <w:sz w:val="21"/>
        </w:rPr>
        <w:t>Ongoing session-by-session monitoring (e.g. OQ-45, CORE-OM, Outcome Rating Scale / Session Rating Scale) gives feedback so therapy can be adjusted (feedback-informed treatment); reduces deterioration, especially in clients "not on track".</w:t>
      </w:r>
    </w:p>
    <w:p>
      <w:pPr>
        <w:spacing w:before="180" w:after="40"/>
      </w:pPr>
      <w:r>
        <w:rPr>
          <w:rFonts w:ascii="Segoe UI" w:hAnsi="Segoe UI"/>
          <w:b/>
          <w:i w:val="0"/>
          <w:color w:val="1B2330"/>
          <w:sz w:val="23"/>
        </w:rPr>
        <w:t>Methods</w:t>
      </w:r>
    </w:p>
    <w:p>
      <w:pPr>
        <w:pStyle w:val="ListBullet"/>
        <w:spacing w:before="0" w:after="40"/>
      </w:pPr>
      <w:r>
        <w:rPr>
          <w:rFonts w:ascii="Calibri" w:hAnsi="Calibri"/>
          <w:b w:val="0"/>
          <w:i w:val="0"/>
          <w:color w:val="1B2330"/>
          <w:sz w:val="21"/>
        </w:rPr>
        <w:t>Structured and unstructured interviews; behavioural observation.</w:t>
      </w:r>
    </w:p>
    <w:p>
      <w:pPr>
        <w:pStyle w:val="ListBullet"/>
        <w:spacing w:before="0" w:after="40"/>
      </w:pPr>
      <w:r>
        <w:rPr>
          <w:rFonts w:ascii="Calibri" w:hAnsi="Calibri"/>
          <w:b w:val="0"/>
          <w:i w:val="0"/>
          <w:color w:val="1B2330"/>
          <w:sz w:val="21"/>
        </w:rPr>
        <w:t>Self-report scales; clinician-rated scales; projective or other tests when relevant.</w:t>
      </w:r>
    </w:p>
    <w:p>
      <w:pPr>
        <w:pStyle w:val="ListBullet"/>
        <w:spacing w:before="0" w:after="40"/>
      </w:pPr>
      <w:r>
        <w:rPr>
          <w:rFonts w:ascii="Calibri" w:hAnsi="Calibri"/>
          <w:b w:val="0"/>
          <w:i w:val="0"/>
          <w:color w:val="1B2330"/>
          <w:sz w:val="21"/>
        </w:rPr>
        <w:t>Collateral information; physiological measures; client diaries / self-monitoring.</w:t>
      </w:r>
    </w:p>
    <w:p>
      <w:pPr>
        <w:spacing w:before="180" w:after="40"/>
      </w:pPr>
      <w:r>
        <w:rPr>
          <w:rFonts w:ascii="Segoe UI" w:hAnsi="Segoe UI"/>
          <w:b/>
          <w:i w:val="0"/>
          <w:color w:val="1B2330"/>
          <w:sz w:val="23"/>
        </w:rPr>
        <w:t>Commonly used measures (from the backbone)</w:t>
      </w:r>
    </w:p>
    <w:p>
      <w:pPr>
        <w:pStyle w:val="ListBullet"/>
        <w:spacing w:before="0" w:after="40"/>
      </w:pPr>
      <w:r>
        <w:rPr>
          <w:rFonts w:ascii="Calibri" w:hAnsi="Calibri"/>
          <w:b w:val="0"/>
          <w:i w:val="0"/>
          <w:color w:val="1B2330"/>
          <w:sz w:val="21"/>
        </w:rPr>
        <w:t>Depression: BDI-II, PHQ-9, HAM-D.</w:t>
      </w:r>
    </w:p>
    <w:p>
      <w:pPr>
        <w:pStyle w:val="ListBullet"/>
        <w:spacing w:before="0" w:after="40"/>
      </w:pPr>
      <w:r>
        <w:rPr>
          <w:rFonts w:ascii="Calibri" w:hAnsi="Calibri"/>
          <w:b w:val="0"/>
          <w:i w:val="0"/>
          <w:color w:val="1B2330"/>
          <w:sz w:val="21"/>
        </w:rPr>
        <w:t>Anxiety: BAI, GAD-7, HAM-A.</w:t>
      </w:r>
    </w:p>
    <w:p>
      <w:pPr>
        <w:pStyle w:val="ListBullet"/>
        <w:spacing w:before="0" w:after="40"/>
      </w:pPr>
      <w:r>
        <w:rPr>
          <w:rFonts w:ascii="Calibri" w:hAnsi="Calibri"/>
          <w:b w:val="0"/>
          <w:i w:val="0"/>
          <w:color w:val="1B2330"/>
          <w:sz w:val="21"/>
        </w:rPr>
        <w:t>OCD: Y-BOCS. PTSD: PCL-5 / CAPS-5.</w:t>
      </w:r>
    </w:p>
    <w:p>
      <w:pPr>
        <w:pStyle w:val="ListBullet"/>
        <w:spacing w:before="0" w:after="40"/>
      </w:pPr>
      <w:r>
        <w:rPr>
          <w:rFonts w:ascii="Calibri" w:hAnsi="Calibri"/>
          <w:b w:val="0"/>
          <w:i w:val="0"/>
          <w:color w:val="1B2330"/>
          <w:sz w:val="21"/>
        </w:rPr>
        <w:t>General distress: SCL-90-R, GHQ.</w:t>
      </w:r>
    </w:p>
    <w:p>
      <w:pPr>
        <w:pStyle w:val="ListBullet"/>
        <w:spacing w:before="0" w:after="40"/>
      </w:pPr>
      <w:r>
        <w:rPr>
          <w:rFonts w:ascii="Calibri" w:hAnsi="Calibri"/>
          <w:b w:val="0"/>
          <w:i w:val="0"/>
          <w:color w:val="1B2330"/>
          <w:sz w:val="21"/>
        </w:rPr>
        <w:t>Well-being / quality of life: WHO-5, WHOQOL-BREF.</w:t>
      </w:r>
    </w:p>
    <w:p>
      <w:pPr>
        <w:pStyle w:val="ListBullet"/>
        <w:spacing w:before="0" w:after="40"/>
      </w:pPr>
      <w:r>
        <w:rPr>
          <w:rFonts w:ascii="Calibri" w:hAnsi="Calibri"/>
          <w:b w:val="0"/>
          <w:i w:val="0"/>
          <w:color w:val="1B2330"/>
          <w:sz w:val="21"/>
        </w:rPr>
        <w:t>Functioning: GAF / WHODAS 2.0. Global: CGI.</w:t>
      </w:r>
    </w:p>
    <w:p>
      <w:pPr>
        <w:pStyle w:val="ListBullet"/>
        <w:spacing w:before="0" w:after="40"/>
      </w:pPr>
      <w:r>
        <w:rPr>
          <w:rFonts w:ascii="Calibri" w:hAnsi="Calibri"/>
          <w:b w:val="0"/>
          <w:i w:val="0"/>
          <w:color w:val="1B2330"/>
          <w:sz w:val="21"/>
        </w:rPr>
        <w:t>Target-complaint ratings; therapeutic alliance (WAI).</w:t>
      </w:r>
    </w:p>
    <w:p>
      <w:pPr>
        <w:spacing w:before="180" w:after="40"/>
      </w:pPr>
      <w:r>
        <w:rPr>
          <w:rFonts w:ascii="Segoe UI" w:hAnsi="Segoe UI"/>
          <w:b/>
          <w:i w:val="0"/>
          <w:color w:val="1B2330"/>
          <w:sz w:val="23"/>
        </w:rPr>
        <w:t>Evaluating change</w:t>
      </w:r>
    </w:p>
    <w:p>
      <w:pPr>
        <w:pStyle w:val="ListBullet"/>
        <w:spacing w:before="0" w:after="40"/>
      </w:pPr>
      <w:r>
        <w:rPr>
          <w:rFonts w:ascii="Calibri" w:hAnsi="Calibri"/>
          <w:b w:val="0"/>
          <w:i w:val="0"/>
          <w:color w:val="1B2330"/>
          <w:sz w:val="21"/>
        </w:rPr>
        <w:t>Statistical significance (group level) vs clinical significance (individual level).</w:t>
      </w:r>
    </w:p>
    <w:p>
      <w:pPr>
        <w:pStyle w:val="ListBullet"/>
        <w:spacing w:before="0" w:after="40"/>
      </w:pPr>
      <w:r>
        <w:rPr>
          <w:rFonts w:ascii="Calibri" w:hAnsi="Calibri"/>
          <w:b w:val="0"/>
          <w:i w:val="0"/>
          <w:color w:val="1B2330"/>
          <w:sz w:val="21"/>
        </w:rPr>
        <w:t>Reliable Change Index (RCI; Jacobson and Truax, 1991): the change must exceed measurement error (RCI &gt; 1.96).</w:t>
      </w:r>
    </w:p>
    <w:p>
      <w:pPr>
        <w:pStyle w:val="ListBullet"/>
        <w:spacing w:before="0" w:after="40"/>
      </w:pPr>
      <w:r>
        <w:rPr>
          <w:rFonts w:ascii="Calibri" w:hAnsi="Calibri"/>
          <w:b w:val="0"/>
          <w:i w:val="0"/>
          <w:color w:val="1B2330"/>
          <w:sz w:val="21"/>
        </w:rPr>
        <w:t>Clinically significant change: the client crosses a cutoff between the dysfunctional and functional populations.</w:t>
      </w:r>
    </w:p>
    <w:p>
      <w:pPr>
        <w:pStyle w:val="ListBullet"/>
        <w:spacing w:before="0" w:after="40"/>
      </w:pPr>
      <w:r>
        <w:rPr>
          <w:rFonts w:ascii="Calibri" w:hAnsi="Calibri"/>
          <w:b w:val="0"/>
          <w:i w:val="0"/>
          <w:color w:val="1B2330"/>
          <w:sz w:val="21"/>
        </w:rPr>
        <w:t>Effect size (Cohen's d) and percentage improvement.</w:t>
      </w:r>
    </w:p>
    <w:p>
      <w:pPr>
        <w:pStyle w:val="ListBullet"/>
        <w:spacing w:before="0" w:after="40"/>
      </w:pPr>
      <w:r>
        <w:rPr>
          <w:rFonts w:ascii="Calibri" w:hAnsi="Calibri"/>
          <w:b w:val="0"/>
          <w:i w:val="0"/>
          <w:color w:val="1B2330"/>
          <w:sz w:val="21"/>
        </w:rPr>
        <w:t>Single-case designs (AB, ABAB, multiple baseline) for individual evaluation.</w:t>
      </w:r>
    </w:p>
    <w:tbl>
      <w:tblPr>
        <w:tblW w:type="auto" w:w="0"/>
        <w:jc w:val="center"/>
        <w:tblLook w:firstColumn="1" w:firstRow="1" w:lastColumn="0" w:lastRow="0" w:noHBand="0" w:noVBand="1" w:val="04A0"/>
      </w:tblPr>
      <w:tblGrid>
        <w:gridCol w:w="9638"/>
      </w:tblGrid>
      <w:tr>
        <w:tc>
          <w:tcPr>
            <w:tcW w:type="dxa" w:w="9411"/>
            <w:tcBorders>
              <w:top w:val="single" w:sz="8" w:space="0" w:color="B23A48"/>
              <w:left w:val="single" w:sz="8" w:space="0" w:color="B23A48"/>
              <w:bottom w:val="single" w:sz="8" w:space="0" w:color="B23A48"/>
              <w:right w:val="single" w:sz="8" w:space="0" w:color="B23A48"/>
            </w:tcBorders>
            <w:shd w:val="clear" w:color="auto" w:fill="FDECEF"/>
          </w:tcPr>
          <w:p>
            <w:pPr>
              <w:spacing w:before="40" w:after="60"/>
            </w:pPr>
            <w:r>
              <w:rPr>
                <w:rFonts w:ascii="Segoe UI" w:hAnsi="Segoe UI"/>
                <w:b/>
                <w:i w:val="0"/>
                <w:color w:val="B23A48"/>
                <w:sz w:val="21"/>
              </w:rPr>
              <w:t>Two different RCIs — do not confuse them</w:t>
            </w:r>
          </w:p>
          <w:p>
            <w:pPr>
              <w:pStyle w:val="ListBullet"/>
              <w:spacing w:before="0" w:after="40"/>
            </w:pPr>
            <w:r>
              <w:rPr>
                <w:rFonts w:ascii="Calibri" w:hAnsi="Calibri"/>
                <w:b w:val="0"/>
                <w:i w:val="0"/>
                <w:color w:val="1B2330"/>
                <w:sz w:val="19"/>
              </w:rPr>
              <w:t>RCI (Act): Rehabilitation Council of India Act, 1992 — the regulator (Sections 3-4-10).</w:t>
            </w:r>
          </w:p>
          <w:p>
            <w:pPr>
              <w:pStyle w:val="ListBullet"/>
              <w:spacing w:before="0" w:after="40"/>
            </w:pPr>
            <w:r>
              <w:rPr>
                <w:rFonts w:ascii="Calibri" w:hAnsi="Calibri"/>
                <w:b w:val="0"/>
                <w:i w:val="0"/>
                <w:color w:val="1B2330"/>
                <w:sz w:val="19"/>
              </w:rPr>
              <w:t>RCI (statistic): Reliable Change Index (Jacobson &amp; Truax, 1991) — used here to judge whether an individual's change is reliable (&gt; 1.96).</w:t>
            </w:r>
          </w:p>
        </w:tc>
      </w:tr>
    </w:tbl>
    <w:p>
      <w:pPr>
        <w:spacing w:after="40"/>
      </w:pPr>
    </w:p>
    <w:p>
      <w:pPr>
        <w:spacing w:before="180" w:after="40"/>
      </w:pPr>
      <w:r>
        <w:rPr>
          <w:rFonts w:ascii="Segoe UI" w:hAnsi="Segoe UI"/>
          <w:b/>
          <w:i w:val="0"/>
          <w:color w:val="1B2330"/>
          <w:sz w:val="23"/>
        </w:rPr>
        <w:t>Good practice</w:t>
      </w:r>
    </w:p>
    <w:p>
      <w:pPr>
        <w:pStyle w:val="ListBullet"/>
        <w:spacing w:before="0" w:after="40"/>
      </w:pPr>
      <w:r>
        <w:rPr>
          <w:rFonts w:ascii="Calibri" w:hAnsi="Calibri"/>
          <w:b w:val="0"/>
          <w:i w:val="0"/>
          <w:color w:val="1B2330"/>
          <w:sz w:val="21"/>
        </w:rPr>
        <w:t>Use reliable and valid measures suited to the client's language, culture and literacy.</w:t>
      </w:r>
    </w:p>
    <w:p>
      <w:pPr>
        <w:pStyle w:val="ListBullet"/>
        <w:spacing w:before="0" w:after="40"/>
      </w:pPr>
      <w:r>
        <w:rPr>
          <w:rFonts w:ascii="Calibri" w:hAnsi="Calibri"/>
          <w:b w:val="0"/>
          <w:i w:val="0"/>
          <w:color w:val="1B2330"/>
          <w:sz w:val="21"/>
        </w:rPr>
        <w:t>Use the same measures before and after.</w:t>
      </w:r>
    </w:p>
    <w:p>
      <w:pPr>
        <w:pStyle w:val="ListBullet"/>
        <w:spacing w:before="0" w:after="40"/>
      </w:pPr>
      <w:r>
        <w:rPr>
          <w:rFonts w:ascii="Calibri" w:hAnsi="Calibri"/>
          <w:b w:val="0"/>
          <w:i w:val="0"/>
          <w:color w:val="1B2330"/>
          <w:sz w:val="21"/>
        </w:rPr>
        <w:t>Interpret with caution (placebo, regression to the mean, practice effects, response bias).</w:t>
      </w:r>
    </w:p>
    <w:p>
      <w:pPr>
        <w:pStyle w:val="ListBullet"/>
        <w:spacing w:before="0" w:after="40"/>
      </w:pPr>
      <w:r>
        <w:rPr>
          <w:rFonts w:ascii="Calibri" w:hAnsi="Calibri"/>
          <w:b w:val="0"/>
          <w:i w:val="0"/>
          <w:color w:val="1B2330"/>
          <w:sz w:val="21"/>
        </w:rPr>
        <w:t>Share results with the client and use them to plan further care.</w:t>
      </w:r>
    </w:p>
    <w:p>
      <w:pPr>
        <w:spacing w:before="160" w:after="40"/>
      </w:pPr>
      <w:r>
        <w:rPr>
          <w:rFonts w:ascii="Segoe UI" w:hAnsi="Segoe UI"/>
          <w:b/>
          <w:i w:val="0"/>
          <w:color w:val="2B4C7E"/>
          <w:sz w:val="21"/>
        </w:rPr>
        <w:t>Flow chart: Flow: measuring change across therapy</w:t>
      </w:r>
    </w:p>
    <w:tbl>
      <w:tblPr>
        <w:tblW w:type="auto" w:w="0"/>
        <w:jc w:val="center"/>
        <w:tblLook w:firstColumn="1" w:firstRow="1" w:lastColumn="0" w:lastRow="0" w:noHBand="0" w:noVBand="1" w:val="04A0"/>
      </w:tblPr>
      <w:tblGrid>
        <w:gridCol w:w="9638"/>
      </w:tblGrid>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Pre-assessment (baseline): diagnosis, severity, risk, strengths</w:t>
            </w:r>
          </w:p>
        </w:tc>
      </w:tr>
      <w:tr>
        <w:tc>
          <w:tcPr>
            <w:tcW w:type="dxa" w:w="8504"/>
          </w:tcPr>
          <w:p>
            <w:pPr>
              <w:spacing w:before="20" w:after="20"/>
              <w:jc w:val="center"/>
            </w:pPr>
            <w:r>
              <w:rPr>
                <w:rFonts w:ascii="Segoe UI" w:hAnsi="Segoe UI"/>
                <w:b/>
                <w:i w:val="0"/>
                <w:color w:val="2B4C7E"/>
                <w:sz w:val="26"/>
              </w:rPr>
              <w:t>↓</w:t>
            </w:r>
          </w:p>
        </w:tc>
      </w:tr>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Session-by-session monitoring (feedback-informed)</w:t>
            </w:r>
          </w:p>
        </w:tc>
      </w:tr>
      <w:tr>
        <w:tc>
          <w:tcPr>
            <w:tcW w:type="dxa" w:w="8504"/>
          </w:tcPr>
          <w:p>
            <w:pPr>
              <w:spacing w:before="20" w:after="20"/>
              <w:jc w:val="center"/>
            </w:pPr>
            <w:r>
              <w:rPr>
                <w:rFonts w:ascii="Segoe UI" w:hAnsi="Segoe UI"/>
                <w:b/>
                <w:i w:val="0"/>
                <w:color w:val="2B4C7E"/>
                <w:sz w:val="26"/>
              </w:rPr>
              <w:t>↓</w:t>
            </w:r>
          </w:p>
        </w:tc>
      </w:tr>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Post-assessment with the SAME measures</w:t>
            </w:r>
          </w:p>
        </w:tc>
      </w:tr>
      <w:tr>
        <w:tc>
          <w:tcPr>
            <w:tcW w:type="dxa" w:w="8504"/>
          </w:tcPr>
          <w:p>
            <w:pPr>
              <w:spacing w:before="20" w:after="20"/>
              <w:jc w:val="center"/>
            </w:pPr>
            <w:r>
              <w:rPr>
                <w:rFonts w:ascii="Segoe UI" w:hAnsi="Segoe UI"/>
                <w:b/>
                <w:i w:val="0"/>
                <w:color w:val="2B4C7E"/>
                <w:sz w:val="26"/>
              </w:rPr>
              <w:t>↓</w:t>
            </w:r>
          </w:p>
        </w:tc>
      </w:tr>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Reliable change? RCI &gt; 1.96</w:t>
            </w:r>
          </w:p>
        </w:tc>
      </w:tr>
      <w:tr>
        <w:tc>
          <w:tcPr>
            <w:tcW w:type="dxa" w:w="8504"/>
          </w:tcPr>
          <w:p>
            <w:pPr>
              <w:spacing w:before="20" w:after="20"/>
              <w:jc w:val="center"/>
            </w:pPr>
            <w:r>
              <w:rPr>
                <w:rFonts w:ascii="Segoe UI" w:hAnsi="Segoe UI"/>
                <w:b/>
                <w:i w:val="0"/>
                <w:color w:val="2B4C7E"/>
                <w:sz w:val="26"/>
              </w:rPr>
              <w:t>↓</w:t>
            </w:r>
          </w:p>
        </w:tc>
      </w:tr>
    </w:tbl>
    <w:p>
      <w:pPr>
        <w:spacing w:before="20" w:after="0"/>
        <w:jc w:val="center"/>
      </w:pPr>
      <w:r>
        <w:rPr>
          <w:rFonts w:ascii="Segoe UI" w:hAnsi="Segoe UI"/>
          <w:b w:val="0"/>
          <w:i/>
          <w:color w:val="4A5568"/>
          <w:sz w:val="17"/>
        </w:rPr>
        <w:t>Yes + crosses clinical cutoff</w:t>
      </w:r>
    </w:p>
    <w:p>
      <w:pPr>
        <w:spacing w:before="0" w:after="0"/>
        <w:jc w:val="center"/>
      </w:pPr>
      <w:r>
        <w:rPr>
          <w:rFonts w:ascii="Segoe UI" w:hAnsi="Segoe UI"/>
          <w:b/>
          <w:i w:val="0"/>
          <w:color w:val="2B4C7E"/>
          <w:sz w:val="22"/>
        </w:rPr>
        <w:t>↓</w:t>
      </w:r>
    </w:p>
    <w:tbl>
      <w:tblPr>
        <w:tblW w:type="auto" w:w="0"/>
        <w:jc w:val="center"/>
        <w:tblLook w:firstColumn="1" w:firstRow="1" w:lastColumn="0" w:lastRow="0" w:noHBand="0" w:noVBand="1" w:val="04A0"/>
      </w:tblPr>
      <w:tblGrid>
        <w:gridCol w:w="9638"/>
      </w:tblGrid>
      <w:tr>
        <w:tc>
          <w:tcPr>
            <w:tcW w:type="dxa" w:w="8504"/>
            <w:tcBorders>
              <w:top w:val="single" w:sz="8" w:space="0" w:color="2B4C7E"/>
              <w:left w:val="single" w:sz="8" w:space="0" w:color="2B4C7E"/>
              <w:bottom w:val="single" w:sz="8" w:space="0" w:color="2B4C7E"/>
              <w:right w:val="single" w:sz="8" w:space="0" w:color="2B4C7E"/>
            </w:tcBorders>
            <w:shd w:val="clear" w:color="auto" w:fill="E8EEF7"/>
          </w:tcPr>
          <w:p>
            <w:pPr>
              <w:spacing w:before="20" w:after="20"/>
              <w:jc w:val="center"/>
            </w:pPr>
            <w:r>
              <w:rPr>
                <w:rFonts w:ascii="Segoe UI" w:hAnsi="Segoe UI"/>
                <w:b w:val="0"/>
                <w:i w:val="0"/>
                <w:color w:val="1B2330"/>
                <w:sz w:val="19"/>
              </w:rPr>
              <w:t>Clinically significant change</w:t>
            </w:r>
          </w:p>
        </w:tc>
      </w:tr>
    </w:tbl>
    <w:p>
      <w:pPr>
        <w:spacing w:before="20" w:after="0"/>
        <w:jc w:val="center"/>
      </w:pPr>
      <w:r>
        <w:rPr>
          <w:rFonts w:ascii="Segoe UI" w:hAnsi="Segoe UI"/>
          <w:b w:val="0"/>
          <w:i/>
          <w:color w:val="4A5568"/>
          <w:sz w:val="17"/>
        </w:rPr>
        <w:t>No / partial</w:t>
      </w:r>
    </w:p>
    <w:p>
      <w:pPr>
        <w:spacing w:before="0" w:after="0"/>
        <w:jc w:val="center"/>
      </w:pPr>
      <w:r>
        <w:rPr>
          <w:rFonts w:ascii="Segoe UI" w:hAnsi="Segoe UI"/>
          <w:b/>
          <w:i w:val="0"/>
          <w:color w:val="2B4C7E"/>
          <w:sz w:val="22"/>
        </w:rPr>
        <w:t>↓</w:t>
      </w:r>
    </w:p>
    <w:tbl>
      <w:tblPr>
        <w:tblW w:type="auto" w:w="0"/>
        <w:jc w:val="center"/>
        <w:tblLook w:firstColumn="1" w:firstRow="1" w:lastColumn="0" w:lastRow="0" w:noHBand="0" w:noVBand="1" w:val="04A0"/>
      </w:tblPr>
      <w:tblGrid>
        <w:gridCol w:w="9638"/>
      </w:tblGrid>
      <w:tr>
        <w:tc>
          <w:tcPr>
            <w:tcW w:type="dxa" w:w="8504"/>
            <w:tcBorders>
              <w:top w:val="single" w:sz="8" w:space="0" w:color="2B4C7E"/>
              <w:left w:val="single" w:sz="8" w:space="0" w:color="2B4C7E"/>
              <w:bottom w:val="single" w:sz="8" w:space="0" w:color="2B4C7E"/>
              <w:right w:val="single" w:sz="8" w:space="0" w:color="2B4C7E"/>
            </w:tcBorders>
            <w:shd w:val="clear" w:color="auto" w:fill="E8EEF7"/>
          </w:tcPr>
          <w:p>
            <w:pPr>
              <w:spacing w:before="20" w:after="20"/>
              <w:jc w:val="center"/>
            </w:pPr>
            <w:r>
              <w:rPr>
                <w:rFonts w:ascii="Segoe UI" w:hAnsi="Segoe UI"/>
                <w:b w:val="0"/>
                <w:i w:val="0"/>
                <w:color w:val="1B2330"/>
                <w:sz w:val="19"/>
              </w:rPr>
              <w:t>Revise plan; continue or refer</w:t>
            </w:r>
          </w:p>
        </w:tc>
      </w:tr>
    </w:tbl>
    <w:p>
      <w:pPr>
        <w:spacing w:after="40"/>
      </w:pPr>
    </w:p>
    <w:tbl>
      <w:tblPr>
        <w:tblW w:type="auto" w:w="0"/>
        <w:jc w:val="center"/>
        <w:tblLook w:firstColumn="1" w:firstRow="1" w:lastColumn="0" w:lastRow="0" w:noHBand="0" w:noVBand="1" w:val="04A0"/>
      </w:tblPr>
      <w:tblGrid>
        <w:gridCol w:w="9638"/>
      </w:tblGrid>
      <w:tr>
        <w:tc>
          <w:tcPr>
            <w:tcW w:type="dxa" w:w="9411"/>
            <w:tcBorders>
              <w:top w:val="single" w:sz="8" w:space="0" w:color="C98A1B"/>
              <w:left w:val="single" w:sz="8" w:space="0" w:color="C98A1B"/>
              <w:bottom w:val="single" w:sz="8" w:space="0" w:color="C98A1B"/>
              <w:right w:val="single" w:sz="8" w:space="0" w:color="C98A1B"/>
            </w:tcBorders>
            <w:shd w:val="clear" w:color="auto" w:fill="FFF6E6"/>
          </w:tcPr>
          <w:p>
            <w:pPr>
              <w:spacing w:before="40" w:after="60"/>
            </w:pPr>
            <w:r>
              <w:rPr>
                <w:rFonts w:ascii="Segoe UI" w:hAnsi="Segoe UI"/>
                <w:b/>
                <w:i w:val="0"/>
                <w:color w:val="8A5A00"/>
                <w:sz w:val="21"/>
              </w:rPr>
              <w:t xml:space="preserve">Mnemonic: </w:t>
            </w:r>
            <w:r>
              <w:rPr>
                <w:rFonts w:ascii="Segoe UI" w:hAnsi="Segoe UI"/>
                <w:b/>
                <w:i w:val="0"/>
                <w:color w:val="C98A1B"/>
                <w:sz w:val="26"/>
              </w:rPr>
              <w:t>BASE</w:t>
            </w:r>
            <w:r>
              <w:rPr>
                <w:rFonts w:ascii="Segoe UI" w:hAnsi="Segoe UI"/>
                <w:b/>
                <w:i w:val="0"/>
                <w:color w:val="8A5A00"/>
                <w:sz w:val="21"/>
              </w:rPr>
              <w:t xml:space="preserve">  —  the logic of pre/post assessment</w:t>
            </w:r>
          </w:p>
          <w:p>
            <w:pPr>
              <w:spacing w:before="0" w:after="20"/>
            </w:pPr>
            <w:r>
              <w:rPr>
                <w:rFonts w:ascii="Segoe UI" w:hAnsi="Segoe UI"/>
                <w:b/>
                <w:i w:val="0"/>
                <w:color w:val="C98A1B"/>
                <w:sz w:val="22"/>
              </w:rPr>
              <w:t xml:space="preserve">B  </w:t>
            </w:r>
            <w:r>
              <w:rPr>
                <w:rFonts w:ascii="Segoe UI" w:hAnsi="Segoe UI"/>
                <w:b/>
                <w:i w:val="0"/>
                <w:color w:val="1B2330"/>
                <w:sz w:val="19"/>
              </w:rPr>
              <w:t xml:space="preserve">Baseline — </w:t>
            </w:r>
            <w:r>
              <w:rPr>
                <w:rFonts w:ascii="Segoe UI" w:hAnsi="Segoe UI"/>
                <w:b w:val="0"/>
                <w:i w:val="0"/>
                <w:color w:val="4A5568"/>
                <w:sz w:val="19"/>
              </w:rPr>
              <w:t>pre-assessment benchmark</w:t>
            </w:r>
          </w:p>
          <w:p>
            <w:pPr>
              <w:spacing w:before="0" w:after="20"/>
            </w:pPr>
            <w:r>
              <w:rPr>
                <w:rFonts w:ascii="Segoe UI" w:hAnsi="Segoe UI"/>
                <w:b/>
                <w:i w:val="0"/>
                <w:color w:val="C98A1B"/>
                <w:sz w:val="22"/>
              </w:rPr>
              <w:t xml:space="preserve">A  </w:t>
            </w:r>
            <w:r>
              <w:rPr>
                <w:rFonts w:ascii="Segoe UI" w:hAnsi="Segoe UI"/>
                <w:b/>
                <w:i w:val="0"/>
                <w:color w:val="1B2330"/>
                <w:sz w:val="19"/>
              </w:rPr>
              <w:t xml:space="preserve">Assess ongoing — </w:t>
            </w:r>
            <w:r>
              <w:rPr>
                <w:rFonts w:ascii="Segoe UI" w:hAnsi="Segoe UI"/>
                <w:b w:val="0"/>
                <w:i w:val="0"/>
                <w:color w:val="4A5568"/>
                <w:sz w:val="19"/>
              </w:rPr>
              <w:t>session-by-session monitoring</w:t>
            </w:r>
          </w:p>
          <w:p>
            <w:pPr>
              <w:spacing w:before="0" w:after="20"/>
            </w:pPr>
            <w:r>
              <w:rPr>
                <w:rFonts w:ascii="Segoe UI" w:hAnsi="Segoe UI"/>
                <w:b/>
                <w:i w:val="0"/>
                <w:color w:val="C98A1B"/>
                <w:sz w:val="22"/>
              </w:rPr>
              <w:t xml:space="preserve">S  </w:t>
            </w:r>
            <w:r>
              <w:rPr>
                <w:rFonts w:ascii="Segoe UI" w:hAnsi="Segoe UI"/>
                <w:b/>
                <w:i w:val="0"/>
                <w:color w:val="1B2330"/>
                <w:sz w:val="19"/>
              </w:rPr>
              <w:t xml:space="preserve">Same measures — </w:t>
            </w:r>
            <w:r>
              <w:rPr>
                <w:rFonts w:ascii="Segoe UI" w:hAnsi="Segoe UI"/>
                <w:b w:val="0"/>
                <w:i w:val="0"/>
                <w:color w:val="4A5568"/>
                <w:sz w:val="19"/>
              </w:rPr>
              <w:t>same valid tools before and after</w:t>
            </w:r>
          </w:p>
          <w:p>
            <w:pPr>
              <w:spacing w:before="0" w:after="20"/>
            </w:pPr>
            <w:r>
              <w:rPr>
                <w:rFonts w:ascii="Segoe UI" w:hAnsi="Segoe UI"/>
                <w:b/>
                <w:i w:val="0"/>
                <w:color w:val="C98A1B"/>
                <w:sz w:val="22"/>
              </w:rPr>
              <w:t xml:space="preserve">E  </w:t>
            </w:r>
            <w:r>
              <w:rPr>
                <w:rFonts w:ascii="Segoe UI" w:hAnsi="Segoe UI"/>
                <w:b/>
                <w:i w:val="0"/>
                <w:color w:val="1B2330"/>
                <w:sz w:val="19"/>
              </w:rPr>
              <w:t xml:space="preserve">Evaluate change — </w:t>
            </w:r>
            <w:r>
              <w:rPr>
                <w:rFonts w:ascii="Segoe UI" w:hAnsi="Segoe UI"/>
                <w:b w:val="0"/>
                <w:i w:val="0"/>
                <w:color w:val="4A5568"/>
                <w:sz w:val="19"/>
              </w:rPr>
              <w:t>RCI, clinical significance, effect size</w:t>
            </w:r>
          </w:p>
        </w:tc>
      </w:tr>
    </w:tbl>
    <w:p>
      <w:pPr>
        <w:spacing w:after="40"/>
      </w:pPr>
    </w:p>
    <w:p>
      <w:pPr>
        <w:spacing w:before="160" w:after="40"/>
      </w:pPr>
      <w:r>
        <w:rPr>
          <w:rFonts w:ascii="Segoe UI" w:hAnsi="Segoe UI"/>
          <w:b/>
          <w:i w:val="0"/>
          <w:color w:val="2B4C7E"/>
          <w:sz w:val="21"/>
        </w:rPr>
        <w:t>Flow chart: Flow: judging whether change is real</w:t>
      </w:r>
    </w:p>
    <w:tbl>
      <w:tblPr>
        <w:tblW w:type="auto" w:w="0"/>
        <w:jc w:val="center"/>
        <w:tblLook w:firstColumn="1" w:firstRow="1" w:lastColumn="0" w:lastRow="0" w:noHBand="0" w:noVBand="1" w:val="04A0"/>
      </w:tblPr>
      <w:tblGrid>
        <w:gridCol w:w="9638"/>
      </w:tblGrid>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Pre vs post scores on the same measure</w:t>
            </w:r>
          </w:p>
        </w:tc>
      </w:tr>
      <w:tr>
        <w:tc>
          <w:tcPr>
            <w:tcW w:type="dxa" w:w="8504"/>
          </w:tcPr>
          <w:p>
            <w:pPr>
              <w:spacing w:before="20" w:after="20"/>
              <w:jc w:val="center"/>
            </w:pPr>
            <w:r>
              <w:rPr>
                <w:rFonts w:ascii="Segoe UI" w:hAnsi="Segoe UI"/>
                <w:b/>
                <w:i w:val="0"/>
                <w:color w:val="2B4C7E"/>
                <w:sz w:val="26"/>
              </w:rPr>
              <w:t>↓</w:t>
            </w:r>
          </w:p>
        </w:tc>
      </w:tr>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Statistical significance (group level)?</w:t>
            </w:r>
          </w:p>
        </w:tc>
      </w:tr>
      <w:tr>
        <w:tc>
          <w:tcPr>
            <w:tcW w:type="dxa" w:w="8504"/>
          </w:tcPr>
          <w:p>
            <w:pPr>
              <w:spacing w:before="20" w:after="20"/>
              <w:jc w:val="center"/>
            </w:pPr>
            <w:r>
              <w:rPr>
                <w:rFonts w:ascii="Segoe UI" w:hAnsi="Segoe UI"/>
                <w:b/>
                <w:i w:val="0"/>
                <w:color w:val="2B4C7E"/>
                <w:sz w:val="26"/>
              </w:rPr>
              <w:t>↓</w:t>
            </w:r>
          </w:p>
        </w:tc>
      </w:tr>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Reliable Change Index &gt; 1.96 (individual level)?</w:t>
            </w:r>
          </w:p>
        </w:tc>
      </w:tr>
      <w:tr>
        <w:tc>
          <w:tcPr>
            <w:tcW w:type="dxa" w:w="8504"/>
          </w:tcPr>
          <w:p>
            <w:pPr>
              <w:spacing w:before="20" w:after="20"/>
              <w:jc w:val="center"/>
            </w:pPr>
            <w:r>
              <w:rPr>
                <w:rFonts w:ascii="Segoe UI" w:hAnsi="Segoe UI"/>
                <w:b/>
                <w:i w:val="0"/>
                <w:color w:val="2B4C7E"/>
                <w:sz w:val="26"/>
              </w:rPr>
              <w:t>↓</w:t>
            </w:r>
          </w:p>
        </w:tc>
      </w:tr>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Crosses the clinical cutoff (dysfunctional → functional)?</w:t>
            </w:r>
          </w:p>
        </w:tc>
      </w:tr>
      <w:tr>
        <w:tc>
          <w:tcPr>
            <w:tcW w:type="dxa" w:w="8504"/>
          </w:tcPr>
          <w:p>
            <w:pPr>
              <w:spacing w:before="20" w:after="20"/>
              <w:jc w:val="center"/>
            </w:pPr>
            <w:r>
              <w:rPr>
                <w:rFonts w:ascii="Segoe UI" w:hAnsi="Segoe UI"/>
                <w:b/>
                <w:i w:val="0"/>
                <w:color w:val="2B4C7E"/>
                <w:sz w:val="26"/>
              </w:rPr>
              <w:t>↓</w:t>
            </w:r>
          </w:p>
        </w:tc>
      </w:tr>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 reliable AND clinically significant change</w:t>
            </w:r>
          </w:p>
        </w:tc>
      </w:tr>
    </w:tbl>
    <w:p>
      <w:pPr>
        <w:spacing w:after="40"/>
      </w:pPr>
    </w:p>
    <w:tbl>
      <w:tblPr>
        <w:tblW w:type="auto" w:w="0"/>
        <w:jc w:val="center"/>
        <w:tblLook w:firstColumn="1" w:firstRow="1" w:lastColumn="0" w:lastRow="0" w:noHBand="0" w:noVBand="1" w:val="04A0"/>
      </w:tblPr>
      <w:tblGrid>
        <w:gridCol w:w="9638"/>
      </w:tblGrid>
      <w:tr>
        <w:tc>
          <w:tcPr>
            <w:tcW w:type="dxa" w:w="9411"/>
            <w:tcBorders>
              <w:top w:val="single" w:sz="8" w:space="0" w:color="C98A1B"/>
              <w:left w:val="single" w:sz="8" w:space="0" w:color="C98A1B"/>
              <w:bottom w:val="single" w:sz="8" w:space="0" w:color="C98A1B"/>
              <w:right w:val="single" w:sz="8" w:space="0" w:color="C98A1B"/>
            </w:tcBorders>
            <w:shd w:val="clear" w:color="auto" w:fill="FFF6E6"/>
          </w:tcPr>
          <w:p>
            <w:pPr>
              <w:spacing w:before="40" w:after="60"/>
            </w:pPr>
            <w:r>
              <w:rPr>
                <w:rFonts w:ascii="Segoe UI" w:hAnsi="Segoe UI"/>
                <w:b/>
                <w:i w:val="0"/>
                <w:color w:val="8A5A00"/>
                <w:sz w:val="21"/>
              </w:rPr>
              <w:t xml:space="preserve">Mnemonic: </w:t>
            </w:r>
            <w:r>
              <w:rPr>
                <w:rFonts w:ascii="Segoe UI" w:hAnsi="Segoe UI"/>
                <w:b/>
                <w:i w:val="0"/>
                <w:color w:val="C98A1B"/>
                <w:sz w:val="26"/>
              </w:rPr>
              <w:t>SCORE</w:t>
            </w:r>
            <w:r>
              <w:rPr>
                <w:rFonts w:ascii="Segoe UI" w:hAnsi="Segoe UI"/>
                <w:b/>
                <w:i w:val="0"/>
                <w:color w:val="8A5A00"/>
                <w:sz w:val="21"/>
              </w:rPr>
              <w:t xml:space="preserve">  —  sound assessment methods</w:t>
            </w:r>
          </w:p>
          <w:p>
            <w:pPr>
              <w:spacing w:before="0" w:after="20"/>
            </w:pPr>
            <w:r>
              <w:rPr>
                <w:rFonts w:ascii="Segoe UI" w:hAnsi="Segoe UI"/>
                <w:b/>
                <w:i w:val="0"/>
                <w:color w:val="C98A1B"/>
                <w:sz w:val="22"/>
              </w:rPr>
              <w:t xml:space="preserve">S  </w:t>
            </w:r>
            <w:r>
              <w:rPr>
                <w:rFonts w:ascii="Segoe UI" w:hAnsi="Segoe UI"/>
                <w:b/>
                <w:i w:val="0"/>
                <w:color w:val="1B2330"/>
                <w:sz w:val="19"/>
              </w:rPr>
              <w:t xml:space="preserve">Self-report — </w:t>
            </w:r>
            <w:r>
              <w:rPr>
                <w:rFonts w:ascii="Segoe UI" w:hAnsi="Segoe UI"/>
                <w:b w:val="0"/>
                <w:i w:val="0"/>
                <w:color w:val="4A5568"/>
                <w:sz w:val="19"/>
              </w:rPr>
              <w:t>self-report scales and diaries</w:t>
            </w:r>
          </w:p>
          <w:p>
            <w:pPr>
              <w:spacing w:before="0" w:after="20"/>
            </w:pPr>
            <w:r>
              <w:rPr>
                <w:rFonts w:ascii="Segoe UI" w:hAnsi="Segoe UI"/>
                <w:b/>
                <w:i w:val="0"/>
                <w:color w:val="C98A1B"/>
                <w:sz w:val="22"/>
              </w:rPr>
              <w:t xml:space="preserve">C  </w:t>
            </w:r>
            <w:r>
              <w:rPr>
                <w:rFonts w:ascii="Segoe UI" w:hAnsi="Segoe UI"/>
                <w:b/>
                <w:i w:val="0"/>
                <w:color w:val="1B2330"/>
                <w:sz w:val="19"/>
              </w:rPr>
              <w:t xml:space="preserve">Clinician-rated — </w:t>
            </w:r>
            <w:r>
              <w:rPr>
                <w:rFonts w:ascii="Segoe UI" w:hAnsi="Segoe UI"/>
                <w:b w:val="0"/>
                <w:i w:val="0"/>
                <w:color w:val="4A5568"/>
                <w:sz w:val="19"/>
              </w:rPr>
              <w:t>clinician-administered scales</w:t>
            </w:r>
          </w:p>
          <w:p>
            <w:pPr>
              <w:spacing w:before="0" w:after="20"/>
            </w:pPr>
            <w:r>
              <w:rPr>
                <w:rFonts w:ascii="Segoe UI" w:hAnsi="Segoe UI"/>
                <w:b/>
                <w:i w:val="0"/>
                <w:color w:val="C98A1B"/>
                <w:sz w:val="22"/>
              </w:rPr>
              <w:t xml:space="preserve">O  </w:t>
            </w:r>
            <w:r>
              <w:rPr>
                <w:rFonts w:ascii="Segoe UI" w:hAnsi="Segoe UI"/>
                <w:b/>
                <w:i w:val="0"/>
                <w:color w:val="1B2330"/>
                <w:sz w:val="19"/>
              </w:rPr>
              <w:t xml:space="preserve">Observation — </w:t>
            </w:r>
            <w:r>
              <w:rPr>
                <w:rFonts w:ascii="Segoe UI" w:hAnsi="Segoe UI"/>
                <w:b w:val="0"/>
                <w:i w:val="0"/>
                <w:color w:val="4A5568"/>
                <w:sz w:val="19"/>
              </w:rPr>
              <w:t>behavioural observation</w:t>
            </w:r>
          </w:p>
          <w:p>
            <w:pPr>
              <w:spacing w:before="0" w:after="20"/>
            </w:pPr>
            <w:r>
              <w:rPr>
                <w:rFonts w:ascii="Segoe UI" w:hAnsi="Segoe UI"/>
                <w:b/>
                <w:i w:val="0"/>
                <w:color w:val="C98A1B"/>
                <w:sz w:val="22"/>
              </w:rPr>
              <w:t xml:space="preserve">R  </w:t>
            </w:r>
            <w:r>
              <w:rPr>
                <w:rFonts w:ascii="Segoe UI" w:hAnsi="Segoe UI"/>
                <w:b/>
                <w:i w:val="0"/>
                <w:color w:val="1B2330"/>
                <w:sz w:val="19"/>
              </w:rPr>
              <w:t xml:space="preserve">Reports / collateral — </w:t>
            </w:r>
            <w:r>
              <w:rPr>
                <w:rFonts w:ascii="Segoe UI" w:hAnsi="Segoe UI"/>
                <w:b w:val="0"/>
                <w:i w:val="0"/>
                <w:color w:val="4A5568"/>
                <w:sz w:val="19"/>
              </w:rPr>
              <w:t>collateral and physiological information</w:t>
            </w:r>
          </w:p>
          <w:p>
            <w:pPr>
              <w:spacing w:before="0" w:after="20"/>
            </w:pPr>
            <w:r>
              <w:rPr>
                <w:rFonts w:ascii="Segoe UI" w:hAnsi="Segoe UI"/>
                <w:b/>
                <w:i w:val="0"/>
                <w:color w:val="C98A1B"/>
                <w:sz w:val="22"/>
              </w:rPr>
              <w:t xml:space="preserve">E  </w:t>
            </w:r>
            <w:r>
              <w:rPr>
                <w:rFonts w:ascii="Segoe UI" w:hAnsi="Segoe UI"/>
                <w:b/>
                <w:i w:val="0"/>
                <w:color w:val="1B2330"/>
                <w:sz w:val="19"/>
              </w:rPr>
              <w:t xml:space="preserve">Examine / interview — </w:t>
            </w:r>
            <w:r>
              <w:rPr>
                <w:rFonts w:ascii="Segoe UI" w:hAnsi="Segoe UI"/>
                <w:b w:val="0"/>
                <w:i w:val="0"/>
                <w:color w:val="4A5568"/>
                <w:sz w:val="19"/>
              </w:rPr>
              <w:t>structured and unstructured interviews</w:t>
            </w:r>
          </w:p>
        </w:tc>
      </w:tr>
    </w:tbl>
    <w:p>
      <w:pPr>
        <w:spacing w:after="40"/>
      </w:pPr>
    </w:p>
    <w:p>
      <w:pPr>
        <w:pStyle w:val="Heading1"/>
        <w:pageBreakBefore/>
      </w:pPr>
      <w:r>
        <w:rPr>
          <w:rFonts w:ascii="Segoe UI" w:hAnsi="Segoe UI"/>
          <w:b/>
          <w:i w:val="0"/>
          <w:color w:val="2B4C7E"/>
          <w:sz w:val="30"/>
        </w:rPr>
        <w:t>10. Practice of Evidence-Based Therapies (EBP)</w:t>
      </w:r>
    </w:p>
    <w:p>
      <w:pPr>
        <w:spacing w:before="180" w:after="40"/>
      </w:pPr>
      <w:r>
        <w:rPr>
          <w:rFonts w:ascii="Segoe UI" w:hAnsi="Segoe UI"/>
          <w:b/>
          <w:i w:val="0"/>
          <w:color w:val="1B2330"/>
          <w:sz w:val="23"/>
        </w:rPr>
        <w:t>Definition and origins</w:t>
      </w:r>
    </w:p>
    <w:p>
      <w:pPr>
        <w:pStyle w:val="ListBullet"/>
        <w:spacing w:before="0" w:after="40"/>
      </w:pPr>
      <w:r>
        <w:rPr>
          <w:rFonts w:ascii="Calibri" w:hAnsi="Calibri"/>
          <w:b w:val="0"/>
          <w:i w:val="0"/>
          <w:color w:val="1B2330"/>
          <w:sz w:val="21"/>
        </w:rPr>
        <w:t>APA Presidential Task Force (2006): EBP is the integration of the best available research with clinical expertise in the context of patient characteristics, culture and preferences (supported).</w:t>
      </w:r>
    </w:p>
    <w:p>
      <w:pPr>
        <w:pStyle w:val="ListBullet"/>
        <w:spacing w:before="0" w:after="40"/>
      </w:pPr>
      <w:r>
        <w:rPr>
          <w:rFonts w:ascii="Calibri" w:hAnsi="Calibri"/>
          <w:b w:val="0"/>
          <w:i w:val="0"/>
          <w:color w:val="1B2330"/>
          <w:sz w:val="21"/>
        </w:rPr>
        <w:t>The concept came from evidence-based medicine (Sackett).</w:t>
      </w:r>
    </w:p>
    <w:p>
      <w:pPr>
        <w:spacing w:before="180" w:after="40"/>
      </w:pPr>
      <w:r>
        <w:rPr>
          <w:rFonts w:ascii="Segoe UI" w:hAnsi="Segoe UI"/>
          <w:b/>
          <w:i w:val="0"/>
          <w:color w:val="1B2330"/>
          <w:sz w:val="23"/>
        </w:rPr>
        <w:t>Empirically supported treatments (ESTs)</w:t>
      </w:r>
    </w:p>
    <w:p>
      <w:pPr>
        <w:pStyle w:val="ListBullet"/>
        <w:spacing w:before="0" w:after="40"/>
      </w:pPr>
      <w:r>
        <w:rPr>
          <w:rFonts w:ascii="Calibri" w:hAnsi="Calibri"/>
          <w:b w:val="0"/>
          <w:i w:val="0"/>
          <w:color w:val="1B2330"/>
          <w:sz w:val="21"/>
        </w:rPr>
        <w:t>Division 12 (Society of Clinical Psychology, APA); Chambless and Hollon (1998) criteria:</w:t>
      </w:r>
    </w:p>
    <w:p>
      <w:pPr>
        <w:pStyle w:val="ListBullet2"/>
        <w:spacing w:before="0" w:after="20"/>
      </w:pPr>
      <w:r>
        <w:rPr>
          <w:rFonts w:ascii="Calibri" w:hAnsi="Calibri"/>
          <w:b w:val="0"/>
          <w:i w:val="0"/>
          <w:color w:val="1B2330"/>
          <w:sz w:val="20"/>
        </w:rPr>
        <w:t>well-established (≥ 2 good between-group studies by independent researchers, or a large series of single-case studies, showing superiority to placebo or another treatment, with manuals and clear samples);</w:t>
      </w:r>
    </w:p>
    <w:p>
      <w:pPr>
        <w:pStyle w:val="ListBullet2"/>
        <w:spacing w:before="0" w:after="20"/>
      </w:pPr>
      <w:r>
        <w:rPr>
          <w:rFonts w:ascii="Calibri" w:hAnsi="Calibri"/>
          <w:b w:val="0"/>
          <w:i w:val="0"/>
          <w:color w:val="1B2330"/>
          <w:sz w:val="20"/>
        </w:rPr>
        <w:t>probably efficacious.</w:t>
      </w:r>
    </w:p>
    <w:p>
      <w:pPr>
        <w:spacing w:before="180" w:after="40"/>
      </w:pPr>
      <w:r>
        <w:rPr>
          <w:rFonts w:ascii="Segoe UI" w:hAnsi="Segoe UI"/>
          <w:b/>
          <w:i w:val="0"/>
          <w:color w:val="1B2330"/>
          <w:sz w:val="23"/>
        </w:rPr>
        <w:t>Hierarchy of evidence</w:t>
      </w:r>
    </w:p>
    <w:p>
      <w:pPr>
        <w:pStyle w:val="ListBullet"/>
        <w:spacing w:before="0" w:after="40"/>
      </w:pPr>
      <w:r>
        <w:rPr>
          <w:rFonts w:ascii="Calibri" w:hAnsi="Calibri"/>
          <w:b w:val="0"/>
          <w:i w:val="0"/>
          <w:color w:val="1B2330"/>
          <w:sz w:val="21"/>
        </w:rPr>
        <w:t>Systematic reviews / meta-analyses of RCTs; then RCTs; controlled trials without randomisation; cohort and case-control; single-case studies; expert opinion.</w:t>
      </w:r>
    </w:p>
    <w:p>
      <w:pPr>
        <w:pStyle w:val="ListBullet"/>
        <w:spacing w:before="0" w:after="40"/>
      </w:pPr>
      <w:r>
        <w:rPr>
          <w:rFonts w:ascii="Calibri" w:hAnsi="Calibri"/>
          <w:b w:val="0"/>
          <w:i w:val="0"/>
          <w:color w:val="1B2330"/>
          <w:sz w:val="21"/>
        </w:rPr>
        <w:t>Efficacy (controlled conditions) vs effectiveness (real-world) vs clinical utility (feasible, acceptable, cost-effective).</w:t>
      </w:r>
    </w:p>
    <w:p>
      <w:pPr>
        <w:spacing w:before="180" w:after="40"/>
      </w:pPr>
      <w:r>
        <w:rPr>
          <w:rFonts w:ascii="Segoe UI" w:hAnsi="Segoe UI"/>
          <w:b/>
          <w:i w:val="0"/>
          <w:color w:val="1B2330"/>
          <w:sz w:val="23"/>
        </w:rPr>
        <w:t>Examples of well-supported treatments</w:t>
      </w:r>
    </w:p>
    <w:p>
      <w:pPr>
        <w:pStyle w:val="ListBullet"/>
        <w:spacing w:before="0" w:after="40"/>
      </w:pPr>
      <w:r>
        <w:rPr>
          <w:rFonts w:ascii="Calibri" w:hAnsi="Calibri"/>
          <w:b w:val="0"/>
          <w:i w:val="0"/>
          <w:color w:val="1B2330"/>
          <w:sz w:val="21"/>
        </w:rPr>
        <w:t>CBT for depression, panic, social anxiety, GAD.</w:t>
      </w:r>
    </w:p>
    <w:p>
      <w:pPr>
        <w:pStyle w:val="ListBullet"/>
        <w:spacing w:before="0" w:after="40"/>
      </w:pPr>
      <w:r>
        <w:rPr>
          <w:rFonts w:ascii="Calibri" w:hAnsi="Calibri"/>
          <w:b w:val="0"/>
          <w:i w:val="0"/>
          <w:color w:val="1B2330"/>
          <w:sz w:val="21"/>
        </w:rPr>
        <w:t>ERP for OCD; prolonged exposure, cognitive processing therapy and EMDR for PTSD.</w:t>
      </w:r>
    </w:p>
    <w:p>
      <w:pPr>
        <w:pStyle w:val="ListBullet"/>
        <w:spacing w:before="0" w:after="40"/>
      </w:pPr>
      <w:r>
        <w:rPr>
          <w:rFonts w:ascii="Calibri" w:hAnsi="Calibri"/>
          <w:b w:val="0"/>
          <w:i w:val="0"/>
          <w:color w:val="1B2330"/>
          <w:sz w:val="21"/>
        </w:rPr>
        <w:t>Behavioural activation and IPT for depression; DBT for borderline personality disorder.</w:t>
      </w:r>
    </w:p>
    <w:p>
      <w:pPr>
        <w:pStyle w:val="ListBullet"/>
        <w:spacing w:before="0" w:after="40"/>
      </w:pPr>
      <w:r>
        <w:rPr>
          <w:rFonts w:ascii="Calibri" w:hAnsi="Calibri"/>
          <w:b w:val="0"/>
          <w:i w:val="0"/>
          <w:color w:val="1B2330"/>
          <w:sz w:val="21"/>
        </w:rPr>
        <w:t>Family-based treatment for adolescent anorexia; parent management training for child conduct problems; CBT for insomnia.</w:t>
      </w:r>
    </w:p>
    <w:p>
      <w:pPr>
        <w:pStyle w:val="ListBullet"/>
        <w:spacing w:before="0" w:after="40"/>
      </w:pPr>
      <w:r>
        <w:rPr>
          <w:rFonts w:ascii="Calibri" w:hAnsi="Calibri"/>
          <w:b w:val="0"/>
          <w:i w:val="0"/>
          <w:color w:val="1B2330"/>
          <w:sz w:val="21"/>
        </w:rPr>
        <w:t>Social skills training, family psychoeducation and cognitive remediation for schizophrenia.</w:t>
      </w:r>
    </w:p>
    <w:p>
      <w:pPr>
        <w:spacing w:before="180" w:after="40"/>
      </w:pPr>
      <w:r>
        <w:rPr>
          <w:rFonts w:ascii="Segoe UI" w:hAnsi="Segoe UI"/>
          <w:b/>
          <w:i w:val="0"/>
          <w:color w:val="1B2330"/>
          <w:sz w:val="23"/>
        </w:rPr>
        <w:t>Guidelines and scaling up (WHO / India)</w:t>
      </w:r>
    </w:p>
    <w:p>
      <w:pPr>
        <w:pStyle w:val="ListBullet"/>
        <w:spacing w:before="0" w:after="40"/>
      </w:pPr>
      <w:r>
        <w:rPr>
          <w:rFonts w:ascii="Calibri" w:hAnsi="Calibri"/>
          <w:b w:val="0"/>
          <w:i w:val="0"/>
          <w:color w:val="1B2330"/>
          <w:sz w:val="21"/>
        </w:rPr>
        <w:t>NICE (UK), APA, and WHO mhGAP recommend specific treatments (supported).</w:t>
      </w:r>
    </w:p>
    <w:p>
      <w:pPr>
        <w:pStyle w:val="ListBullet"/>
        <w:spacing w:before="0" w:after="40"/>
      </w:pPr>
      <w:r>
        <w:rPr>
          <w:rFonts w:ascii="Calibri" w:hAnsi="Calibri"/>
          <w:b w:val="0"/>
          <w:i w:val="0"/>
          <w:color w:val="1B2330"/>
          <w:sz w:val="21"/>
        </w:rPr>
        <w:t>In India, culturally adapted low-intensity interventions delivered by lay counsellors (e.g. the Healthy Activity Programme in the PREMIUM trials in Goa, and the Thinking Healthy Programme) show evidence-based care can be scaled up (task-shifting).</w:t>
      </w:r>
    </w:p>
    <w:p>
      <w:pPr>
        <w:spacing w:before="180" w:after="40"/>
      </w:pPr>
      <w:r>
        <w:rPr>
          <w:rFonts w:ascii="Segoe UI" w:hAnsi="Segoe UI"/>
          <w:b/>
          <w:i w:val="0"/>
          <w:color w:val="1B2330"/>
          <w:sz w:val="23"/>
        </w:rPr>
        <w:t>Steps of EBP in the clinic</w:t>
      </w:r>
    </w:p>
    <w:p>
      <w:pPr>
        <w:pStyle w:val="ListBullet"/>
        <w:spacing w:before="0" w:after="40"/>
      </w:pPr>
      <w:r>
        <w:rPr>
          <w:rFonts w:ascii="Calibri" w:hAnsi="Calibri"/>
          <w:b w:val="0"/>
          <w:i w:val="0"/>
          <w:color w:val="1B2330"/>
          <w:sz w:val="21"/>
        </w:rPr>
        <w:t>Ask a clear clinical question.</w:t>
      </w:r>
    </w:p>
    <w:p>
      <w:pPr>
        <w:pStyle w:val="ListBullet"/>
        <w:spacing w:before="0" w:after="40"/>
      </w:pPr>
      <w:r>
        <w:rPr>
          <w:rFonts w:ascii="Calibri" w:hAnsi="Calibri"/>
          <w:b w:val="0"/>
          <w:i w:val="0"/>
          <w:color w:val="1B2330"/>
          <w:sz w:val="21"/>
        </w:rPr>
        <w:t>Search for the best evidence.</w:t>
      </w:r>
    </w:p>
    <w:p>
      <w:pPr>
        <w:pStyle w:val="ListBullet"/>
        <w:spacing w:before="0" w:after="40"/>
      </w:pPr>
      <w:r>
        <w:rPr>
          <w:rFonts w:ascii="Calibri" w:hAnsi="Calibri"/>
          <w:b w:val="0"/>
          <w:i w:val="0"/>
          <w:color w:val="1B2330"/>
          <w:sz w:val="21"/>
        </w:rPr>
        <w:t>Appraise it.</w:t>
      </w:r>
    </w:p>
    <w:p>
      <w:pPr>
        <w:pStyle w:val="ListBullet"/>
        <w:spacing w:before="0" w:after="40"/>
      </w:pPr>
      <w:r>
        <w:rPr>
          <w:rFonts w:ascii="Calibri" w:hAnsi="Calibri"/>
          <w:b w:val="0"/>
          <w:i w:val="0"/>
          <w:color w:val="1B2330"/>
          <w:sz w:val="21"/>
        </w:rPr>
        <w:t>Integrate it with clinical expertise and the client's values.</w:t>
      </w:r>
    </w:p>
    <w:p>
      <w:pPr>
        <w:pStyle w:val="ListBullet"/>
        <w:spacing w:before="0" w:after="40"/>
      </w:pPr>
      <w:r>
        <w:rPr>
          <w:rFonts w:ascii="Calibri" w:hAnsi="Calibri"/>
          <w:b w:val="0"/>
          <w:i w:val="0"/>
          <w:color w:val="1B2330"/>
          <w:sz w:val="21"/>
        </w:rPr>
        <w:t>Apply; evaluate the outcome.</w:t>
      </w:r>
    </w:p>
    <w:p>
      <w:pPr>
        <w:spacing w:before="180" w:after="40"/>
      </w:pPr>
      <w:r>
        <w:rPr>
          <w:rFonts w:ascii="Segoe UI" w:hAnsi="Segoe UI"/>
          <w:b/>
          <w:i w:val="0"/>
          <w:color w:val="1B2330"/>
          <w:sz w:val="23"/>
        </w:rPr>
        <w:t>The evidence debate and common factors</w:t>
      </w:r>
    </w:p>
    <w:p>
      <w:pPr>
        <w:pStyle w:val="ListBullet"/>
        <w:spacing w:before="0" w:after="40"/>
      </w:pPr>
      <w:r>
        <w:rPr>
          <w:rFonts w:ascii="Calibri" w:hAnsi="Calibri"/>
          <w:b w:val="0"/>
          <w:i w:val="0"/>
          <w:color w:val="1B2330"/>
          <w:sz w:val="21"/>
        </w:rPr>
        <w:t>Eysenck (1952) claimed psychotherapy was no more effective than spontaneous remission.</w:t>
      </w:r>
    </w:p>
    <w:p>
      <w:pPr>
        <w:pStyle w:val="ListBullet"/>
        <w:spacing w:before="0" w:after="40"/>
      </w:pPr>
      <w:r>
        <w:rPr>
          <w:rFonts w:ascii="Calibri" w:hAnsi="Calibri"/>
          <w:b w:val="0"/>
          <w:i w:val="0"/>
          <w:color w:val="1B2330"/>
          <w:sz w:val="21"/>
        </w:rPr>
        <w:t>Smith and Glass (1977) meta-analysed 375 studies and found a mean effect size of about 0.68 (the average treated person better off than about 75% of untreated persons).</w:t>
      </w:r>
    </w:p>
    <w:p>
      <w:pPr>
        <w:pStyle w:val="ListBullet"/>
        <w:spacing w:before="0" w:after="40"/>
      </w:pPr>
      <w:r>
        <w:rPr>
          <w:rFonts w:ascii="Calibri" w:hAnsi="Calibri"/>
          <w:b w:val="0"/>
          <w:i w:val="0"/>
          <w:color w:val="1B2330"/>
          <w:sz w:val="21"/>
        </w:rPr>
        <w:t>The "Dodo bird verdict" (Rosenzweig; Luborsky): all bona fide therapies work about equally, pointing to common factors.</w:t>
      </w:r>
    </w:p>
    <w:p>
      <w:pPr>
        <w:pStyle w:val="ListBullet"/>
        <w:spacing w:before="0" w:after="40"/>
      </w:pPr>
      <w:r>
        <w:rPr>
          <w:rFonts w:ascii="Calibri" w:hAnsi="Calibri"/>
          <w:b w:val="0"/>
          <w:i w:val="0"/>
          <w:color w:val="1B2330"/>
          <w:sz w:val="21"/>
        </w:rPr>
        <w:t>Lambert (1992) estimated contributions (approximate and debated, as the backbone frames them):</w:t>
      </w:r>
    </w:p>
    <w:p>
      <w:pPr>
        <w:pStyle w:val="ListBullet2"/>
        <w:spacing w:before="0" w:after="20"/>
      </w:pPr>
      <w:r>
        <w:rPr>
          <w:rFonts w:ascii="Calibri" w:hAnsi="Calibri"/>
          <w:b w:val="0"/>
          <w:i w:val="0"/>
          <w:color w:val="1B2330"/>
          <w:sz w:val="20"/>
        </w:rPr>
        <w:t>extratherapeutic / client factors ~40%;</w:t>
      </w:r>
    </w:p>
    <w:p>
      <w:pPr>
        <w:pStyle w:val="ListBullet2"/>
        <w:spacing w:before="0" w:after="20"/>
      </w:pPr>
      <w:r>
        <w:rPr>
          <w:rFonts w:ascii="Calibri" w:hAnsi="Calibri"/>
          <w:b w:val="0"/>
          <w:i w:val="0"/>
          <w:color w:val="1B2330"/>
          <w:sz w:val="20"/>
        </w:rPr>
        <w:t>relationship ~30%;</w:t>
      </w:r>
    </w:p>
    <w:p>
      <w:pPr>
        <w:pStyle w:val="ListBullet2"/>
        <w:spacing w:before="0" w:after="20"/>
      </w:pPr>
      <w:r>
        <w:rPr>
          <w:rFonts w:ascii="Calibri" w:hAnsi="Calibri"/>
          <w:b w:val="0"/>
          <w:i w:val="0"/>
          <w:color w:val="1B2330"/>
          <w:sz w:val="20"/>
        </w:rPr>
        <w:t>expectancy ~15%;</w:t>
      </w:r>
    </w:p>
    <w:p>
      <w:pPr>
        <w:pStyle w:val="ListBullet2"/>
        <w:spacing w:before="0" w:after="20"/>
      </w:pPr>
      <w:r>
        <w:rPr>
          <w:rFonts w:ascii="Calibri" w:hAnsi="Calibri"/>
          <w:b w:val="0"/>
          <w:i w:val="0"/>
          <w:color w:val="1B2330"/>
          <w:sz w:val="20"/>
        </w:rPr>
        <w:t>technique ~15%.</w:t>
      </w:r>
    </w:p>
    <w:p>
      <w:pPr>
        <w:pStyle w:val="ListBullet"/>
        <w:spacing w:before="0" w:after="40"/>
      </w:pPr>
      <w:r>
        <w:rPr>
          <w:rFonts w:ascii="Calibri" w:hAnsi="Calibri"/>
          <w:b w:val="0"/>
          <w:i w:val="0"/>
          <w:color w:val="1B2330"/>
          <w:sz w:val="21"/>
        </w:rPr>
        <w:t>Balance: both specific (model-based) and common (relationship) factors matter; evidence-based techniques work best within a strong relationship.</w:t>
      </w:r>
    </w:p>
    <w:p>
      <w:pPr>
        <w:spacing w:before="180" w:after="40"/>
      </w:pPr>
      <w:r>
        <w:rPr>
          <w:rFonts w:ascii="Segoe UI" w:hAnsi="Segoe UI"/>
          <w:b/>
          <w:i w:val="0"/>
          <w:color w:val="1B2330"/>
          <w:sz w:val="23"/>
        </w:rPr>
        <w:t>The common factors (backbone)</w:t>
      </w:r>
    </w:p>
    <w:p>
      <w:pPr>
        <w:pStyle w:val="ListBullet"/>
        <w:spacing w:before="0" w:after="40"/>
      </w:pPr>
      <w:r>
        <w:rPr>
          <w:rFonts w:ascii="Calibri" w:hAnsi="Calibri"/>
          <w:b w:val="0"/>
          <w:i w:val="0"/>
          <w:color w:val="1B2330"/>
          <w:sz w:val="21"/>
        </w:rPr>
        <w:t>Therapeutic relationship (alliance, empathy).</w:t>
      </w:r>
    </w:p>
    <w:p>
      <w:pPr>
        <w:pStyle w:val="ListBullet"/>
        <w:spacing w:before="0" w:after="40"/>
      </w:pPr>
      <w:r>
        <w:rPr>
          <w:rFonts w:ascii="Calibri" w:hAnsi="Calibri"/>
          <w:b w:val="0"/>
          <w:i w:val="0"/>
          <w:color w:val="1B2330"/>
          <w:sz w:val="21"/>
        </w:rPr>
        <w:t>Client expectations and hope (placebo).</w:t>
      </w:r>
    </w:p>
    <w:p>
      <w:pPr>
        <w:pStyle w:val="ListBullet"/>
        <w:spacing w:before="0" w:after="40"/>
      </w:pPr>
      <w:r>
        <w:rPr>
          <w:rFonts w:ascii="Calibri" w:hAnsi="Calibri"/>
          <w:b w:val="0"/>
          <w:i w:val="0"/>
          <w:color w:val="1B2330"/>
          <w:sz w:val="21"/>
        </w:rPr>
        <w:t>A healing setting and a credible rationale.</w:t>
      </w:r>
    </w:p>
    <w:p>
      <w:pPr>
        <w:pStyle w:val="ListBullet"/>
        <w:spacing w:before="0" w:after="40"/>
      </w:pPr>
      <w:r>
        <w:rPr>
          <w:rFonts w:ascii="Calibri" w:hAnsi="Calibri"/>
          <w:b w:val="0"/>
          <w:i w:val="0"/>
          <w:color w:val="1B2330"/>
          <w:sz w:val="21"/>
        </w:rPr>
        <w:t>A credible ritual / set of procedures.</w:t>
      </w:r>
    </w:p>
    <w:p>
      <w:pPr>
        <w:pStyle w:val="ListBullet"/>
        <w:spacing w:before="0" w:after="40"/>
      </w:pPr>
      <w:r>
        <w:rPr>
          <w:rFonts w:ascii="Calibri" w:hAnsi="Calibri"/>
          <w:b w:val="0"/>
          <w:i w:val="0"/>
          <w:color w:val="1B2330"/>
          <w:sz w:val="21"/>
        </w:rPr>
        <w:t>New learning experiences; a sense of mastery.</w:t>
      </w:r>
    </w:p>
    <w:p>
      <w:pPr>
        <w:pStyle w:val="ListBullet"/>
        <w:spacing w:before="0" w:after="40"/>
      </w:pPr>
      <w:r>
        <w:rPr>
          <w:rFonts w:ascii="Calibri" w:hAnsi="Calibri"/>
          <w:b w:val="0"/>
          <w:i w:val="0"/>
          <w:color w:val="1B2330"/>
          <w:sz w:val="21"/>
        </w:rPr>
        <w:t>Wampold's contextual model argues these common factors, rather than specific techniques, explain most of the benefit of therapy.</w:t>
      </w:r>
    </w:p>
    <w:p>
      <w:pPr>
        <w:spacing w:before="180" w:after="40"/>
      </w:pPr>
      <w:r>
        <w:rPr>
          <w:rFonts w:ascii="Segoe UI" w:hAnsi="Segoe UI"/>
          <w:b/>
          <w:i w:val="0"/>
          <w:color w:val="1B2330"/>
          <w:sz w:val="23"/>
        </w:rPr>
        <w:t>Criticisms and challenges of EBP</w:t>
      </w:r>
    </w:p>
    <w:p>
      <w:pPr>
        <w:pStyle w:val="ListBullet"/>
        <w:spacing w:before="0" w:after="40"/>
      </w:pPr>
      <w:r>
        <w:rPr>
          <w:rFonts w:ascii="Calibri" w:hAnsi="Calibri"/>
          <w:b w:val="0"/>
          <w:i w:val="0"/>
          <w:color w:val="1B2330"/>
          <w:sz w:val="21"/>
        </w:rPr>
        <w:t>RCT samples often unrepresentative (strict exclusion, no comorbidity); limited generalisability to diverse and Indian populations.</w:t>
      </w:r>
    </w:p>
    <w:p>
      <w:pPr>
        <w:pStyle w:val="ListBullet"/>
        <w:spacing w:before="0" w:after="40"/>
      </w:pPr>
      <w:r>
        <w:rPr>
          <w:rFonts w:ascii="Calibri" w:hAnsi="Calibri"/>
          <w:b w:val="0"/>
          <w:i w:val="0"/>
          <w:color w:val="1B2330"/>
          <w:sz w:val="21"/>
        </w:rPr>
        <w:t>Manuals can reduce flexibility; researcher allegiance effects; publication bias.</w:t>
      </w:r>
    </w:p>
    <w:p>
      <w:pPr>
        <w:pStyle w:val="ListBullet"/>
        <w:spacing w:before="0" w:after="40"/>
      </w:pPr>
      <w:r>
        <w:rPr>
          <w:rFonts w:ascii="Calibri" w:hAnsi="Calibri"/>
          <w:b w:val="0"/>
          <w:i w:val="0"/>
          <w:color w:val="1B2330"/>
          <w:sz w:val="21"/>
        </w:rPr>
        <w:t>Under-emphasis of common factors and the therapist's contribution.</w:t>
      </w:r>
    </w:p>
    <w:p>
      <w:pPr>
        <w:pStyle w:val="ListBullet"/>
        <w:spacing w:before="0" w:after="40"/>
      </w:pPr>
      <w:r>
        <w:rPr>
          <w:rFonts w:ascii="Calibri" w:hAnsi="Calibri"/>
          <w:b w:val="0"/>
          <w:i w:val="0"/>
          <w:color w:val="1B2330"/>
          <w:sz w:val="21"/>
        </w:rPr>
        <w:t>Outcome focus on symptom measures rather than broader well-being or meaning.</w:t>
      </w:r>
    </w:p>
    <w:p>
      <w:pPr>
        <w:pStyle w:val="ListBullet"/>
        <w:spacing w:before="0" w:after="40"/>
      </w:pPr>
      <w:r>
        <w:rPr>
          <w:rFonts w:ascii="Calibri" w:hAnsi="Calibri"/>
          <w:b w:val="0"/>
          <w:i w:val="0"/>
          <w:color w:val="1B2330"/>
          <w:sz w:val="21"/>
        </w:rPr>
        <w:t>Practice-based evidence and routine outcome monitoring complement RCTs; cultural adaptation and task shifting are important in India.</w:t>
      </w:r>
    </w:p>
    <w:p>
      <w:pPr>
        <w:spacing w:before="160" w:after="40"/>
      </w:pPr>
      <w:r>
        <w:rPr>
          <w:rFonts w:ascii="Segoe UI" w:hAnsi="Segoe UI"/>
          <w:b/>
          <w:i w:val="0"/>
          <w:color w:val="2B4C7E"/>
          <w:sz w:val="21"/>
        </w:rPr>
        <w:t>Flow chart: Flow: EBP in the clinic (Ask-Acquire-Appraise-Apply-Assess)</w:t>
      </w:r>
    </w:p>
    <w:tbl>
      <w:tblPr>
        <w:tblW w:type="auto" w:w="0"/>
        <w:jc w:val="center"/>
        <w:tblLook w:firstColumn="1" w:firstRow="1" w:lastColumn="0" w:lastRow="0" w:noHBand="0" w:noVBand="1" w:val="04A0"/>
      </w:tblPr>
      <w:tblGrid>
        <w:gridCol w:w="9638"/>
      </w:tblGrid>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Ask a focused clinical question</w:t>
            </w:r>
          </w:p>
        </w:tc>
      </w:tr>
      <w:tr>
        <w:tc>
          <w:tcPr>
            <w:tcW w:type="dxa" w:w="8504"/>
          </w:tcPr>
          <w:p>
            <w:pPr>
              <w:spacing w:before="20" w:after="20"/>
              <w:jc w:val="center"/>
            </w:pPr>
            <w:r>
              <w:rPr>
                <w:rFonts w:ascii="Segoe UI" w:hAnsi="Segoe UI"/>
                <w:b/>
                <w:i w:val="0"/>
                <w:color w:val="2B4C7E"/>
                <w:sz w:val="26"/>
              </w:rPr>
              <w:t>↓</w:t>
            </w:r>
          </w:p>
        </w:tc>
      </w:tr>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Acquire the best available research evidence</w:t>
            </w:r>
          </w:p>
        </w:tc>
      </w:tr>
      <w:tr>
        <w:tc>
          <w:tcPr>
            <w:tcW w:type="dxa" w:w="8504"/>
          </w:tcPr>
          <w:p>
            <w:pPr>
              <w:spacing w:before="20" w:after="20"/>
              <w:jc w:val="center"/>
            </w:pPr>
            <w:r>
              <w:rPr>
                <w:rFonts w:ascii="Segoe UI" w:hAnsi="Segoe UI"/>
                <w:b/>
                <w:i w:val="0"/>
                <w:color w:val="2B4C7E"/>
                <w:sz w:val="26"/>
              </w:rPr>
              <w:t>↓</w:t>
            </w:r>
          </w:p>
        </w:tc>
      </w:tr>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Appraise the evidence (hierarchy: meta-analysis &gt; RCT &gt; ...)</w:t>
            </w:r>
          </w:p>
        </w:tc>
      </w:tr>
      <w:tr>
        <w:tc>
          <w:tcPr>
            <w:tcW w:type="dxa" w:w="8504"/>
          </w:tcPr>
          <w:p>
            <w:pPr>
              <w:spacing w:before="20" w:after="20"/>
              <w:jc w:val="center"/>
            </w:pPr>
            <w:r>
              <w:rPr>
                <w:rFonts w:ascii="Segoe UI" w:hAnsi="Segoe UI"/>
                <w:b/>
                <w:i w:val="0"/>
                <w:color w:val="2B4C7E"/>
                <w:sz w:val="26"/>
              </w:rPr>
              <w:t>↓</w:t>
            </w:r>
          </w:p>
        </w:tc>
      </w:tr>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Integrate with clinical expertise + client values/culture</w:t>
            </w:r>
          </w:p>
        </w:tc>
      </w:tr>
      <w:tr>
        <w:tc>
          <w:tcPr>
            <w:tcW w:type="dxa" w:w="8504"/>
          </w:tcPr>
          <w:p>
            <w:pPr>
              <w:spacing w:before="20" w:after="20"/>
              <w:jc w:val="center"/>
            </w:pPr>
            <w:r>
              <w:rPr>
                <w:rFonts w:ascii="Segoe UI" w:hAnsi="Segoe UI"/>
                <w:b/>
                <w:i w:val="0"/>
                <w:color w:val="2B4C7E"/>
                <w:sz w:val="26"/>
              </w:rPr>
              <w:t>↓</w:t>
            </w:r>
          </w:p>
        </w:tc>
      </w:tr>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Apply the intervention</w:t>
            </w:r>
          </w:p>
        </w:tc>
      </w:tr>
      <w:tr>
        <w:tc>
          <w:tcPr>
            <w:tcW w:type="dxa" w:w="8504"/>
          </w:tcPr>
          <w:p>
            <w:pPr>
              <w:spacing w:before="20" w:after="20"/>
              <w:jc w:val="center"/>
            </w:pPr>
            <w:r>
              <w:rPr>
                <w:rFonts w:ascii="Segoe UI" w:hAnsi="Segoe UI"/>
                <w:b/>
                <w:i w:val="0"/>
                <w:color w:val="2B4C7E"/>
                <w:sz w:val="26"/>
              </w:rPr>
              <w:t>↓</w:t>
            </w:r>
          </w:p>
        </w:tc>
      </w:tr>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Assess the outcome (monitor, revise)</w:t>
            </w:r>
          </w:p>
        </w:tc>
      </w:tr>
    </w:tbl>
    <w:p>
      <w:pPr>
        <w:spacing w:after="40"/>
      </w:pPr>
    </w:p>
    <w:tbl>
      <w:tblPr>
        <w:tblW w:type="auto" w:w="0"/>
        <w:jc w:val="center"/>
        <w:tblLook w:firstColumn="1" w:firstRow="1" w:lastColumn="0" w:lastRow="0" w:noHBand="0" w:noVBand="1" w:val="04A0"/>
      </w:tblPr>
      <w:tblGrid>
        <w:gridCol w:w="9638"/>
      </w:tblGrid>
      <w:tr>
        <w:tc>
          <w:tcPr>
            <w:tcW w:type="dxa" w:w="9411"/>
            <w:tcBorders>
              <w:top w:val="single" w:sz="8" w:space="0" w:color="C98A1B"/>
              <w:left w:val="single" w:sz="8" w:space="0" w:color="C98A1B"/>
              <w:bottom w:val="single" w:sz="8" w:space="0" w:color="C98A1B"/>
              <w:right w:val="single" w:sz="8" w:space="0" w:color="C98A1B"/>
            </w:tcBorders>
            <w:shd w:val="clear" w:color="auto" w:fill="FFF6E6"/>
          </w:tcPr>
          <w:p>
            <w:pPr>
              <w:spacing w:before="40" w:after="60"/>
            </w:pPr>
            <w:r>
              <w:rPr>
                <w:rFonts w:ascii="Segoe UI" w:hAnsi="Segoe UI"/>
                <w:b/>
                <w:i w:val="0"/>
                <w:color w:val="8A5A00"/>
                <w:sz w:val="21"/>
              </w:rPr>
              <w:t xml:space="preserve">Mnemonic: </w:t>
            </w:r>
            <w:r>
              <w:rPr>
                <w:rFonts w:ascii="Segoe UI" w:hAnsi="Segoe UI"/>
                <w:b/>
                <w:i w:val="0"/>
                <w:color w:val="C98A1B"/>
                <w:sz w:val="26"/>
              </w:rPr>
              <w:t>5 A's</w:t>
            </w:r>
            <w:r>
              <w:rPr>
                <w:rFonts w:ascii="Segoe UI" w:hAnsi="Segoe UI"/>
                <w:b/>
                <w:i w:val="0"/>
                <w:color w:val="8A5A00"/>
                <w:sz w:val="21"/>
              </w:rPr>
              <w:t xml:space="preserve">  —  the steps of evidence-based practice</w:t>
            </w:r>
          </w:p>
          <w:p>
            <w:pPr>
              <w:spacing w:before="0" w:after="20"/>
            </w:pPr>
            <w:r>
              <w:rPr>
                <w:rFonts w:ascii="Segoe UI" w:hAnsi="Segoe UI"/>
                <w:b/>
                <w:i w:val="0"/>
                <w:color w:val="C98A1B"/>
                <w:sz w:val="22"/>
              </w:rPr>
              <w:t xml:space="preserve">A  </w:t>
            </w:r>
            <w:r>
              <w:rPr>
                <w:rFonts w:ascii="Segoe UI" w:hAnsi="Segoe UI"/>
                <w:b/>
                <w:i w:val="0"/>
                <w:color w:val="1B2330"/>
                <w:sz w:val="19"/>
              </w:rPr>
              <w:t xml:space="preserve">Ask — </w:t>
            </w:r>
            <w:r>
              <w:rPr>
                <w:rFonts w:ascii="Segoe UI" w:hAnsi="Segoe UI"/>
                <w:b w:val="0"/>
                <w:i w:val="0"/>
                <w:color w:val="4A5568"/>
                <w:sz w:val="19"/>
              </w:rPr>
              <w:t>ask a clear clinical question</w:t>
            </w:r>
          </w:p>
          <w:p>
            <w:pPr>
              <w:spacing w:before="0" w:after="20"/>
            </w:pPr>
            <w:r>
              <w:rPr>
                <w:rFonts w:ascii="Segoe UI" w:hAnsi="Segoe UI"/>
                <w:b/>
                <w:i w:val="0"/>
                <w:color w:val="C98A1B"/>
                <w:sz w:val="22"/>
              </w:rPr>
              <w:t xml:space="preserve">A  </w:t>
            </w:r>
            <w:r>
              <w:rPr>
                <w:rFonts w:ascii="Segoe UI" w:hAnsi="Segoe UI"/>
                <w:b/>
                <w:i w:val="0"/>
                <w:color w:val="1B2330"/>
                <w:sz w:val="19"/>
              </w:rPr>
              <w:t xml:space="preserve">Acquire — </w:t>
            </w:r>
            <w:r>
              <w:rPr>
                <w:rFonts w:ascii="Segoe UI" w:hAnsi="Segoe UI"/>
                <w:b w:val="0"/>
                <w:i w:val="0"/>
                <w:color w:val="4A5568"/>
                <w:sz w:val="19"/>
              </w:rPr>
              <w:t>search for the best evidence</w:t>
            </w:r>
          </w:p>
          <w:p>
            <w:pPr>
              <w:spacing w:before="0" w:after="20"/>
            </w:pPr>
            <w:r>
              <w:rPr>
                <w:rFonts w:ascii="Segoe UI" w:hAnsi="Segoe UI"/>
                <w:b/>
                <w:i w:val="0"/>
                <w:color w:val="C98A1B"/>
                <w:sz w:val="22"/>
              </w:rPr>
              <w:t xml:space="preserve">A  </w:t>
            </w:r>
            <w:r>
              <w:rPr>
                <w:rFonts w:ascii="Segoe UI" w:hAnsi="Segoe UI"/>
                <w:b/>
                <w:i w:val="0"/>
                <w:color w:val="1B2330"/>
                <w:sz w:val="19"/>
              </w:rPr>
              <w:t xml:space="preserve">Appraise — </w:t>
            </w:r>
            <w:r>
              <w:rPr>
                <w:rFonts w:ascii="Segoe UI" w:hAnsi="Segoe UI"/>
                <w:b w:val="0"/>
                <w:i w:val="0"/>
                <w:color w:val="4A5568"/>
                <w:sz w:val="19"/>
              </w:rPr>
              <w:t>critically appraise the evidence</w:t>
            </w:r>
          </w:p>
          <w:p>
            <w:pPr>
              <w:spacing w:before="0" w:after="20"/>
            </w:pPr>
            <w:r>
              <w:rPr>
                <w:rFonts w:ascii="Segoe UI" w:hAnsi="Segoe UI"/>
                <w:b/>
                <w:i w:val="0"/>
                <w:color w:val="C98A1B"/>
                <w:sz w:val="22"/>
              </w:rPr>
              <w:t xml:space="preserve">A  </w:t>
            </w:r>
            <w:r>
              <w:rPr>
                <w:rFonts w:ascii="Segoe UI" w:hAnsi="Segoe UI"/>
                <w:b/>
                <w:i w:val="0"/>
                <w:color w:val="1B2330"/>
                <w:sz w:val="19"/>
              </w:rPr>
              <w:t xml:space="preserve">Apply — </w:t>
            </w:r>
            <w:r>
              <w:rPr>
                <w:rFonts w:ascii="Segoe UI" w:hAnsi="Segoe UI"/>
                <w:b w:val="0"/>
                <w:i w:val="0"/>
                <w:color w:val="4A5568"/>
                <w:sz w:val="19"/>
              </w:rPr>
              <w:t>integrate with expertise + client values, then apply</w:t>
            </w:r>
          </w:p>
          <w:p>
            <w:pPr>
              <w:spacing w:before="0" w:after="20"/>
            </w:pPr>
            <w:r>
              <w:rPr>
                <w:rFonts w:ascii="Segoe UI" w:hAnsi="Segoe UI"/>
                <w:b/>
                <w:i w:val="0"/>
                <w:color w:val="C98A1B"/>
                <w:sz w:val="22"/>
              </w:rPr>
              <w:t xml:space="preserve">A  </w:t>
            </w:r>
            <w:r>
              <w:rPr>
                <w:rFonts w:ascii="Segoe UI" w:hAnsi="Segoe UI"/>
                <w:b/>
                <w:i w:val="0"/>
                <w:color w:val="1B2330"/>
                <w:sz w:val="19"/>
              </w:rPr>
              <w:t xml:space="preserve">Assess — </w:t>
            </w:r>
            <w:r>
              <w:rPr>
                <w:rFonts w:ascii="Segoe UI" w:hAnsi="Segoe UI"/>
                <w:b w:val="0"/>
                <w:i w:val="0"/>
                <w:color w:val="4A5568"/>
                <w:sz w:val="19"/>
              </w:rPr>
              <w:t>evaluate and revise the outcome</w:t>
            </w:r>
          </w:p>
        </w:tc>
      </w:tr>
    </w:tbl>
    <w:p>
      <w:pPr>
        <w:spacing w:after="40"/>
      </w:pPr>
    </w:p>
    <w:p>
      <w:pPr>
        <w:spacing w:before="160" w:after="40"/>
      </w:pPr>
      <w:r>
        <w:rPr>
          <w:rFonts w:ascii="Segoe UI" w:hAnsi="Segoe UI"/>
          <w:b/>
          <w:i w:val="0"/>
          <w:color w:val="2B4C7E"/>
          <w:sz w:val="21"/>
        </w:rPr>
        <w:t>Flow chart: Flow: what accounts for therapy's benefit (Lambert's estimates)</w:t>
      </w:r>
    </w:p>
    <w:tbl>
      <w:tblPr>
        <w:tblW w:type="auto" w:w="0"/>
        <w:jc w:val="center"/>
        <w:tblLook w:firstColumn="1" w:firstRow="1" w:lastColumn="0" w:lastRow="0" w:noHBand="0" w:noVBand="1" w:val="04A0"/>
      </w:tblPr>
      <w:tblGrid>
        <w:gridCol w:w="9638"/>
      </w:tblGrid>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Client / extratherapeutic factors (~40%)</w:t>
            </w:r>
          </w:p>
        </w:tc>
      </w:tr>
      <w:tr>
        <w:tc>
          <w:tcPr>
            <w:tcW w:type="dxa" w:w="8504"/>
          </w:tcPr>
          <w:p>
            <w:pPr>
              <w:spacing w:before="20" w:after="20"/>
              <w:jc w:val="center"/>
            </w:pPr>
            <w:r>
              <w:rPr>
                <w:rFonts w:ascii="Segoe UI" w:hAnsi="Segoe UI"/>
                <w:b/>
                <w:i w:val="0"/>
                <w:color w:val="2B4C7E"/>
                <w:sz w:val="26"/>
              </w:rPr>
              <w:t>↓</w:t>
            </w:r>
          </w:p>
        </w:tc>
      </w:tr>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The therapeutic relationship (~30%)</w:t>
            </w:r>
          </w:p>
        </w:tc>
      </w:tr>
      <w:tr>
        <w:tc>
          <w:tcPr>
            <w:tcW w:type="dxa" w:w="8504"/>
          </w:tcPr>
          <w:p>
            <w:pPr>
              <w:spacing w:before="20" w:after="20"/>
              <w:jc w:val="center"/>
            </w:pPr>
            <w:r>
              <w:rPr>
                <w:rFonts w:ascii="Segoe UI" w:hAnsi="Segoe UI"/>
                <w:b/>
                <w:i w:val="0"/>
                <w:color w:val="2B4C7E"/>
                <w:sz w:val="26"/>
              </w:rPr>
              <w:t>↓</w:t>
            </w:r>
          </w:p>
        </w:tc>
      </w:tr>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Expectancy / hope (~15%)</w:t>
            </w:r>
          </w:p>
        </w:tc>
      </w:tr>
      <w:tr>
        <w:tc>
          <w:tcPr>
            <w:tcW w:type="dxa" w:w="8504"/>
          </w:tcPr>
          <w:p>
            <w:pPr>
              <w:spacing w:before="20" w:after="20"/>
              <w:jc w:val="center"/>
            </w:pPr>
            <w:r>
              <w:rPr>
                <w:rFonts w:ascii="Segoe UI" w:hAnsi="Segoe UI"/>
                <w:b/>
                <w:i w:val="0"/>
                <w:color w:val="2B4C7E"/>
                <w:sz w:val="26"/>
              </w:rPr>
              <w:t>↓</w:t>
            </w:r>
          </w:p>
        </w:tc>
      </w:tr>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Technique (~15%)</w:t>
            </w:r>
          </w:p>
        </w:tc>
      </w:tr>
      <w:tr>
        <w:tc>
          <w:tcPr>
            <w:tcW w:type="dxa" w:w="8504"/>
          </w:tcPr>
          <w:p>
            <w:pPr>
              <w:spacing w:before="20" w:after="20"/>
              <w:jc w:val="center"/>
            </w:pPr>
            <w:r>
              <w:rPr>
                <w:rFonts w:ascii="Segoe UI" w:hAnsi="Segoe UI"/>
                <w:b/>
                <w:i w:val="0"/>
                <w:color w:val="2B4C7E"/>
                <w:sz w:val="26"/>
              </w:rPr>
              <w:t>↓</w:t>
            </w:r>
          </w:p>
        </w:tc>
      </w:tr>
      <w:tr>
        <w:tc>
          <w:tcPr>
            <w:tcW w:type="dxa" w:w="8504"/>
            <w:tcBorders>
              <w:top w:val="single" w:sz="10" w:space="0" w:color="2B4C7E"/>
              <w:left w:val="single" w:sz="10" w:space="0" w:color="2B4C7E"/>
              <w:bottom w:val="single" w:sz="10" w:space="0" w:color="2B4C7E"/>
              <w:right w:val="single" w:sz="10" w:space="0" w:color="2B4C7E"/>
            </w:tcBorders>
            <w:shd w:val="clear" w:color="auto" w:fill="FFFFFF"/>
          </w:tcPr>
          <w:p>
            <w:pPr>
              <w:spacing w:before="20" w:after="20"/>
              <w:jc w:val="center"/>
            </w:pPr>
            <w:r>
              <w:rPr>
                <w:rFonts w:ascii="Segoe UI" w:hAnsi="Segoe UI"/>
                <w:b w:val="0"/>
                <w:i w:val="0"/>
                <w:color w:val="1B2330"/>
                <w:sz w:val="19"/>
              </w:rPr>
              <w:t>→ approximate and debated, as the backbone frames them</w:t>
            </w:r>
          </w:p>
        </w:tc>
      </w:tr>
    </w:tbl>
    <w:p>
      <w:pPr>
        <w:spacing w:after="40"/>
      </w:pPr>
    </w:p>
    <w:tbl>
      <w:tblPr>
        <w:tblW w:type="auto" w:w="0"/>
        <w:jc w:val="center"/>
        <w:tblLook w:firstColumn="1" w:firstRow="1" w:lastColumn="0" w:lastRow="0" w:noHBand="0" w:noVBand="1" w:val="04A0"/>
      </w:tblPr>
      <w:tblGrid>
        <w:gridCol w:w="9638"/>
      </w:tblGrid>
      <w:tr>
        <w:tc>
          <w:tcPr>
            <w:tcW w:type="dxa" w:w="9411"/>
            <w:tcBorders>
              <w:top w:val="single" w:sz="8" w:space="0" w:color="C98A1B"/>
              <w:left w:val="single" w:sz="8" w:space="0" w:color="C98A1B"/>
              <w:bottom w:val="single" w:sz="8" w:space="0" w:color="C98A1B"/>
              <w:right w:val="single" w:sz="8" w:space="0" w:color="C98A1B"/>
            </w:tcBorders>
            <w:shd w:val="clear" w:color="auto" w:fill="FFF6E6"/>
          </w:tcPr>
          <w:p>
            <w:pPr>
              <w:spacing w:before="40" w:after="60"/>
            </w:pPr>
            <w:r>
              <w:rPr>
                <w:rFonts w:ascii="Segoe UI" w:hAnsi="Segoe UI"/>
                <w:b/>
                <w:i w:val="0"/>
                <w:color w:val="8A5A00"/>
                <w:sz w:val="21"/>
              </w:rPr>
              <w:t xml:space="preserve">Mnemonic: </w:t>
            </w:r>
            <w:r>
              <w:rPr>
                <w:rFonts w:ascii="Segoe UI" w:hAnsi="Segoe UI"/>
                <w:b/>
                <w:i w:val="0"/>
                <w:color w:val="C98A1B"/>
                <w:sz w:val="26"/>
              </w:rPr>
              <w:t>RICH-M</w:t>
            </w:r>
            <w:r>
              <w:rPr>
                <w:rFonts w:ascii="Segoe UI" w:hAnsi="Segoe UI"/>
                <w:b/>
                <w:i w:val="0"/>
                <w:color w:val="8A5A00"/>
                <w:sz w:val="21"/>
              </w:rPr>
              <w:t xml:space="preserve">  —  the common factors across therapies (backbone)</w:t>
            </w:r>
          </w:p>
          <w:p>
            <w:pPr>
              <w:spacing w:before="0" w:after="20"/>
            </w:pPr>
            <w:r>
              <w:rPr>
                <w:rFonts w:ascii="Segoe UI" w:hAnsi="Segoe UI"/>
                <w:b/>
                <w:i w:val="0"/>
                <w:color w:val="C98A1B"/>
                <w:sz w:val="22"/>
              </w:rPr>
              <w:t xml:space="preserve">R  </w:t>
            </w:r>
            <w:r>
              <w:rPr>
                <w:rFonts w:ascii="Segoe UI" w:hAnsi="Segoe UI"/>
                <w:b/>
                <w:i w:val="0"/>
                <w:color w:val="1B2330"/>
                <w:sz w:val="19"/>
              </w:rPr>
              <w:t xml:space="preserve">Relationship — </w:t>
            </w:r>
            <w:r>
              <w:rPr>
                <w:rFonts w:ascii="Segoe UI" w:hAnsi="Segoe UI"/>
                <w:b w:val="0"/>
                <w:i w:val="0"/>
                <w:color w:val="4A5568"/>
                <w:sz w:val="19"/>
              </w:rPr>
              <w:t>alliance and empathy</w:t>
            </w:r>
          </w:p>
          <w:p>
            <w:pPr>
              <w:spacing w:before="0" w:after="20"/>
            </w:pPr>
            <w:r>
              <w:rPr>
                <w:rFonts w:ascii="Segoe UI" w:hAnsi="Segoe UI"/>
                <w:b/>
                <w:i w:val="0"/>
                <w:color w:val="C98A1B"/>
                <w:sz w:val="22"/>
              </w:rPr>
              <w:t xml:space="preserve">I  </w:t>
            </w:r>
            <w:r>
              <w:rPr>
                <w:rFonts w:ascii="Segoe UI" w:hAnsi="Segoe UI"/>
                <w:b/>
                <w:i w:val="0"/>
                <w:color w:val="1B2330"/>
                <w:sz w:val="19"/>
              </w:rPr>
              <w:t xml:space="preserve">Investment / hope — </w:t>
            </w:r>
            <w:r>
              <w:rPr>
                <w:rFonts w:ascii="Segoe UI" w:hAnsi="Segoe UI"/>
                <w:b w:val="0"/>
                <w:i w:val="0"/>
                <w:color w:val="4A5568"/>
                <w:sz w:val="19"/>
              </w:rPr>
              <w:t>client expectations and hope (placebo)</w:t>
            </w:r>
          </w:p>
          <w:p>
            <w:pPr>
              <w:spacing w:before="0" w:after="20"/>
            </w:pPr>
            <w:r>
              <w:rPr>
                <w:rFonts w:ascii="Segoe UI" w:hAnsi="Segoe UI"/>
                <w:b/>
                <w:i w:val="0"/>
                <w:color w:val="C98A1B"/>
                <w:sz w:val="22"/>
              </w:rPr>
              <w:t xml:space="preserve">C  </w:t>
            </w:r>
            <w:r>
              <w:rPr>
                <w:rFonts w:ascii="Segoe UI" w:hAnsi="Segoe UI"/>
                <w:b/>
                <w:i w:val="0"/>
                <w:color w:val="1B2330"/>
                <w:sz w:val="19"/>
              </w:rPr>
              <w:t xml:space="preserve">Credible rationale — </w:t>
            </w:r>
            <w:r>
              <w:rPr>
                <w:rFonts w:ascii="Segoe UI" w:hAnsi="Segoe UI"/>
                <w:b w:val="0"/>
                <w:i w:val="0"/>
                <w:color w:val="4A5568"/>
                <w:sz w:val="19"/>
              </w:rPr>
              <w:t>a healing setting and rationale</w:t>
            </w:r>
          </w:p>
          <w:p>
            <w:pPr>
              <w:spacing w:before="0" w:after="20"/>
            </w:pPr>
            <w:r>
              <w:rPr>
                <w:rFonts w:ascii="Segoe UI" w:hAnsi="Segoe UI"/>
                <w:b/>
                <w:i w:val="0"/>
                <w:color w:val="C98A1B"/>
                <w:sz w:val="22"/>
              </w:rPr>
              <w:t xml:space="preserve">H  </w:t>
            </w:r>
            <w:r>
              <w:rPr>
                <w:rFonts w:ascii="Segoe UI" w:hAnsi="Segoe UI"/>
                <w:b/>
                <w:i w:val="0"/>
                <w:color w:val="1B2330"/>
                <w:sz w:val="19"/>
              </w:rPr>
              <w:t xml:space="preserve">Healing ritual — </w:t>
            </w:r>
            <w:r>
              <w:rPr>
                <w:rFonts w:ascii="Segoe UI" w:hAnsi="Segoe UI"/>
                <w:b w:val="0"/>
                <w:i w:val="0"/>
                <w:color w:val="4A5568"/>
                <w:sz w:val="19"/>
              </w:rPr>
              <w:t>a credible ritual / set of procedures</w:t>
            </w:r>
          </w:p>
          <w:p>
            <w:pPr>
              <w:spacing w:before="0" w:after="20"/>
            </w:pPr>
            <w:r>
              <w:rPr>
                <w:rFonts w:ascii="Segoe UI" w:hAnsi="Segoe UI"/>
                <w:b/>
                <w:i w:val="0"/>
                <w:color w:val="C98A1B"/>
                <w:sz w:val="22"/>
              </w:rPr>
              <w:t xml:space="preserve">M  </w:t>
            </w:r>
            <w:r>
              <w:rPr>
                <w:rFonts w:ascii="Segoe UI" w:hAnsi="Segoe UI"/>
                <w:b/>
                <w:i w:val="0"/>
                <w:color w:val="1B2330"/>
                <w:sz w:val="19"/>
              </w:rPr>
              <w:t xml:space="preserve">Mastery &amp; learning — </w:t>
            </w:r>
            <w:r>
              <w:rPr>
                <w:rFonts w:ascii="Segoe UI" w:hAnsi="Segoe UI"/>
                <w:b w:val="0"/>
                <w:i w:val="0"/>
                <w:color w:val="4A5568"/>
                <w:sz w:val="19"/>
              </w:rPr>
              <w:t>new learning experiences and mastery</w:t>
            </w:r>
          </w:p>
        </w:tc>
      </w:tr>
    </w:tbl>
    <w:p>
      <w:pPr>
        <w:spacing w:after="4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Segoe UI" w:hAnsi="Segoe UI"/>
        <w:b w:val="0"/>
        <w:i w:val="0"/>
        <w:color w:val="4A5568"/>
        <w:sz w:val="17"/>
      </w:rPr>
      <w:t>Made by Tejas Dangodra | M.Phil. Clinical Psychology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