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60"/>
        </w:rPr>
        <w:t>DS Consulting Advisory</w:t>
      </w:r>
    </w:p>
    <w:p>
      <w:r>
        <w:rPr>
          <w:b/>
          <w:color w:val="000000"/>
          <w:sz w:val="40"/>
        </w:rPr>
        <w:t>Brand Guidelines</w:t>
      </w:r>
    </w:p>
    <w:p>
      <w:r>
        <w:rPr>
          <w:color w:val="5A5A5A"/>
          <w:sz w:val="20"/>
        </w:rPr>
        <w:t>Version 2.0  |  Last updated 08 Mar 2026</w:t>
      </w:r>
    </w:p>
    <w:p/>
    <w:p>
      <w:r>
        <w:rPr>
          <w:b/>
        </w:rPr>
        <w:t xml:space="preserve">Primary tagline: </w:t>
      </w:r>
      <w:r>
        <w:rPr>
          <w:b/>
          <w:color w:val="4F46E5"/>
        </w:rPr>
        <w:t>Strategy to Systems. Delivered.</w:t>
      </w:r>
    </w:p>
    <w:p>
      <w:r>
        <w:rPr>
          <w:b/>
        </w:rPr>
        <w:t xml:space="preserve">Primary domain: </w:t>
      </w:r>
      <w:r>
        <w:t>www.consult-ds.com (canonical primary)</w:t>
      </w:r>
    </w:p>
    <w:p>
      <w:r>
        <w:rPr>
          <w:b/>
        </w:rPr>
        <w:t xml:space="preserve">Redirect: </w:t>
      </w:r>
      <w:r>
        <w:t>consult-ds.com → www.consult-ds.com (HTTP 307)</w:t>
      </w:r>
    </w:p>
    <w:p>
      <w:r>
        <w:rPr>
          <w:b/>
        </w:rPr>
        <w:t xml:space="preserve">Legal name: </w:t>
      </w:r>
      <w:r>
        <w:t>DS Consulting Advisory</w:t>
      </w:r>
    </w:p>
    <w:p>
      <w:r>
        <w:rPr>
          <w:b/>
        </w:rPr>
        <w:t xml:space="preserve">Display name: </w:t>
      </w:r>
      <w:r>
        <w:t>DS Consulting</w:t>
      </w:r>
    </w:p>
    <w:p/>
    <w:p>
      <w:pPr>
        <w:pStyle w:val="IntenseQuote"/>
      </w:pPr>
      <w:r>
        <w:t>Purpose: define the rules that keep DS Consulting consistent across web pages, documents, and future assets.</w:t>
      </w:r>
    </w:p>
    <w:p>
      <w:pPr>
        <w:pStyle w:val="Heading1"/>
      </w:pPr>
      <w:r>
        <w:t>1. Brand fundamentals</w:t>
      </w:r>
    </w:p>
    <w:p>
      <w:r>
        <w:rPr>
          <w:b/>
        </w:rPr>
        <w:t>Positioning</w:t>
      </w:r>
    </w:p>
    <w:p>
      <w:r>
        <w:t>DS Consulting is a scalable transformation partner. We combine advisory plus implementation to convert strategy into governed systems with measurable execution.</w:t>
      </w:r>
    </w:p>
    <w:p>
      <w:r>
        <w:rPr>
          <w:b/>
        </w:rPr>
        <w:t>Primary outcomes</w:t>
      </w:r>
    </w:p>
    <w:p>
      <w:pPr>
        <w:pStyle w:val="ListBullet"/>
      </w:pPr>
      <w:r>
        <w:t>ESG readiness: defensible reporting systems with governance, controls, and evidence trails.</w:t>
      </w:r>
    </w:p>
    <w:p>
      <w:pPr>
        <w:pStyle w:val="ListBullet"/>
      </w:pPr>
      <w:r>
        <w:t>Revenue visibility: lifecycle definitions, CRM discipline, automation workflows, and measurement leaders can trust.</w:t>
      </w:r>
    </w:p>
    <w:p>
      <w:r>
        <w:rPr>
          <w:b/>
        </w:rPr>
        <w:t>What we are not</w:t>
      </w:r>
    </w:p>
    <w:p>
      <w:pPr>
        <w:pStyle w:val="ListBullet"/>
      </w:pPr>
      <w:r>
        <w:t>We do not provide statutory audit or assurance.</w:t>
      </w:r>
    </w:p>
    <w:p>
      <w:pPr>
        <w:pStyle w:val="ListBullet"/>
      </w:pPr>
      <w:r>
        <w:t>We do not sell software licenses. We design and implement operating models and systems.</w:t>
      </w:r>
    </w:p>
    <w:p>
      <w:r>
        <w:rPr>
          <w:b/>
        </w:rPr>
        <w:t>Audience</w:t>
      </w:r>
    </w:p>
    <w:p>
      <w:pPr>
        <w:pStyle w:val="ListBullet"/>
      </w:pPr>
      <w:r>
        <w:t>CEOs and Founders</w:t>
      </w:r>
    </w:p>
    <w:p>
      <w:pPr>
        <w:pStyle w:val="ListBullet"/>
      </w:pPr>
      <w:r>
        <w:t>CFOs and Chief Sustainability Officers</w:t>
      </w:r>
    </w:p>
    <w:p>
      <w:pPr>
        <w:pStyle w:val="ListBullet"/>
      </w:pPr>
      <w:r>
        <w:t>CMOs, CROs, RevOps, and technology leaders (CTO or CIO)</w:t>
      </w:r>
    </w:p>
    <w:p>
      <w:pPr>
        <w:pStyle w:val="Heading1"/>
      </w:pPr>
      <w:r>
        <w:t>2. Naming and tagline</w:t>
      </w:r>
    </w:p>
    <w:p>
      <w:r>
        <w:rPr>
          <w:b/>
        </w:rPr>
        <w:t>Brand name rules</w:t>
      </w:r>
    </w:p>
    <w:p>
      <w:pPr>
        <w:pStyle w:val="ListBullet"/>
      </w:pPr>
      <w:r>
        <w:t>Use “DS Consulting Advisory” in legal, policy, contracts, and formal footer contexts.</w:t>
      </w:r>
    </w:p>
    <w:p>
      <w:pPr>
        <w:pStyle w:val="ListBullet"/>
      </w:pPr>
      <w:r>
        <w:t>Use “DS Consulting” in navigation, page headings, and conversational copy.</w:t>
      </w:r>
    </w:p>
    <w:p>
      <w:pPr>
        <w:pStyle w:val="ListBullet"/>
      </w:pPr>
      <w:r>
        <w:t>Write “DS” in all caps when used as an abbreviation.</w:t>
      </w:r>
    </w:p>
    <w:p>
      <w:r>
        <w:rPr>
          <w:b/>
        </w:rPr>
        <w:t>Tagline</w:t>
      </w:r>
    </w:p>
    <w:p>
      <w:pPr>
        <w:pStyle w:val="ListBullet"/>
      </w:pPr>
      <w:r>
        <w:t>Approved tagline:</w:t>
      </w:r>
    </w:p>
    <w:p>
      <w:pPr>
        <w:pStyle w:val="ListBullet2"/>
      </w:pPr>
      <w:r>
        <w:rPr>
          <w:b/>
          <w:color w:val="4F46E5"/>
        </w:rPr>
        <w:t>Strategy to Systems. Delivered.</w:t>
      </w:r>
    </w:p>
    <w:p>
      <w:pPr>
        <w:pStyle w:val="ListBullet"/>
      </w:pPr>
      <w:r>
        <w:t>Placement guidance:</w:t>
      </w:r>
    </w:p>
    <w:p>
      <w:pPr>
        <w:pStyle w:val="ListBullet"/>
      </w:pPr>
      <w:r>
        <w:t>Header and footer: always display the tagline in a bold style.</w:t>
      </w:r>
    </w:p>
    <w:p>
      <w:pPr>
        <w:pStyle w:val="ListBullet"/>
      </w:pPr>
      <w:r>
        <w:t>Hero sections: include the tagline badge above the main heading.</w:t>
      </w:r>
    </w:p>
    <w:p>
      <w:pPr>
        <w:pStyle w:val="ListBullet"/>
      </w:pPr>
      <w:r>
        <w:t>Do not rewrite the tagline. Keep punctuation exactly as shown.</w:t>
      </w:r>
    </w:p>
    <w:p>
      <w:r>
        <w:rPr>
          <w:b/>
        </w:rPr>
        <w:t>Copy rules</w:t>
      </w:r>
    </w:p>
    <w:p>
      <w:pPr>
        <w:pStyle w:val="ListBullet"/>
      </w:pPr>
      <w:r>
        <w:t>Do not use em dashes or special dash characters. Use a normal hyphen or a period.</w:t>
      </w:r>
    </w:p>
    <w:p>
      <w:pPr>
        <w:pStyle w:val="ListBullet"/>
      </w:pPr>
      <w:r>
        <w:t>Avoid phrases that sound like internal notes (example: “Page-specific answers…”). Write for visitors.</w:t>
      </w:r>
    </w:p>
    <w:p>
      <w:pPr>
        <w:pStyle w:val="ListBullet"/>
      </w:pPr>
      <w:r>
        <w:t>Prefer concrete language over buzzwords.</w:t>
      </w:r>
    </w:p>
    <w:p>
      <w:pPr>
        <w:pStyle w:val="Heading1"/>
      </w:pPr>
      <w:r>
        <w:t>3. Tone of voice</w:t>
      </w:r>
    </w:p>
    <w:p>
      <w:r>
        <w:rPr>
          <w:b/>
        </w:rPr>
        <w:t>Voice characteristics</w:t>
      </w:r>
    </w:p>
    <w:p>
      <w:pPr>
        <w:pStyle w:val="ListBullet"/>
      </w:pPr>
      <w:r>
        <w:t>Modern, transformation and AI aware</w:t>
      </w:r>
    </w:p>
    <w:p>
      <w:pPr>
        <w:pStyle w:val="ListBullet"/>
      </w:pPr>
      <w:r>
        <w:t>Outcome led and decision maker friendly</w:t>
      </w:r>
    </w:p>
    <w:p>
      <w:pPr>
        <w:pStyle w:val="ListBullet"/>
      </w:pPr>
      <w:r>
        <w:t>Clear, specific, and governance oriented</w:t>
      </w:r>
    </w:p>
    <w:p>
      <w:pPr>
        <w:pStyle w:val="ListBullet"/>
      </w:pPr>
      <w:r>
        <w:t>Pragmatic about constraints and tradeoffs</w:t>
      </w:r>
    </w:p>
    <w:p>
      <w:r>
        <w:rPr>
          <w:b/>
        </w:rPr>
        <w:t>Preferred language</w:t>
      </w:r>
    </w:p>
    <w:p>
      <w:pPr>
        <w:pStyle w:val="ListBullet"/>
      </w:pPr>
      <w:r>
        <w:t>Governance, ownership, cadence, controls, evidence trails</w:t>
      </w:r>
    </w:p>
    <w:p>
      <w:pPr>
        <w:pStyle w:val="ListBullet"/>
      </w:pPr>
      <w:r>
        <w:t>Operating model, definitions, SLAs, handoffs, measurement discipline</w:t>
      </w:r>
    </w:p>
    <w:p>
      <w:pPr>
        <w:pStyle w:val="ListBullet"/>
      </w:pPr>
      <w:r>
        <w:t>Advisory plus implementation, enablement, repeatable execution</w:t>
      </w:r>
    </w:p>
    <w:p>
      <w:r>
        <w:rPr>
          <w:b/>
        </w:rPr>
        <w:t>Avoid</w:t>
      </w:r>
    </w:p>
    <w:p>
      <w:pPr>
        <w:pStyle w:val="ListBullet"/>
      </w:pPr>
      <w:r>
        <w:t>Buzzwords without meaning (synergy, next gen, revolutionary)</w:t>
      </w:r>
    </w:p>
    <w:p>
      <w:pPr>
        <w:pStyle w:val="ListBullet"/>
      </w:pPr>
      <w:r>
        <w:t>Overpromising outcomes or timelines</w:t>
      </w:r>
    </w:p>
    <w:p>
      <w:pPr>
        <w:pStyle w:val="ListBullet"/>
      </w:pPr>
      <w:r>
        <w:t>Overly technical jargon without context</w:t>
      </w:r>
    </w:p>
    <w:p>
      <w:pPr>
        <w:pStyle w:val="Heading1"/>
      </w:pPr>
      <w:r>
        <w:t>4. Visual identity</w:t>
      </w:r>
    </w:p>
    <w:p>
      <w:r>
        <w:rPr>
          <w:b/>
        </w:rPr>
        <w:t>Logo system</w:t>
      </w:r>
    </w:p>
    <w:p>
      <w:pPr>
        <w:pStyle w:val="ListBullet"/>
      </w:pPr>
      <w:r>
        <w:t>Primary mark: DS symbol (used in header, favicon, small placements).</w:t>
      </w:r>
    </w:p>
    <w:p>
      <w:pPr>
        <w:pStyle w:val="ListBullet"/>
      </w:pPr>
      <w:r>
        <w:t>Primary lockup: DS symbol plus “DS Consulting” (used in documents and large placements).</w:t>
      </w:r>
    </w:p>
    <w:p>
      <w:pPr>
        <w:pStyle w:val="ListBullet"/>
      </w:pPr>
      <w:r>
        <w:t>Preferred web path: public/brand/DSConsulting-mark.png and public/brand/DSConsultinglogo.png.</w:t>
      </w:r>
    </w:p>
    <w:p>
      <w:pPr>
        <w:pStyle w:val="ListBullet"/>
      </w:pPr>
      <w:r>
        <w:t>Minimum digital size: mark 28 px height; lockup 120 px width.</w:t>
      </w:r>
    </w:p>
    <w:p>
      <w:r>
        <w:rPr>
          <w:b/>
        </w:rPr>
        <w:t>Color palette</w:t>
      </w:r>
    </w:p>
    <w:p>
      <w:r>
        <w:t>Primary colors are purple (indigo family), green (emerald family), and white/silver neutrals.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Token</w:t>
            </w:r>
          </w:p>
        </w:tc>
        <w:tc>
          <w:tcPr>
            <w:tcW w:type="dxa" w:w="2340"/>
          </w:tcPr>
          <w:p>
            <w:r>
              <w:t>Hex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</w:tcPr>
          <w:p>
            <w:r>
              <w:t>Primary</w:t>
            </w:r>
          </w:p>
        </w:tc>
        <w:tc>
          <w:tcPr>
            <w:tcW w:type="dxa" w:w="2340"/>
          </w:tcPr>
          <w:p>
            <w:r>
              <w:t>Indigo 600</w:t>
            </w:r>
          </w:p>
        </w:tc>
        <w:tc>
          <w:tcPr>
            <w:tcW w:type="dxa" w:w="2340"/>
          </w:tcPr>
          <w:p>
            <w:r>
              <w:t>#4F46E5</w:t>
            </w:r>
          </w:p>
        </w:tc>
        <w:tc>
          <w:tcPr>
            <w:tcW w:type="dxa" w:w="2340"/>
          </w:tcPr>
          <w:p>
            <w:r>
              <w:t>Primary CTAs, links, tagline highlight</w:t>
            </w:r>
          </w:p>
        </w:tc>
      </w:tr>
      <w:tr>
        <w:tc>
          <w:tcPr>
            <w:tcW w:type="dxa" w:w="2340"/>
          </w:tcPr>
          <w:p>
            <w:r>
              <w:t>ESG accent</w:t>
            </w:r>
          </w:p>
        </w:tc>
        <w:tc>
          <w:tcPr>
            <w:tcW w:type="dxa" w:w="2340"/>
          </w:tcPr>
          <w:p>
            <w:r>
              <w:t>Emerald 600</w:t>
            </w:r>
          </w:p>
        </w:tc>
        <w:tc>
          <w:tcPr>
            <w:tcW w:type="dxa" w:w="2340"/>
          </w:tcPr>
          <w:p>
            <w:r>
              <w:t>#059669</w:t>
            </w:r>
          </w:p>
        </w:tc>
        <w:tc>
          <w:tcPr>
            <w:tcW w:type="dxa" w:w="2340"/>
          </w:tcPr>
          <w:p>
            <w:r>
              <w:t>ESG headings, ESG CTAs</w:t>
            </w:r>
          </w:p>
        </w:tc>
      </w:tr>
      <w:tr>
        <w:tc>
          <w:tcPr>
            <w:tcW w:type="dxa" w:w="2340"/>
          </w:tcPr>
          <w:p>
            <w:r>
              <w:t>Dark base</w:t>
            </w:r>
          </w:p>
        </w:tc>
        <w:tc>
          <w:tcPr>
            <w:tcW w:type="dxa" w:w="2340"/>
          </w:tcPr>
          <w:p>
            <w:r>
              <w:t>Slate 900</w:t>
            </w:r>
          </w:p>
        </w:tc>
        <w:tc>
          <w:tcPr>
            <w:tcW w:type="dxa" w:w="2340"/>
          </w:tcPr>
          <w:p>
            <w:r>
              <w:t>#0F172A</w:t>
            </w:r>
          </w:p>
        </w:tc>
        <w:tc>
          <w:tcPr>
            <w:tcW w:type="dxa" w:w="2340"/>
          </w:tcPr>
          <w:p>
            <w:r>
              <w:t>Header and footer background, hero base</w:t>
            </w:r>
          </w:p>
        </w:tc>
      </w:tr>
      <w:tr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Slate 700</w:t>
            </w:r>
          </w:p>
        </w:tc>
        <w:tc>
          <w:tcPr>
            <w:tcW w:type="dxa" w:w="2340"/>
          </w:tcPr>
          <w:p>
            <w:r>
              <w:t>#334155</w:t>
            </w:r>
          </w:p>
        </w:tc>
        <w:tc>
          <w:tcPr>
            <w:tcW w:type="dxa" w:w="2340"/>
          </w:tcPr>
          <w:p>
            <w:r>
              <w:t>Body text</w:t>
            </w:r>
          </w:p>
        </w:tc>
      </w:tr>
      <w:tr>
        <w:tc>
          <w:tcPr>
            <w:tcW w:type="dxa" w:w="2340"/>
          </w:tcPr>
          <w:p>
            <w:r>
              <w:t>Surface</w:t>
            </w:r>
          </w:p>
        </w:tc>
        <w:tc>
          <w:tcPr>
            <w:tcW w:type="dxa" w:w="2340"/>
          </w:tcPr>
          <w:p>
            <w:r>
              <w:t>Slate 50</w:t>
            </w:r>
          </w:p>
        </w:tc>
        <w:tc>
          <w:tcPr>
            <w:tcW w:type="dxa" w:w="2340"/>
          </w:tcPr>
          <w:p>
            <w:r>
              <w:t>#F8FAFC</w:t>
            </w:r>
          </w:p>
        </w:tc>
        <w:tc>
          <w:tcPr>
            <w:tcW w:type="dxa" w:w="2340"/>
          </w:tcPr>
          <w:p>
            <w:r>
              <w:t>Section backgrounds</w:t>
            </w:r>
          </w:p>
        </w:tc>
      </w:tr>
      <w:tr>
        <w:tc>
          <w:tcPr>
            <w:tcW w:type="dxa" w:w="2340"/>
          </w:tcPr>
          <w:p>
            <w:r>
              <w:t>Border</w:t>
            </w:r>
          </w:p>
        </w:tc>
        <w:tc>
          <w:tcPr>
            <w:tcW w:type="dxa" w:w="2340"/>
          </w:tcPr>
          <w:p>
            <w:r>
              <w:t>Slate 200</w:t>
            </w:r>
          </w:p>
        </w:tc>
        <w:tc>
          <w:tcPr>
            <w:tcW w:type="dxa" w:w="2340"/>
          </w:tcPr>
          <w:p>
            <w:r>
              <w:t>#E2E8F0</w:t>
            </w:r>
          </w:p>
        </w:tc>
        <w:tc>
          <w:tcPr>
            <w:tcW w:type="dxa" w:w="2340"/>
          </w:tcPr>
          <w:p>
            <w:r>
              <w:t>Card borders, separators</w:t>
            </w:r>
          </w:p>
        </w:tc>
      </w:tr>
      <w:tr>
        <w:tc>
          <w:tcPr>
            <w:tcW w:type="dxa" w:w="2340"/>
          </w:tcPr>
          <w:p>
            <w:r>
              <w:t>White</w:t>
            </w:r>
          </w:p>
        </w:tc>
        <w:tc>
          <w:tcPr>
            <w:tcW w:type="dxa" w:w="2340"/>
          </w:tcPr>
          <w:p>
            <w:r>
              <w:t>White</w:t>
            </w:r>
          </w:p>
        </w:tc>
        <w:tc>
          <w:tcPr>
            <w:tcW w:type="dxa" w:w="2340"/>
          </w:tcPr>
          <w:p>
            <w:r>
              <w:t>#FFFFFF</w:t>
            </w:r>
          </w:p>
        </w:tc>
        <w:tc>
          <w:tcPr>
            <w:tcW w:type="dxa" w:w="2340"/>
          </w:tcPr>
          <w:p>
            <w:r>
              <w:t>Background, card surface</w:t>
            </w:r>
          </w:p>
        </w:tc>
      </w:tr>
    </w:tbl>
    <w:p>
      <w:r>
        <w:rPr>
          <w:b/>
        </w:rPr>
        <w:t>Usage rules</w:t>
      </w:r>
    </w:p>
    <w:p>
      <w:pPr>
        <w:pStyle w:val="ListBullet"/>
      </w:pPr>
      <w:r>
        <w:t>Use Indigo for primary actions and key emphasis.</w:t>
      </w:r>
    </w:p>
    <w:p>
      <w:pPr>
        <w:pStyle w:val="ListBullet"/>
      </w:pPr>
      <w:r>
        <w:t>Use Emerald to signal ESG context, not as a general accent.</w:t>
      </w:r>
    </w:p>
    <w:p>
      <w:pPr>
        <w:pStyle w:val="ListBullet"/>
      </w:pPr>
      <w:r>
        <w:t>Use Slate neutrals for readability and a modern enterprise look.</w:t>
      </w:r>
    </w:p>
    <w:p>
      <w:pPr>
        <w:pStyle w:val="ListBullet"/>
      </w:pPr>
      <w:r>
        <w:t>Maintain strong contrast for text and buttons for accessibility.</w:t>
      </w:r>
    </w:p>
    <w:p>
      <w:pPr>
        <w:pStyle w:val="Heading1"/>
      </w:pPr>
      <w:r>
        <w:t>5. Typography</w:t>
      </w:r>
    </w:p>
    <w:p>
      <w:r>
        <w:rPr>
          <w:b/>
        </w:rPr>
        <w:t>Recommended web font</w:t>
      </w:r>
    </w:p>
    <w:p>
      <w:r>
        <w:t>Inter (preferred) with system fallback. If Inter is not loaded, use the default Tailwind sans stack.</w:t>
      </w:r>
    </w:p>
    <w:p>
      <w:r>
        <w:rPr>
          <w:b/>
        </w:rPr>
        <w:t>Hierarchy guidance</w:t>
      </w:r>
    </w:p>
    <w:p>
      <w:pPr>
        <w:pStyle w:val="ListBullet"/>
      </w:pPr>
      <w:r>
        <w:t>H1: one per page, clear outcome statement.</w:t>
      </w:r>
    </w:p>
    <w:p>
      <w:pPr>
        <w:pStyle w:val="ListBullet"/>
      </w:pPr>
      <w:r>
        <w:t>H2: section headlines that are scannable and action oriented.</w:t>
      </w:r>
    </w:p>
    <w:p>
      <w:pPr>
        <w:pStyle w:val="ListBullet"/>
      </w:pPr>
      <w:r>
        <w:t>Body: short paragraphs with spacing, avoid dense blocks.</w:t>
      </w:r>
    </w:p>
    <w:p>
      <w:pPr>
        <w:pStyle w:val="ListBullet"/>
      </w:pPr>
      <w:r>
        <w:t>Links: always styled consistently, avoid raw URLs in body copy.</w:t>
      </w:r>
    </w:p>
    <w:p>
      <w:pPr>
        <w:pStyle w:val="Heading1"/>
      </w:pPr>
      <w:r>
        <w:t>6. Layout system and templates</w:t>
      </w:r>
    </w:p>
    <w:p>
      <w:r>
        <w:rPr>
          <w:b/>
        </w:rPr>
        <w:t>Reusable templates</w:t>
      </w:r>
    </w:p>
    <w:p>
      <w:pPr>
        <w:pStyle w:val="ListBullet"/>
      </w:pPr>
      <w:r>
        <w:t>PageHero: left copy plus right hero photo with overlay. Used across all pages.</w:t>
      </w:r>
    </w:p>
    <w:p>
      <w:pPr>
        <w:pStyle w:val="ListBullet"/>
      </w:pPr>
      <w:r>
        <w:t>Card system: rounded 2xl, light border, subtle shadow, consistent padding.</w:t>
      </w:r>
    </w:p>
    <w:p>
      <w:pPr>
        <w:pStyle w:val="ListBullet"/>
      </w:pPr>
      <w:r>
        <w:t>FAQ blocks: 6 to 7 questions per service page with structured answers and relevant internal links.</w:t>
      </w:r>
    </w:p>
    <w:p>
      <w:pPr>
        <w:pStyle w:val="ListBullet"/>
      </w:pPr>
      <w:r>
        <w:t>Header: Services dropdown click-to-toggle; avoid hover-only behavior that disappears.</w:t>
      </w:r>
    </w:p>
    <w:p>
      <w:r>
        <w:rPr>
          <w:b/>
        </w:rPr>
        <w:t>Central configuration</w:t>
      </w:r>
    </w:p>
    <w:p>
      <w:pPr>
        <w:pStyle w:val="ListBullet"/>
      </w:pPr>
      <w:r>
        <w:t>Update domain and default SEO in src/lib/site.ts.</w:t>
      </w:r>
    </w:p>
    <w:p>
      <w:pPr>
        <w:pStyle w:val="ListBullet"/>
      </w:pPr>
      <w:r>
        <w:t>Use absUrl() for canonical URLs and JSON-LD absolute URLs.</w:t>
      </w:r>
    </w:p>
    <w:p>
      <w:pPr>
        <w:pStyle w:val="ListBullet"/>
      </w:pPr>
      <w:r>
        <w:t>Keep brand name strings in site.ts to avoid hard-coded duplication.</w:t>
      </w:r>
    </w:p>
    <w:p>
      <w:pPr>
        <w:pStyle w:val="Heading1"/>
      </w:pPr>
      <w:r>
        <w:t>7. Photography and imagery</w:t>
      </w:r>
    </w:p>
    <w:p>
      <w:r>
        <w:rPr>
          <w:b/>
        </w:rPr>
        <w:t>Style direction</w:t>
      </w:r>
    </w:p>
    <w:p>
      <w:pPr>
        <w:pStyle w:val="ListBullet"/>
      </w:pPr>
      <w:r>
        <w:t>Realistic modern workplace photography with calm confidence.</w:t>
      </w:r>
    </w:p>
    <w:p>
      <w:pPr>
        <w:pStyle w:val="ListBullet"/>
      </w:pPr>
      <w:r>
        <w:t>Outcome-led scenes. Avoid meeting rooms, conference setups, presentations, and visible screens or laptops.</w:t>
      </w:r>
    </w:p>
    <w:p>
      <w:pPr>
        <w:pStyle w:val="ListBullet"/>
      </w:pPr>
      <w:r>
        <w:t>Prefer human moments that imply alignment, relief from chaos, and momentum.</w:t>
      </w:r>
    </w:p>
    <w:p>
      <w:pPr>
        <w:pStyle w:val="ListBullet"/>
      </w:pPr>
      <w:r>
        <w:t>Prefer clean backgrounds and negative space so overlays remain readable.</w:t>
      </w:r>
    </w:p>
    <w:p>
      <w:pPr>
        <w:pStyle w:val="ListBullet"/>
      </w:pPr>
      <w:r>
        <w:t>Avoid prominent third-party logos or identifiable brands.</w:t>
      </w:r>
    </w:p>
    <w:p>
      <w:r>
        <w:rPr>
          <w:b/>
        </w:rPr>
        <w:t>Hero image specifications</w:t>
      </w:r>
    </w:p>
    <w:p>
      <w:pPr>
        <w:pStyle w:val="ListBullet"/>
      </w:pPr>
      <w:r>
        <w:t>Standard hero: 1600 x 900 px (16:9).</w:t>
      </w:r>
    </w:p>
    <w:p>
      <w:pPr>
        <w:pStyle w:val="ListBullet"/>
      </w:pPr>
      <w:r>
        <w:t>Target file size: 200 KB to 500 KB per hero image.</w:t>
      </w:r>
    </w:p>
    <w:p>
      <w:pPr>
        <w:pStyle w:val="ListBullet"/>
      </w:pPr>
      <w:r>
        <w:t>Format: JPG preferred, WEBP optional.</w:t>
      </w:r>
    </w:p>
    <w:p>
      <w:pPr>
        <w:pStyle w:val="ListBullet"/>
      </w:pPr>
      <w:r>
        <w:t>Store in public/hero and reference as /hero/filename.jpg.</w:t>
      </w:r>
    </w:p>
    <w:p>
      <w:r>
        <w:rPr>
          <w:b/>
        </w:rPr>
        <w:t>Hero naming convention</w:t>
      </w:r>
    </w:p>
    <w:p>
      <w:pPr>
        <w:pStyle w:val="ListBullet"/>
      </w:pPr>
      <w:r>
        <w:t>Home: home.jpg</w:t>
      </w:r>
    </w:p>
    <w:p>
      <w:pPr>
        <w:pStyle w:val="ListBullet"/>
      </w:pPr>
      <w:r>
        <w:t>Services: services.jpg</w:t>
      </w:r>
    </w:p>
    <w:p>
      <w:pPr>
        <w:pStyle w:val="ListBullet"/>
      </w:pPr>
      <w:r>
        <w:t>ESG: esg.jpg, CSRD: csrd.jpg, BRSR: brsr.jpg, UK climate: uk-climate.jpg</w:t>
      </w:r>
    </w:p>
    <w:p>
      <w:pPr>
        <w:pStyle w:val="ListBullet"/>
      </w:pPr>
      <w:r>
        <w:t>Marketing: marketing.jpg, CRM: crm.jpg, Lifecycle: lifecycle.jpg, Revenue: revenue.jpg</w:t>
      </w:r>
    </w:p>
    <w:p>
      <w:pPr>
        <w:pStyle w:val="ListBullet"/>
      </w:pPr>
      <w:r>
        <w:t>About: about.jpg, Insights: insights.jpg, Regulatory hub: regulatory.jpg, Legal pages: legal.jpg, Contact: contact.jpg, Team: team.jpg</w:t>
      </w:r>
    </w:p>
    <w:p>
      <w:r>
        <w:rPr>
          <w:b/>
        </w:rPr>
        <w:t>Article image convention (optional)</w:t>
      </w:r>
    </w:p>
    <w:p>
      <w:pPr>
        <w:pStyle w:val="ListBullet"/>
      </w:pPr>
      <w:r>
        <w:t>Insights articles: ins-marketing-governance.jpg, ins-csrd-90days.jpg</w:t>
      </w:r>
    </w:p>
    <w:p>
      <w:pPr>
        <w:pStyle w:val="ListBullet"/>
      </w:pPr>
      <w:r>
        <w:t>Regulatory guides: reg-csrd-scope.jpg, reg-csrd-materiality.jpg, reg-brsr-kpi.jpg, reg-brsr-valuechain.jpg, reg-uk-governance.jpg, reg-uk-metrics.jpg</w:t>
      </w:r>
    </w:p>
    <w:p>
      <w:pPr>
        <w:pStyle w:val="Heading1"/>
      </w:pPr>
      <w:r>
        <w:t>8. SEO and AI search readiness</w:t>
      </w:r>
    </w:p>
    <w:p>
      <w:r>
        <w:rPr>
          <w:b/>
        </w:rPr>
        <w:t>Page structure</w:t>
      </w:r>
    </w:p>
    <w:p>
      <w:pPr>
        <w:pStyle w:val="ListBullet"/>
      </w:pPr>
      <w:r>
        <w:t>One H1 per page.</w:t>
      </w:r>
    </w:p>
    <w:p>
      <w:pPr>
        <w:pStyle w:val="ListBullet"/>
      </w:pPr>
      <w:r>
        <w:t>Clear H2 sections and scannable card blocks.</w:t>
      </w:r>
    </w:p>
    <w:p>
      <w:pPr>
        <w:pStyle w:val="ListBullet"/>
      </w:pPr>
      <w:r>
        <w:t>FAQ section tailored to the page topic.</w:t>
      </w:r>
    </w:p>
    <w:p>
      <w:pPr>
        <w:pStyle w:val="ListBullet"/>
      </w:pPr>
      <w:r>
        <w:t>Internal links to adjacent services and hubs.</w:t>
      </w:r>
    </w:p>
    <w:p>
      <w:r>
        <w:rPr>
          <w:b/>
        </w:rPr>
        <w:t>Technical implementation</w:t>
      </w:r>
    </w:p>
    <w:p>
      <w:pPr>
        <w:pStyle w:val="ListBullet"/>
      </w:pPr>
      <w:r>
        <w:t>Set metadataBase to site.baseUrl and keep it aligned with the primary domain (www).</w:t>
      </w:r>
    </w:p>
    <w:p>
      <w:pPr>
        <w:pStyle w:val="ListBullet"/>
      </w:pPr>
      <w:r>
        <w:t>Set canonical URLs using absUrl().</w:t>
      </w:r>
    </w:p>
    <w:p>
      <w:pPr>
        <w:pStyle w:val="ListBullet"/>
      </w:pPr>
      <w:r>
        <w:t>Add JSON-LD: Organization, Service, FAQPage, BreadcrumbList, ItemList, Article as appropriate.</w:t>
      </w:r>
    </w:p>
    <w:p>
      <w:pPr>
        <w:pStyle w:val="ListBullet"/>
      </w:pPr>
      <w:r>
        <w:t>Avoid duplicate pages. Use Vercel redirect so only one domain is canonical.</w:t>
      </w:r>
    </w:p>
    <w:p>
      <w:pPr>
        <w:pStyle w:val="Heading1"/>
      </w:pPr>
      <w:r>
        <w:t>9. Accessibility and compliance</w:t>
      </w:r>
    </w:p>
    <w:p>
      <w:r>
        <w:rPr>
          <w:b/>
        </w:rPr>
        <w:t>Accessibility basics</w:t>
      </w:r>
    </w:p>
    <w:p>
      <w:pPr>
        <w:pStyle w:val="ListBullet"/>
      </w:pPr>
      <w:r>
        <w:t>Provide meaningful alt text for all images.</w:t>
      </w:r>
    </w:p>
    <w:p>
      <w:pPr>
        <w:pStyle w:val="ListBullet"/>
      </w:pPr>
      <w:r>
        <w:t>Maintain contrast for text on hero overlays and buttons.</w:t>
      </w:r>
    </w:p>
    <w:p>
      <w:pPr>
        <w:pStyle w:val="ListBullet"/>
      </w:pPr>
      <w:r>
        <w:t>Ensure keyboard navigation works for menus and accordions.</w:t>
      </w:r>
    </w:p>
    <w:p>
      <w:pPr>
        <w:pStyle w:val="ListBullet"/>
      </w:pPr>
      <w:r>
        <w:t>Keep link text descriptive.</w:t>
      </w:r>
    </w:p>
    <w:p>
      <w:r>
        <w:rPr>
          <w:b/>
        </w:rPr>
        <w:t>Consent and security</w:t>
      </w:r>
    </w:p>
    <w:p>
      <w:pPr>
        <w:pStyle w:val="ListBullet"/>
      </w:pPr>
      <w:r>
        <w:t>Cookie consent available across the site.</w:t>
      </w:r>
    </w:p>
    <w:p>
      <w:pPr>
        <w:pStyle w:val="ListBullet"/>
      </w:pPr>
      <w:r>
        <w:t>Google Analytics runs with Consent Mode: analytics storage denied by default until users opt in.</w:t>
      </w:r>
    </w:p>
    <w:p>
      <w:pPr>
        <w:pStyle w:val="ListBullet"/>
      </w:pPr>
      <w:r>
        <w:t>Contact form protected by reCAPTCHA v3.</w:t>
      </w:r>
    </w:p>
    <w:p>
      <w:pPr>
        <w:pStyle w:val="ListBullet"/>
      </w:pPr>
      <w:r>
        <w:t>Document third-party scripts in cookies and privacy policy.</w:t>
      </w:r>
    </w:p>
    <w:p>
      <w:pPr>
        <w:pStyle w:val="Heading1"/>
      </w:pPr>
      <w:r>
        <w:t>10. Footer and identifiers</w:t>
      </w:r>
    </w:p>
    <w:p>
      <w:r>
        <w:rPr>
          <w:b/>
        </w:rPr>
        <w:t>Address</w:t>
      </w:r>
    </w:p>
    <w:p>
      <w:r>
        <w:t>Prim Rose Tower, Azad Nagar Lane No. 3, Off Veera Desai Road, Andheri (W), Mumbai, Maharashtra 400058, India</w:t>
      </w:r>
    </w:p>
    <w:p>
      <w:r>
        <w:rPr>
          <w:b/>
        </w:rPr>
        <w:t>Social links</w:t>
      </w:r>
    </w:p>
    <w:p>
      <w:r>
        <w:t>Use icon buttons labeled “Follow us” for LinkedIn, Twitter/X, and YouTube. Use placeholders until official profiles are ready.</w:t>
      </w:r>
    </w:p>
    <w:p>
      <w:pPr>
        <w:pStyle w:val="Heading1"/>
      </w:pPr>
      <w:r>
        <w:t>Appendix: Change control checklist</w:t>
      </w:r>
    </w:p>
    <w:p>
      <w:pPr>
        <w:pStyle w:val="ListBullet"/>
      </w:pPr>
      <w:r>
        <w:t>Domain change: update site.baseUrl and site.domain in src/lib/site.ts, then redeploy.</w:t>
      </w:r>
    </w:p>
    <w:p>
      <w:pPr>
        <w:pStyle w:val="ListBullet"/>
      </w:pPr>
      <w:r>
        <w:t>Logo update: place files in public/brand and update SiteHeader to use the mark in small sizes.</w:t>
      </w:r>
    </w:p>
    <w:p>
      <w:pPr>
        <w:pStyle w:val="ListBullet"/>
      </w:pPr>
      <w:r>
        <w:t>Favicon update: use src/app/icon.png (512) and src/app/apple-icon.png (180), plus public/favicon.ico.</w:t>
      </w:r>
    </w:p>
    <w:p>
      <w:pPr>
        <w:pStyle w:val="ListBullet"/>
      </w:pPr>
      <w:r>
        <w:t>New hero image: add file to public/hero and set imageSrc in PageHero usage for that page.</w:t>
      </w:r>
    </w:p>
    <w:p>
      <w:pPr>
        <w:pStyle w:val="ListBullet"/>
      </w:pPr>
      <w:r>
        <w:t>Copy updates: keep tagline punctuation unchanged and do not use em dashes.</w:t>
      </w:r>
    </w:p>
    <w:p>
      <w:pPr>
        <w:pStyle w:val="ListBullet"/>
      </w:pPr>
      <w:r>
        <w:t>Before deploy: verify www is canonical, reCAPTCHA allowed domains include www and non-www, GA measurement ID is set in Vercel.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