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218BD" w14:textId="3B3F26D7" w:rsidR="00D7597A" w:rsidRDefault="00074186">
      <w:pPr>
        <w:rPr>
          <w:b/>
          <w:bCs/>
          <w:sz w:val="32"/>
          <w:szCs w:val="32"/>
        </w:rPr>
      </w:pPr>
      <w:r w:rsidRPr="00074186">
        <w:rPr>
          <w:b/>
          <w:bCs/>
          <w:sz w:val="32"/>
          <w:szCs w:val="32"/>
        </w:rPr>
        <w:t>Model Package :</w:t>
      </w:r>
    </w:p>
    <w:p w14:paraId="3B476340" w14:textId="77777777" w:rsidR="0079750B" w:rsidRDefault="0079750B">
      <w:pPr>
        <w:rPr>
          <w:b/>
          <w:bCs/>
          <w:sz w:val="32"/>
          <w:szCs w:val="32"/>
        </w:rPr>
      </w:pPr>
    </w:p>
    <w:p w14:paraId="6171DF6D" w14:textId="5AC550AA" w:rsidR="0079750B" w:rsidRDefault="007975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User.Java:</w:t>
      </w:r>
    </w:p>
    <w:p w14:paraId="2A03A9B7" w14:textId="77777777" w:rsidR="00074186" w:rsidRDefault="00074186">
      <w:pPr>
        <w:rPr>
          <w:b/>
          <w:bCs/>
          <w:sz w:val="32"/>
          <w:szCs w:val="32"/>
        </w:rPr>
      </w:pPr>
    </w:p>
    <w:p w14:paraId="444C5A84" w14:textId="77777777" w:rsidR="00074186" w:rsidRPr="00074186" w:rsidRDefault="00074186" w:rsidP="00074186">
      <w:pPr>
        <w:numPr>
          <w:ilvl w:val="0"/>
          <w:numId w:val="20"/>
        </w:numPr>
        <w:tabs>
          <w:tab w:val="num" w:pos="360"/>
        </w:tabs>
        <w:rPr>
          <w:b/>
          <w:bCs/>
          <w:sz w:val="32"/>
          <w:szCs w:val="32"/>
        </w:rPr>
      </w:pPr>
      <w:r w:rsidRPr="00074186">
        <w:rPr>
          <w:b/>
          <w:bCs/>
          <w:sz w:val="32"/>
          <w:szCs w:val="32"/>
        </w:rPr>
        <w:t>Class-Level Annotations</w:t>
      </w:r>
    </w:p>
    <w:p w14:paraId="4039507F" w14:textId="77777777" w:rsidR="00074186" w:rsidRPr="00074186" w:rsidRDefault="00074186" w:rsidP="00074186">
      <w:pPr>
        <w:numPr>
          <w:ilvl w:val="0"/>
          <w:numId w:val="22"/>
        </w:numPr>
        <w:rPr>
          <w:b/>
          <w:bCs/>
          <w:sz w:val="32"/>
          <w:szCs w:val="32"/>
        </w:rPr>
      </w:pPr>
      <w:r w:rsidRPr="00074186">
        <w:rPr>
          <w:b/>
          <w:bCs/>
          <w:sz w:val="32"/>
          <w:szCs w:val="32"/>
        </w:rPr>
        <w:t>@Data (from Lombok):</w:t>
      </w:r>
    </w:p>
    <w:p w14:paraId="71D1EA1B" w14:textId="77777777" w:rsidR="00074186" w:rsidRPr="00074186" w:rsidRDefault="00074186" w:rsidP="00074186">
      <w:pPr>
        <w:numPr>
          <w:ilvl w:val="1"/>
          <w:numId w:val="22"/>
        </w:numPr>
        <w:rPr>
          <w:sz w:val="32"/>
          <w:szCs w:val="32"/>
        </w:rPr>
      </w:pPr>
      <w:r w:rsidRPr="00074186">
        <w:rPr>
          <w:sz w:val="32"/>
          <w:szCs w:val="32"/>
        </w:rPr>
        <w:t>Automatically generates boilerplate code such as getters, setters, toString, hashCode, and equals methods.</w:t>
      </w:r>
    </w:p>
    <w:p w14:paraId="1D0F0313" w14:textId="77777777" w:rsidR="00074186" w:rsidRPr="00074186" w:rsidRDefault="00074186" w:rsidP="00074186">
      <w:pPr>
        <w:numPr>
          <w:ilvl w:val="1"/>
          <w:numId w:val="22"/>
        </w:numPr>
        <w:rPr>
          <w:sz w:val="32"/>
          <w:szCs w:val="32"/>
        </w:rPr>
      </w:pPr>
      <w:r w:rsidRPr="00074186">
        <w:rPr>
          <w:sz w:val="32"/>
          <w:szCs w:val="32"/>
        </w:rPr>
        <w:t>Saves time and reduces clutter.</w:t>
      </w:r>
    </w:p>
    <w:p w14:paraId="63F5ADB7" w14:textId="77777777" w:rsidR="00074186" w:rsidRPr="00074186" w:rsidRDefault="00074186" w:rsidP="00074186">
      <w:pPr>
        <w:numPr>
          <w:ilvl w:val="0"/>
          <w:numId w:val="22"/>
        </w:numPr>
        <w:rPr>
          <w:b/>
          <w:bCs/>
          <w:sz w:val="32"/>
          <w:szCs w:val="32"/>
        </w:rPr>
      </w:pPr>
      <w:r w:rsidRPr="00074186">
        <w:rPr>
          <w:b/>
          <w:bCs/>
          <w:sz w:val="32"/>
          <w:szCs w:val="32"/>
        </w:rPr>
        <w:t>@DynamicInsert (from Hibernate):</w:t>
      </w:r>
    </w:p>
    <w:p w14:paraId="63164010" w14:textId="77777777" w:rsidR="00074186" w:rsidRPr="00074186" w:rsidRDefault="00074186" w:rsidP="00074186">
      <w:pPr>
        <w:numPr>
          <w:ilvl w:val="1"/>
          <w:numId w:val="22"/>
        </w:numPr>
        <w:rPr>
          <w:sz w:val="32"/>
          <w:szCs w:val="32"/>
        </w:rPr>
      </w:pPr>
      <w:r w:rsidRPr="00074186">
        <w:rPr>
          <w:sz w:val="32"/>
          <w:szCs w:val="32"/>
        </w:rPr>
        <w:t>Ensures that only non-null fields are included in the SQL INSERT statement.</w:t>
      </w:r>
    </w:p>
    <w:p w14:paraId="67A485F2" w14:textId="77777777" w:rsidR="00074186" w:rsidRPr="00074186" w:rsidRDefault="00074186" w:rsidP="00074186">
      <w:pPr>
        <w:numPr>
          <w:ilvl w:val="1"/>
          <w:numId w:val="22"/>
        </w:numPr>
        <w:rPr>
          <w:sz w:val="32"/>
          <w:szCs w:val="32"/>
        </w:rPr>
      </w:pPr>
      <w:r w:rsidRPr="00074186">
        <w:rPr>
          <w:sz w:val="32"/>
          <w:szCs w:val="32"/>
        </w:rPr>
        <w:t>Useful for default column values set at the database level.</w:t>
      </w:r>
    </w:p>
    <w:p w14:paraId="2DB3707A" w14:textId="77777777" w:rsidR="00074186" w:rsidRPr="00074186" w:rsidRDefault="00074186" w:rsidP="00074186">
      <w:pPr>
        <w:numPr>
          <w:ilvl w:val="0"/>
          <w:numId w:val="22"/>
        </w:numPr>
        <w:rPr>
          <w:sz w:val="32"/>
          <w:szCs w:val="32"/>
        </w:rPr>
      </w:pPr>
      <w:r w:rsidRPr="00074186">
        <w:rPr>
          <w:b/>
          <w:bCs/>
          <w:sz w:val="32"/>
          <w:szCs w:val="32"/>
        </w:rPr>
        <w:t>@DynamicUpdate (from Hibernate):</w:t>
      </w:r>
    </w:p>
    <w:p w14:paraId="57EED0CF" w14:textId="77777777" w:rsidR="00074186" w:rsidRPr="00074186" w:rsidRDefault="00074186" w:rsidP="00074186">
      <w:pPr>
        <w:numPr>
          <w:ilvl w:val="1"/>
          <w:numId w:val="22"/>
        </w:numPr>
        <w:rPr>
          <w:sz w:val="32"/>
          <w:szCs w:val="32"/>
        </w:rPr>
      </w:pPr>
      <w:r w:rsidRPr="00074186">
        <w:rPr>
          <w:sz w:val="32"/>
          <w:szCs w:val="32"/>
        </w:rPr>
        <w:t>Ensures that only changed fields are included in the SQL UPDATE statement.</w:t>
      </w:r>
    </w:p>
    <w:p w14:paraId="7FCD82E4" w14:textId="77777777" w:rsidR="00074186" w:rsidRPr="00074186" w:rsidRDefault="00074186" w:rsidP="00074186">
      <w:pPr>
        <w:numPr>
          <w:ilvl w:val="1"/>
          <w:numId w:val="22"/>
        </w:numPr>
        <w:rPr>
          <w:sz w:val="32"/>
          <w:szCs w:val="32"/>
        </w:rPr>
      </w:pPr>
      <w:r w:rsidRPr="00074186">
        <w:rPr>
          <w:sz w:val="32"/>
          <w:szCs w:val="32"/>
        </w:rPr>
        <w:t>Improves performance by minimizing the database query payload.</w:t>
      </w:r>
    </w:p>
    <w:p w14:paraId="0A236209" w14:textId="77777777" w:rsidR="00074186" w:rsidRPr="00074186" w:rsidRDefault="00074186" w:rsidP="00074186">
      <w:pPr>
        <w:numPr>
          <w:ilvl w:val="0"/>
          <w:numId w:val="22"/>
        </w:numPr>
        <w:rPr>
          <w:b/>
          <w:bCs/>
          <w:sz w:val="32"/>
          <w:szCs w:val="32"/>
        </w:rPr>
      </w:pPr>
      <w:r w:rsidRPr="00074186">
        <w:rPr>
          <w:b/>
          <w:bCs/>
          <w:sz w:val="32"/>
          <w:szCs w:val="32"/>
        </w:rPr>
        <w:t>@Entity (from JPA):</w:t>
      </w:r>
    </w:p>
    <w:p w14:paraId="0A74BAD4" w14:textId="77777777" w:rsidR="00074186" w:rsidRPr="00074186" w:rsidRDefault="00074186" w:rsidP="00074186">
      <w:pPr>
        <w:numPr>
          <w:ilvl w:val="1"/>
          <w:numId w:val="22"/>
        </w:numPr>
        <w:rPr>
          <w:sz w:val="32"/>
          <w:szCs w:val="32"/>
        </w:rPr>
      </w:pPr>
      <w:r w:rsidRPr="00074186">
        <w:rPr>
          <w:sz w:val="32"/>
          <w:szCs w:val="32"/>
        </w:rPr>
        <w:t>Marks the class as a Hibernate entity, meaning it maps to a database table.</w:t>
      </w:r>
    </w:p>
    <w:p w14:paraId="3B301C66" w14:textId="4A23A518" w:rsidR="00074186" w:rsidRPr="00074186" w:rsidRDefault="00074186" w:rsidP="00074186">
      <w:pPr>
        <w:numPr>
          <w:ilvl w:val="0"/>
          <w:numId w:val="22"/>
        </w:numPr>
        <w:rPr>
          <w:b/>
          <w:bCs/>
          <w:sz w:val="32"/>
          <w:szCs w:val="32"/>
        </w:rPr>
      </w:pPr>
      <w:r w:rsidRPr="00074186">
        <w:rPr>
          <w:b/>
          <w:bCs/>
          <w:sz w:val="32"/>
          <w:szCs w:val="32"/>
        </w:rPr>
        <w:t>@Table(name = "User</w:t>
      </w:r>
      <w:r>
        <w:rPr>
          <w:b/>
          <w:bCs/>
          <w:sz w:val="32"/>
          <w:szCs w:val="32"/>
        </w:rPr>
        <w:t>s</w:t>
      </w:r>
      <w:r w:rsidRPr="00074186">
        <w:rPr>
          <w:b/>
          <w:bCs/>
          <w:sz w:val="32"/>
          <w:szCs w:val="32"/>
        </w:rPr>
        <w:t>") (from JPA):</w:t>
      </w:r>
    </w:p>
    <w:p w14:paraId="38A9BE26" w14:textId="4D19509C" w:rsidR="00074186" w:rsidRPr="00074186" w:rsidRDefault="00074186" w:rsidP="00074186">
      <w:pPr>
        <w:numPr>
          <w:ilvl w:val="1"/>
          <w:numId w:val="22"/>
        </w:numPr>
        <w:rPr>
          <w:sz w:val="32"/>
          <w:szCs w:val="32"/>
        </w:rPr>
      </w:pPr>
      <w:r w:rsidRPr="00074186">
        <w:rPr>
          <w:sz w:val="32"/>
          <w:szCs w:val="32"/>
        </w:rPr>
        <w:t>Maps this entity to the table named User in the database.</w:t>
      </w:r>
    </w:p>
    <w:p w14:paraId="05F452AC" w14:textId="77777777" w:rsidR="00074186" w:rsidRDefault="00074186">
      <w:pPr>
        <w:rPr>
          <w:sz w:val="32"/>
          <w:szCs w:val="32"/>
        </w:rPr>
      </w:pPr>
    </w:p>
    <w:p w14:paraId="2760FC9B" w14:textId="77777777" w:rsidR="00074186" w:rsidRPr="00074186" w:rsidRDefault="00074186" w:rsidP="00074186">
      <w:pPr>
        <w:rPr>
          <w:sz w:val="32"/>
          <w:szCs w:val="32"/>
        </w:rPr>
      </w:pPr>
      <w:r w:rsidRPr="00074186">
        <w:rPr>
          <w:sz w:val="32"/>
          <w:szCs w:val="32"/>
        </w:rPr>
        <w:pict w14:anchorId="7138EF7F">
          <v:rect id="_x0000_i1038" style="width:0;height:1.5pt" o:hralign="center" o:hrstd="t" o:hr="t" fillcolor="#a0a0a0" stroked="f"/>
        </w:pict>
      </w:r>
    </w:p>
    <w:p w14:paraId="4EC78326" w14:textId="77777777" w:rsidR="00074186" w:rsidRPr="00074186" w:rsidRDefault="00074186" w:rsidP="00074186">
      <w:pPr>
        <w:numPr>
          <w:ilvl w:val="0"/>
          <w:numId w:val="20"/>
        </w:numPr>
        <w:tabs>
          <w:tab w:val="num" w:pos="360"/>
        </w:tabs>
        <w:rPr>
          <w:b/>
          <w:bCs/>
          <w:sz w:val="32"/>
          <w:szCs w:val="32"/>
        </w:rPr>
      </w:pPr>
      <w:r w:rsidRPr="00074186">
        <w:rPr>
          <w:b/>
          <w:bCs/>
          <w:sz w:val="32"/>
          <w:szCs w:val="32"/>
        </w:rPr>
        <w:t>Fields and Annotations</w:t>
      </w:r>
    </w:p>
    <w:p w14:paraId="56FF3586" w14:textId="77777777" w:rsidR="00074186" w:rsidRPr="00074186" w:rsidRDefault="00074186" w:rsidP="00074186">
      <w:pPr>
        <w:numPr>
          <w:ilvl w:val="0"/>
          <w:numId w:val="24"/>
        </w:numPr>
        <w:rPr>
          <w:sz w:val="32"/>
          <w:szCs w:val="32"/>
        </w:rPr>
      </w:pPr>
      <w:r w:rsidRPr="00074186">
        <w:rPr>
          <w:b/>
          <w:bCs/>
          <w:sz w:val="32"/>
          <w:szCs w:val="32"/>
        </w:rPr>
        <w:t>private static final long serialVersionUID = 1L;</w:t>
      </w:r>
    </w:p>
    <w:p w14:paraId="17B54507" w14:textId="77777777" w:rsidR="00074186" w:rsidRPr="00074186" w:rsidRDefault="00074186" w:rsidP="00074186">
      <w:pPr>
        <w:numPr>
          <w:ilvl w:val="1"/>
          <w:numId w:val="24"/>
        </w:numPr>
        <w:rPr>
          <w:sz w:val="32"/>
          <w:szCs w:val="32"/>
        </w:rPr>
      </w:pPr>
      <w:r w:rsidRPr="00074186">
        <w:rPr>
          <w:sz w:val="32"/>
          <w:szCs w:val="32"/>
        </w:rPr>
        <w:t>Ensures that the class is compatible during the serialization/deserialization process.</w:t>
      </w:r>
    </w:p>
    <w:p w14:paraId="2025CDE0" w14:textId="77777777" w:rsidR="00074186" w:rsidRPr="00074186" w:rsidRDefault="00074186" w:rsidP="00074186">
      <w:pPr>
        <w:numPr>
          <w:ilvl w:val="1"/>
          <w:numId w:val="24"/>
        </w:numPr>
        <w:rPr>
          <w:sz w:val="32"/>
          <w:szCs w:val="32"/>
        </w:rPr>
      </w:pPr>
      <w:r w:rsidRPr="00074186">
        <w:rPr>
          <w:sz w:val="32"/>
          <w:szCs w:val="32"/>
        </w:rPr>
        <w:t>Helps maintain a consistent state if the class structure changes.</w:t>
      </w:r>
    </w:p>
    <w:p w14:paraId="6557C3EB" w14:textId="77777777" w:rsidR="00074186" w:rsidRPr="00074186" w:rsidRDefault="00074186" w:rsidP="00074186">
      <w:pPr>
        <w:numPr>
          <w:ilvl w:val="0"/>
          <w:numId w:val="24"/>
        </w:numPr>
        <w:rPr>
          <w:sz w:val="32"/>
          <w:szCs w:val="32"/>
        </w:rPr>
      </w:pPr>
      <w:r w:rsidRPr="00074186">
        <w:rPr>
          <w:b/>
          <w:bCs/>
          <w:sz w:val="32"/>
          <w:szCs w:val="32"/>
        </w:rPr>
        <w:t>@Id</w:t>
      </w:r>
    </w:p>
    <w:p w14:paraId="7303FB64" w14:textId="77777777" w:rsidR="00074186" w:rsidRPr="00074186" w:rsidRDefault="00074186" w:rsidP="00074186">
      <w:pPr>
        <w:numPr>
          <w:ilvl w:val="1"/>
          <w:numId w:val="24"/>
        </w:numPr>
        <w:rPr>
          <w:sz w:val="32"/>
          <w:szCs w:val="32"/>
        </w:rPr>
      </w:pPr>
      <w:r w:rsidRPr="00074186">
        <w:rPr>
          <w:sz w:val="32"/>
          <w:szCs w:val="32"/>
        </w:rPr>
        <w:t>Marks the field as the primary key of the entity.</w:t>
      </w:r>
    </w:p>
    <w:p w14:paraId="7AD0102E" w14:textId="77777777" w:rsidR="00074186" w:rsidRPr="00074186" w:rsidRDefault="00074186" w:rsidP="00074186">
      <w:pPr>
        <w:numPr>
          <w:ilvl w:val="0"/>
          <w:numId w:val="24"/>
        </w:numPr>
        <w:rPr>
          <w:sz w:val="32"/>
          <w:szCs w:val="32"/>
        </w:rPr>
      </w:pPr>
      <w:r w:rsidRPr="00074186">
        <w:rPr>
          <w:b/>
          <w:bCs/>
          <w:sz w:val="32"/>
          <w:szCs w:val="32"/>
        </w:rPr>
        <w:t>@GeneratedValue(strategy = GenerationType.IDENTITY)</w:t>
      </w:r>
    </w:p>
    <w:p w14:paraId="1B09A16F" w14:textId="77777777" w:rsidR="00074186" w:rsidRPr="00074186" w:rsidRDefault="00074186" w:rsidP="00074186">
      <w:pPr>
        <w:numPr>
          <w:ilvl w:val="1"/>
          <w:numId w:val="24"/>
        </w:numPr>
        <w:rPr>
          <w:sz w:val="32"/>
          <w:szCs w:val="32"/>
        </w:rPr>
      </w:pPr>
      <w:r w:rsidRPr="00074186">
        <w:rPr>
          <w:sz w:val="32"/>
          <w:szCs w:val="32"/>
        </w:rPr>
        <w:t>Specifies the primary key generation strategy.</w:t>
      </w:r>
    </w:p>
    <w:p w14:paraId="5B82E861" w14:textId="77777777" w:rsidR="00074186" w:rsidRPr="00074186" w:rsidRDefault="00074186" w:rsidP="00074186">
      <w:pPr>
        <w:numPr>
          <w:ilvl w:val="1"/>
          <w:numId w:val="24"/>
        </w:numPr>
        <w:rPr>
          <w:sz w:val="32"/>
          <w:szCs w:val="32"/>
        </w:rPr>
      </w:pPr>
      <w:r w:rsidRPr="00074186">
        <w:rPr>
          <w:sz w:val="32"/>
          <w:szCs w:val="32"/>
        </w:rPr>
        <w:t>IDENTITY means the database auto-generates the primary key value, often using an auto-increment column.</w:t>
      </w:r>
    </w:p>
    <w:p w14:paraId="6A37FDC3" w14:textId="77777777" w:rsidR="00074186" w:rsidRPr="00074186" w:rsidRDefault="00074186">
      <w:pPr>
        <w:rPr>
          <w:sz w:val="32"/>
          <w:szCs w:val="32"/>
        </w:rPr>
      </w:pPr>
    </w:p>
    <w:sectPr w:rsidR="00074186" w:rsidRPr="00074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73A1F"/>
    <w:multiLevelType w:val="multilevel"/>
    <w:tmpl w:val="D45C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E18B8"/>
    <w:multiLevelType w:val="multilevel"/>
    <w:tmpl w:val="B3DCAF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EE3C1C"/>
    <w:multiLevelType w:val="hybridMultilevel"/>
    <w:tmpl w:val="5FB62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D4A11"/>
    <w:multiLevelType w:val="multilevel"/>
    <w:tmpl w:val="4FBC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17DB2"/>
    <w:multiLevelType w:val="multilevel"/>
    <w:tmpl w:val="C6DA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653009">
    <w:abstractNumId w:val="1"/>
  </w:num>
  <w:num w:numId="2" w16cid:durableId="678429948">
    <w:abstractNumId w:val="1"/>
  </w:num>
  <w:num w:numId="3" w16cid:durableId="1429697545">
    <w:abstractNumId w:val="1"/>
  </w:num>
  <w:num w:numId="4" w16cid:durableId="792288924">
    <w:abstractNumId w:val="1"/>
  </w:num>
  <w:num w:numId="5" w16cid:durableId="414594436">
    <w:abstractNumId w:val="1"/>
  </w:num>
  <w:num w:numId="6" w16cid:durableId="474374821">
    <w:abstractNumId w:val="1"/>
  </w:num>
  <w:num w:numId="7" w16cid:durableId="601886036">
    <w:abstractNumId w:val="1"/>
  </w:num>
  <w:num w:numId="8" w16cid:durableId="1688170606">
    <w:abstractNumId w:val="1"/>
  </w:num>
  <w:num w:numId="9" w16cid:durableId="1172522776">
    <w:abstractNumId w:val="1"/>
  </w:num>
  <w:num w:numId="10" w16cid:durableId="974944627">
    <w:abstractNumId w:val="1"/>
  </w:num>
  <w:num w:numId="11" w16cid:durableId="1315448712">
    <w:abstractNumId w:val="1"/>
  </w:num>
  <w:num w:numId="12" w16cid:durableId="818613018">
    <w:abstractNumId w:val="1"/>
  </w:num>
  <w:num w:numId="13" w16cid:durableId="1097212549">
    <w:abstractNumId w:val="1"/>
  </w:num>
  <w:num w:numId="14" w16cid:durableId="2003584057">
    <w:abstractNumId w:val="1"/>
  </w:num>
  <w:num w:numId="15" w16cid:durableId="731389462">
    <w:abstractNumId w:val="1"/>
  </w:num>
  <w:num w:numId="16" w16cid:durableId="1656838643">
    <w:abstractNumId w:val="1"/>
  </w:num>
  <w:num w:numId="17" w16cid:durableId="458686966">
    <w:abstractNumId w:val="1"/>
  </w:num>
  <w:num w:numId="18" w16cid:durableId="1300724813">
    <w:abstractNumId w:val="1"/>
  </w:num>
  <w:num w:numId="19" w16cid:durableId="1810896235">
    <w:abstractNumId w:val="1"/>
  </w:num>
  <w:num w:numId="20" w16cid:durableId="1015964396">
    <w:abstractNumId w:val="1"/>
  </w:num>
  <w:num w:numId="21" w16cid:durableId="2104299802">
    <w:abstractNumId w:val="0"/>
  </w:num>
  <w:num w:numId="22" w16cid:durableId="1239094984">
    <w:abstractNumId w:val="2"/>
  </w:num>
  <w:num w:numId="23" w16cid:durableId="1967464215">
    <w:abstractNumId w:val="3"/>
  </w:num>
  <w:num w:numId="24" w16cid:durableId="1226792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55"/>
    <w:rsid w:val="00074186"/>
    <w:rsid w:val="00093CA3"/>
    <w:rsid w:val="002E2865"/>
    <w:rsid w:val="005A2312"/>
    <w:rsid w:val="006B6955"/>
    <w:rsid w:val="006F6D27"/>
    <w:rsid w:val="0079750B"/>
    <w:rsid w:val="009C3A2E"/>
    <w:rsid w:val="00D7597A"/>
    <w:rsid w:val="00F0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4541"/>
  <w15:chartTrackingRefBased/>
  <w15:docId w15:val="{10E4E105-57BC-435A-A443-AE7C2470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hi-IN"/>
      </w:rPr>
    </w:rPrDefault>
    <w:pPrDefault>
      <w:pPr>
        <w:spacing w:before="120" w:after="120"/>
        <w:ind w:left="288" w:hanging="288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27"/>
    <w:pPr>
      <w:spacing w:before="0" w:after="0"/>
      <w:ind w:left="0" w:firstLine="0"/>
      <w:jc w:val="left"/>
    </w:pPr>
    <w:rPr>
      <w:rFonts w:ascii="Times New Roman" w:hAnsi="Times New Roman"/>
      <w:sz w:val="24"/>
      <w:szCs w:val="24"/>
      <w:lang w:bidi="ar-SA"/>
    </w:rPr>
  </w:style>
  <w:style w:type="paragraph" w:styleId="Heading1">
    <w:name w:val="heading 1"/>
    <w:basedOn w:val="TOC1"/>
    <w:link w:val="Heading1Char"/>
    <w:uiPriority w:val="9"/>
    <w:qFormat/>
    <w:rsid w:val="006F6D27"/>
    <w:pPr>
      <w:numPr>
        <w:numId w:val="20"/>
      </w:numPr>
      <w:tabs>
        <w:tab w:val="left" w:pos="660"/>
        <w:tab w:val="right" w:leader="dot" w:pos="8296"/>
      </w:tabs>
      <w:spacing w:before="240" w:after="240"/>
      <w:jc w:val="center"/>
      <w:outlineLvl w:val="0"/>
    </w:pPr>
    <w:rPr>
      <w:rFonts w:eastAsiaTheme="majorEastAsia" w:cs="Times New Roman"/>
      <w:noProof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D27"/>
    <w:pPr>
      <w:numPr>
        <w:ilvl w:val="1"/>
        <w:numId w:val="20"/>
      </w:numPr>
      <w:spacing w:before="240" w:after="240"/>
      <w:outlineLvl w:val="1"/>
    </w:pPr>
    <w:rPr>
      <w:rFonts w:eastAsiaTheme="majorEastAsia" w:cs="Times New Roman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D27"/>
    <w:pPr>
      <w:numPr>
        <w:ilvl w:val="2"/>
        <w:numId w:val="20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D27"/>
    <w:pPr>
      <w:numPr>
        <w:ilvl w:val="3"/>
        <w:numId w:val="20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D27"/>
    <w:pPr>
      <w:numPr>
        <w:ilvl w:val="4"/>
        <w:numId w:val="20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D27"/>
    <w:pPr>
      <w:numPr>
        <w:ilvl w:val="5"/>
        <w:numId w:val="20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D27"/>
    <w:pPr>
      <w:numPr>
        <w:ilvl w:val="6"/>
        <w:numId w:val="20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D27"/>
    <w:pPr>
      <w:numPr>
        <w:ilvl w:val="7"/>
        <w:numId w:val="20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D27"/>
    <w:pPr>
      <w:numPr>
        <w:ilvl w:val="8"/>
        <w:numId w:val="20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D27"/>
    <w:rPr>
      <w:rFonts w:ascii="Times New Roman" w:eastAsiaTheme="majorEastAsia" w:hAnsi="Times New Roman" w:cs="Times New Roman"/>
      <w:noProof/>
      <w:color w:val="000000" w:themeColor="text1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E286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F6D27"/>
    <w:rPr>
      <w:rFonts w:ascii="Times New Roman" w:eastAsiaTheme="majorEastAsia" w:hAnsi="Times New Roman" w:cs="Times New Roman"/>
      <w:b/>
      <w:color w:val="000000" w:themeColor="text1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D27"/>
    <w:rPr>
      <w:rFonts w:asciiTheme="majorHAnsi" w:eastAsiaTheme="majorEastAsia" w:hAnsiTheme="majorHAnsi" w:cstheme="majorBidi"/>
      <w:color w:val="4F81BD" w:themeColor="accent1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D2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D27"/>
    <w:rPr>
      <w:rFonts w:asciiTheme="majorHAnsi" w:eastAsiaTheme="majorEastAsia" w:hAnsiTheme="majorHAnsi" w:cstheme="majorBidi"/>
      <w:color w:val="4F81BD" w:themeColor="accent1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D2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D2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D2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D2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6F6D27"/>
    <w:rPr>
      <w:rFonts w:eastAsia="Times New Roman" w:cs="Times New Roman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6D27"/>
    <w:pPr>
      <w:pBdr>
        <w:top w:val="single" w:sz="8" w:space="10" w:color="A7BFDE" w:themeColor="accent1" w:themeTint="7F"/>
        <w:bottom w:val="single" w:sz="24" w:space="15" w:color="9BBB59" w:themeColor="accent3"/>
      </w:pBdr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F6D2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D27"/>
    <w:pPr>
      <w:spacing w:before="200" w:after="900"/>
      <w:jc w:val="right"/>
    </w:pPr>
    <w:rPr>
      <w:rFonts w:eastAsia="Times New Roman" w:cs="Times New Roman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6F6D27"/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6F6D27"/>
    <w:rPr>
      <w:b/>
      <w:bCs/>
      <w:spacing w:val="0"/>
    </w:rPr>
  </w:style>
  <w:style w:type="character" w:styleId="Emphasis">
    <w:name w:val="Emphasis"/>
    <w:uiPriority w:val="20"/>
    <w:qFormat/>
    <w:rsid w:val="006F6D2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F6D27"/>
    <w:rPr>
      <w:rFonts w:eastAsia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6F6D27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F6D27"/>
    <w:pPr>
      <w:ind w:left="720"/>
      <w:contextualSpacing/>
    </w:pPr>
    <w:rPr>
      <w:rFonts w:eastAsia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F6D2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F6D27"/>
    <w:rPr>
      <w:rFonts w:asciiTheme="majorHAnsi" w:eastAsiaTheme="majorEastAsia" w:hAnsiTheme="majorHAnsi" w:cstheme="majorBidi"/>
      <w:i/>
      <w:iCs/>
      <w:color w:val="5A5A5A" w:themeColor="text1" w:themeTint="A5"/>
      <w:sz w:val="24"/>
      <w:szCs w:val="24"/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D2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D2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bidi="ar-SA"/>
    </w:rPr>
  </w:style>
  <w:style w:type="character" w:styleId="SubtleEmphasis">
    <w:name w:val="Subtle Emphasis"/>
    <w:uiPriority w:val="19"/>
    <w:qFormat/>
    <w:rsid w:val="006F6D2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F6D27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F6D27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F6D27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F6D2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6F6D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Dudhe</dc:creator>
  <cp:keywords/>
  <dc:description/>
  <cp:lastModifiedBy>Tejas Dudhe</cp:lastModifiedBy>
  <cp:revision>4</cp:revision>
  <dcterms:created xsi:type="dcterms:W3CDTF">2024-12-21T08:01:00Z</dcterms:created>
  <dcterms:modified xsi:type="dcterms:W3CDTF">2024-12-21T11:03:00Z</dcterms:modified>
</cp:coreProperties>
</file>