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spacing w:after="120"/>
      </w:pPr>
      <w:r>
        <w:rPr>
          <w:sz w:val="21"/>
          <w:szCs w:val="21"/>
        </w:rPr>
        <w:t xml:space="preserve">CodeSync: An Engineering Case Study of a Browser-Based Collaborative Coding Workspace</w:t>
      </w:r>
    </w:p>
    <w:p>
      <w:pPr>
        <w:pStyle w:val="Subtitle"/>
        <w:jc w:val="center"/>
        <w:spacing w:after="40"/>
      </w:pPr>
      <w:r>
        <w:rPr>
          <w:sz w:val="21"/>
          <w:szCs w:val="21"/>
        </w:rPr>
        <w:t xml:space="preserve">[Author Name 1] · [Author Name 2] · [Author Name 3]</w:t>
      </w:r>
    </w:p>
    <w:p>
      <w:pPr>
        <w:pStyle w:val="Subtitle"/>
        <w:jc w:val="center"/>
        <w:spacing w:after="40"/>
      </w:pPr>
      <w:r>
        <w:rPr>
          <w:sz w:val="21"/>
          <w:szCs w:val="21"/>
        </w:rPr>
        <w:t xml:space="preserve">[Department / Institution] · [City, Country]</w:t>
      </w:r>
    </w:p>
    <w:p>
      <w:pPr>
        <w:pStyle w:val="Subtitle"/>
        <w:jc w:val="center"/>
        <w:spacing w:after="260"/>
      </w:pPr>
      <w:r>
        <w:rPr>
          <w:sz w:val="21"/>
          <w:szCs w:val="21"/>
        </w:rPr>
        <w:t xml:space="preserve">[Conference Manuscript Draft · Student Conference / Workshop]</w:t>
      </w:r>
    </w:p>
    <w:p>
      <w:pPr>
        <w:pStyle w:val="Heading1"/>
        <w:spacing w:before="180" w:after="80"/>
      </w:pPr>
      <w:r>
        <w:rPr>
          <w:sz w:val="21"/>
          <w:szCs w:val="21"/>
        </w:rPr>
        <w:t xml:space="preserve">Abstract</w:t>
      </w:r>
    </w:p>
    <w:p>
      <w:pPr>
        <w:pStyle w:val="Normal"/>
      </w:pPr>
      <w:r>
        <w:rPr>
          <w:sz w:val="21"/>
          <w:szCs w:val="21"/>
        </w:rPr>
        <w:t xml:space="preserve">Pair programming and guided coding activities often require participants to coordinate an editor, screen-sharing software, chat, code execution, and persistence as separate tools. This paper presents CodeSync, a browser-based collaborative coding workspace that integrates authenticated rooms, project-scoped files, real-time presence, contextual chat, bounded code execution, optional GitHub synchronization, and an optional repository-aware AI assistant. The system is implemented as a MERN application using React, Monaco, Express, MongoDB, Socket.IO, JWT cookie authentication, and Docker-based execution.</w:t>
      </w:r>
    </w:p>
    <w:p>
      <w:pPr>
        <w:pStyle w:val="Normal"/>
      </w:pPr>
      <w:r>
        <w:rPr>
          <w:sz w:val="21"/>
          <w:szCs w:val="21"/>
        </w:rPr>
        <w:t xml:space="preserve">Rather than claiming a new conflict-resolution algorithm, this work presents an engineering case study of the design, security boundaries, reliability safeguards, and reproducible evaluation of an integrated collaborative coding prototype. CodeSync includes server-side room and file authorization, file-bound client update queues, save-response reconciliation, stale-workspace lifecycle guards, canonical Socket.IO file-scope validation, and resource limits for code execution. The planned evaluation combines automated fault-injection tests with a controlled student study comparing CodeSync with a conventional editor-plus-communication-tool workflow. The study will measure task completion time, tool switching, coordination failures, edit-loss incidents, perceived workload, and usability.</w:t>
      </w:r>
    </w:p>
    <w:p>
      <w:pPr>
        <w:pStyle w:val="Normal"/>
        <w:spacing w:after="120"/>
      </w:pPr>
      <w:r>
        <w:rPr>
          <w:b/>
          <w:sz w:val="21"/>
          <w:szCs w:val="21"/>
        </w:rPr>
        <w:t xml:space="preserve">Keywords: </w:t>
      </w:r>
      <w:r>
        <w:rPr>
          <w:sz w:val="21"/>
          <w:szCs w:val="21"/>
        </w:rPr>
        <w:t xml:space="preserve">collaborative coding; browser IDE; pair programming; software engineering; access control; Docker sandboxing; reproducibility</w:t>
      </w:r>
    </w:p>
    <w:p>
      <w:pPr>
        <w:pStyle w:val="Normal"/>
        <w:spacing w:after="0"/>
      </w:pPr>
      <w:r>
        <w:rPr>
          <w:sz w:val="21"/>
          <w:szCs w:val="21"/>
        </w:rPr>
        <w:t xml:space="preserve">Important submission note: this is a conference-ready draft structure. Replace bracketed author, venue, citation, and empirical-result placeholders before submission. No result should be reported until the corresponding experiment has actually been performed.</w:t>
      </w:r>
    </w:p>
    <w:p>
      <w:r>
        <w:br w:type="page"/>
      </w:r>
    </w:p>
    <w:p>
      <w:pPr>
        <w:pStyle w:val="Heading1"/>
        <w:spacing w:before="180" w:after="80"/>
      </w:pPr>
      <w:r>
        <w:rPr>
          <w:sz w:val="21"/>
          <w:szCs w:val="21"/>
        </w:rPr>
        <w:t xml:space="preserve">1. Introduction</w:t>
      </w:r>
    </w:p>
    <w:p>
      <w:pPr>
        <w:pStyle w:val="Normal"/>
      </w:pPr>
      <w:r>
        <w:rPr>
          <w:sz w:val="21"/>
          <w:szCs w:val="21"/>
        </w:rPr>
        <w:t xml:space="preserve">Collaborative coding is used in pair programming, technical interviews, software laboratories, and remote teaching. The technical work is not limited to editing text: participants must identify the current file, communicate decisions, run code, inspect output, recover saved work, and understand who is present. When these actions are distributed across an editor, a video call, a chat tool, a terminal, and a source-control website, the workflow introduces context switching and coordination overhead.</w:t>
      </w:r>
    </w:p>
    <w:p>
      <w:pPr>
        <w:pStyle w:val="Normal"/>
      </w:pPr>
      <w:r>
        <w:rPr>
          <w:sz w:val="21"/>
          <w:szCs w:val="21"/>
        </w:rPr>
        <w:t xml:space="preserve">CodeSync explores a narrower engineering question: can a dependable browser workspace combine the core coordination surfaces for a small authenticated coding room without sacrificing file scope, execution safety, persistence, or reproducibility? The project does not attempt to replace professional IDEs, Git hosting, or video-conferencing platforms. Instead, it targets student teams and guided coding sessions where an invite-based workspace can reduce setup friction and make the state of a session visible.</w:t>
      </w:r>
    </w:p>
    <w:p>
      <w:pPr>
        <w:pStyle w:val="Normal"/>
      </w:pPr>
      <w:r>
        <w:rPr>
          <w:sz w:val="21"/>
          <w:szCs w:val="21"/>
        </w:rPr>
        <w:t xml:space="preserve">The current prototype provides authenticated room creation and joining, project and file management, Monaco-based editing, presence and cursor updates, text chat with search and voice notes, screen sharing, Docker-backed execution for JavaScript, Python, C, and C++, GitHub repository synchronization, analytics, and an optional AI assistant. Because a feature-rich prototype can hide reliability problems, this paper focuses on the engineering safeguards around asynchronous saves, room lifecycle changes, scope validation, and bounded execution.</w:t>
      </w:r>
    </w:p>
    <w:p>
      <w:pPr>
        <w:pStyle w:val="Heading2"/>
        <w:spacing w:before="100" w:after="80"/>
      </w:pPr>
      <w:r>
        <w:rPr>
          <w:sz w:val="21"/>
          <w:szCs w:val="21"/>
        </w:rPr>
        <w:t xml:space="preserve">1.1 Research questions</w:t>
      </w:r>
    </w:p>
    <w:p>
      <w:pPr>
        <w:pStyle w:val="Normal"/>
        <w:spacing w:after="45"/>
      </w:pPr>
      <w:r>
        <w:rPr>
          <w:b/>
          <w:sz w:val="21"/>
          <w:szCs w:val="21"/>
        </w:rPr>
        <w:t xml:space="preserve">• </w:t>
      </w:r>
      <w:r>
        <w:rPr>
          <w:sz w:val="21"/>
          <w:szCs w:val="21"/>
        </w:rPr>
        <w:t xml:space="preserve">RQ1 — Workflow efficiency: Does integrating editing, communication, presence, and execution reduce workflow overhead compared with a split-tool baseline?</w:t>
      </w:r>
    </w:p>
    <w:p>
      <w:pPr>
        <w:pStyle w:val="Normal"/>
        <w:spacing w:after="45"/>
      </w:pPr>
      <w:r>
        <w:rPr>
          <w:b/>
          <w:sz w:val="21"/>
          <w:szCs w:val="21"/>
        </w:rPr>
        <w:t xml:space="preserve">• </w:t>
      </w:r>
      <w:r>
        <w:rPr>
          <w:sz w:val="21"/>
          <w:szCs w:val="21"/>
        </w:rPr>
        <w:t xml:space="preserve">RQ2 — Collaboration usability: Can student pairs complete short coding tasks with lower coordination friction when the tools are colocated?</w:t>
      </w:r>
    </w:p>
    <w:p>
      <w:pPr>
        <w:pStyle w:val="Normal"/>
        <w:spacing w:after="45"/>
      </w:pPr>
      <w:r>
        <w:rPr>
          <w:b/>
          <w:sz w:val="21"/>
          <w:szCs w:val="21"/>
        </w:rPr>
        <w:t xml:space="preserve">• </w:t>
      </w:r>
      <w:r>
        <w:rPr>
          <w:sz w:val="21"/>
          <w:szCs w:val="21"/>
        </w:rPr>
        <w:t xml:space="preserve">RQ3 — Reliability: Which failures appear under delayed saves, rapid file switching, reconnects, and simultaneous edits?</w:t>
      </w:r>
    </w:p>
    <w:p>
      <w:pPr>
        <w:pStyle w:val="Normal"/>
        <w:spacing w:after="45"/>
      </w:pPr>
      <w:r>
        <w:rPr>
          <w:b/>
          <w:sz w:val="21"/>
          <w:szCs w:val="21"/>
        </w:rPr>
        <w:t xml:space="preserve">• </w:t>
      </w:r>
      <w:r>
        <w:rPr>
          <w:sz w:val="21"/>
          <w:szCs w:val="21"/>
        </w:rPr>
        <w:t xml:space="preserve">RQ4 — Security: Do the tested authorization and execution boundaries prevent the defined unauthorized actions and unsafe host-side execution attempts?</w:t>
      </w:r>
    </w:p>
    <w:p>
      <w:pPr>
        <w:pStyle w:val="Heading1"/>
        <w:spacing w:before="180" w:after="80"/>
      </w:pPr>
      <w:r>
        <w:rPr>
          <w:sz w:val="21"/>
          <w:szCs w:val="21"/>
        </w:rPr>
        <w:t xml:space="preserve">1. Introduction (continued)</w:t>
      </w:r>
    </w:p>
    <w:p>
      <w:pPr>
        <w:pStyle w:val="Heading2"/>
        <w:spacing w:before="100" w:after="80"/>
      </w:pPr>
      <w:r>
        <w:rPr>
          <w:sz w:val="21"/>
          <w:szCs w:val="21"/>
        </w:rPr>
        <w:t xml:space="preserve">1.2 Contributions</w:t>
      </w:r>
    </w:p>
    <w:p>
      <w:pPr>
        <w:pStyle w:val="Normal"/>
        <w:spacing w:after="45"/>
      </w:pPr>
      <w:r>
        <w:rPr>
          <w:b/>
          <w:sz w:val="21"/>
          <w:szCs w:val="21"/>
        </w:rPr>
        <w:t xml:space="preserve">• </w:t>
      </w:r>
      <w:r>
        <w:rPr>
          <w:sz w:val="21"/>
          <w:szCs w:val="21"/>
        </w:rPr>
        <w:t xml:space="preserve">A reproducible architecture for authenticated collaborative coding rooms built with React, Express, MongoDB, Socket.IO, Monaco, and Docker.</w:t>
      </w:r>
    </w:p>
    <w:p>
      <w:pPr>
        <w:pStyle w:val="Normal"/>
        <w:spacing w:after="45"/>
      </w:pPr>
      <w:r>
        <w:rPr>
          <w:b/>
          <w:sz w:val="21"/>
          <w:szCs w:val="21"/>
        </w:rPr>
        <w:t xml:space="preserve">• </w:t>
      </w:r>
      <w:r>
        <w:rPr>
          <w:sz w:val="21"/>
          <w:szCs w:val="21"/>
        </w:rPr>
        <w:t xml:space="preserve">An engineering treatment of file-scoped synchronization, save-race reconciliation, stale-workspace protection, and server-side permission checks.</w:t>
      </w:r>
    </w:p>
    <w:p>
      <w:pPr>
        <w:pStyle w:val="Normal"/>
        <w:spacing w:after="45"/>
      </w:pPr>
      <w:r>
        <w:rPr>
          <w:b/>
          <w:sz w:val="21"/>
          <w:szCs w:val="21"/>
        </w:rPr>
        <w:t xml:space="preserve">• </w:t>
      </w:r>
      <w:r>
        <w:rPr>
          <w:sz w:val="21"/>
          <w:szCs w:val="21"/>
        </w:rPr>
        <w:t xml:space="preserve">A bounded execution workflow for four languages with input, output, CPU, memory, process, network, and time constraints.</w:t>
      </w:r>
    </w:p>
    <w:p>
      <w:pPr>
        <w:pStyle w:val="Normal"/>
        <w:spacing w:after="45"/>
      </w:pPr>
      <w:r>
        <w:rPr>
          <w:b/>
          <w:sz w:val="21"/>
          <w:szCs w:val="21"/>
        </w:rPr>
        <w:t xml:space="preserve">• </w:t>
      </w:r>
      <w:r>
        <w:rPr>
          <w:sz w:val="21"/>
          <w:szCs w:val="21"/>
        </w:rPr>
        <w:t xml:space="preserve">A fault-injection and user-study methodology that distinguishes implemented safeguards from properties that still require empirical evidence.</w:t>
      </w:r>
    </w:p>
    <w:p>
      <w:pPr>
        <w:pStyle w:val="Heading2"/>
        <w:spacing w:before="100" w:after="80"/>
      </w:pPr>
      <w:r>
        <w:rPr>
          <w:sz w:val="21"/>
          <w:szCs w:val="21"/>
        </w:rPr>
        <w:t xml:space="preserve">1.3 Scope and claims</w:t>
      </w:r>
    </w:p>
    <w:p>
      <w:pPr>
        <w:pStyle w:val="Normal"/>
      </w:pPr>
      <w:r>
        <w:rPr>
          <w:sz w:val="21"/>
          <w:szCs w:val="21"/>
        </w:rPr>
        <w:t xml:space="preserve">The paper is intentionally framed as a software engineering prototype and case study. CodeSync currently uses authenticated Socket.IO whole-file updates rather than an operational-transformation or CRDT protocol. Therefore, the paper must not claim conflict-free convergence, lossless concurrent editing, or universal offline recovery. The evaluation treats simultaneous editing as a limitation to measure, not as a property to assume.</w:t>
      </w:r>
    </w:p>
    <w:p>
      <w:pPr>
        <w:pStyle w:val="Normal"/>
      </w:pPr>
      <w:r>
        <w:rPr>
          <w:sz w:val="21"/>
          <w:szCs w:val="21"/>
        </w:rPr>
        <w:t xml:space="preserve">The project also distinguishes automated verification from live integration evidence. Unit and component tests can validate save reconciliation, input boundaries, and UI state transitions, but they do not prove that two browser sessions converge, that Docker containers are cleaned up after hostile timeouts, or that GitHub and WebRTC work under all network conditions.</w:t>
      </w:r>
    </w:p>
    <w:p>
      <w:pPr>
        <w:pStyle w:val="Heading2"/>
        <w:spacing w:before="100" w:after="80"/>
      </w:pPr>
      <w:r>
        <w:rPr>
          <w:sz w:val="21"/>
          <w:szCs w:val="21"/>
        </w:rPr>
        <w:t xml:space="preserve">1.4 Paper organization</w:t>
      </w:r>
    </w:p>
    <w:p>
      <w:pPr>
        <w:pStyle w:val="Normal"/>
      </w:pPr>
      <w:r>
        <w:rPr>
          <w:sz w:val="21"/>
          <w:szCs w:val="21"/>
        </w:rPr>
        <w:t xml:space="preserve">Section 2 positions CodeSync against related work in collaborative editors, browser IDEs, and sandboxed execution. Section 3 defines requirements and the threat model. Section 4 describes the system architecture. Section 5 explains the implementation. Section 6 discusses reliability and security design. Section 7 defines the evaluation methodology. Section 8 records preliminary engineering evidence and the planned analysis. Section 9 discusses limitations and future work, followed by the conclusion and submission checklist.</w:t>
      </w:r>
    </w:p>
    <w:p>
      <w:pPr>
        <w:pStyle w:val="Heading2"/>
        <w:spacing w:before="100" w:after="80"/>
      </w:pPr>
      <w:r>
        <w:rPr>
          <w:sz w:val="21"/>
          <w:szCs w:val="21"/>
        </w:rPr>
        <w:t xml:space="preserve">1.5 Expected significance</w:t>
      </w:r>
    </w:p>
    <w:p>
      <w:pPr>
        <w:pStyle w:val="Normal"/>
      </w:pPr>
      <w:r>
        <w:rPr>
          <w:sz w:val="21"/>
          <w:szCs w:val="21"/>
        </w:rPr>
        <w:t xml:space="preserve">The expected significance is practical rather than algorithmic. Many student software projects demonstrate a user interface but do not articulate their data boundaries, failure behavior, or evidence strategy. CodeSync is intended to show how an integrated prototype can be made testable and discussable: each major feature is connected to a permission boundary, a persistence rule, an observable failure state, and an evaluation task.</w:t>
      </w:r>
    </w:p>
    <w:p>
      <w:r>
        <w:br w:type="page"/>
      </w:r>
    </w:p>
    <w:p>
      <w:pPr>
        <w:pStyle w:val="Heading1"/>
        <w:spacing w:before="180" w:after="80"/>
      </w:pPr>
      <w:r>
        <w:rPr>
          <w:sz w:val="21"/>
          <w:szCs w:val="21"/>
        </w:rPr>
        <w:t xml:space="preserve">2. Related Work and Research Gap</w:t>
      </w:r>
    </w:p>
    <w:p>
      <w:pPr>
        <w:pStyle w:val="Heading2"/>
        <w:spacing w:before="100" w:after="80"/>
      </w:pPr>
      <w:r>
        <w:rPr>
          <w:sz w:val="21"/>
          <w:szCs w:val="21"/>
        </w:rPr>
        <w:t xml:space="preserve">2.1 Collaborative editors and pair programming</w:t>
      </w:r>
    </w:p>
    <w:p>
      <w:pPr>
        <w:pStyle w:val="Normal"/>
      </w:pPr>
      <w:r>
        <w:rPr>
          <w:sz w:val="21"/>
          <w:szCs w:val="21"/>
        </w:rPr>
        <w:t xml:space="preserve">Pair programming research has examined driver-navigator roles, communication quality, learning outcomes, and productivity. Distributed pair programming adds the problem of maintaining shared context when participants cannot point at the same screen or manipulate the same local editor. Collaborative editors and online IDEs address part of this problem by synchronizing documents and exposing user presence. CodeSync follows this direction but emphasizes an integrated session workflow that also includes room membership, chat, code execution, and persistent project state.</w:t>
      </w:r>
    </w:p>
    <w:p>
      <w:pPr>
        <w:pStyle w:val="Normal"/>
      </w:pPr>
      <w:r>
        <w:rPr>
          <w:sz w:val="21"/>
          <w:szCs w:val="21"/>
        </w:rPr>
        <w:t xml:space="preserve">[TODO: Add peer-reviewed citations for pair programming, distributed pair programming, collaborative IDEs, and browser-based coding environments. Use the bibliography style required by the target conference.]</w:t>
      </w:r>
    </w:p>
    <w:p>
      <w:pPr>
        <w:pStyle w:val="Heading2"/>
        <w:spacing w:before="100" w:after="80"/>
      </w:pPr>
      <w:r>
        <w:rPr>
          <w:sz w:val="21"/>
          <w:szCs w:val="21"/>
        </w:rPr>
        <w:t xml:space="preserve">2.2 Real-time document synchronization</w:t>
      </w:r>
    </w:p>
    <w:p>
      <w:pPr>
        <w:pStyle w:val="Normal"/>
      </w:pPr>
      <w:r>
        <w:rPr>
          <w:sz w:val="21"/>
          <w:szCs w:val="21"/>
        </w:rPr>
        <w:t xml:space="preserve">Collaborative text systems commonly use operational transformation, conflict-free replicated data types, or server-mediated revision protocols. These approaches provide formal or semi-formal guarantees about concurrent updates, but they also introduce protocol, persistence, and editor-binding complexity. CodeSync uses a simpler whole-file Socket.IO event model with client-side queues bound to immutable file IDs. The design addresses local request races and scope confusion, but it is not equivalent to a conflict-free merge system.</w:t>
      </w:r>
    </w:p>
    <w:p>
      <w:pPr>
        <w:pStyle w:val="Normal"/>
      </w:pPr>
      <w:r>
        <w:rPr>
          <w:sz w:val="21"/>
          <w:szCs w:val="21"/>
        </w:rPr>
        <w:t xml:space="preserve">[TODO: Add citations for operational transformation, CRDTs, Monaco collaboration bindings, and representative collaborative coding systems.]</w:t>
      </w:r>
    </w:p>
    <w:p>
      <w:pPr>
        <w:pStyle w:val="Heading2"/>
        <w:spacing w:before="100" w:after="80"/>
      </w:pPr>
      <w:r>
        <w:rPr>
          <w:sz w:val="21"/>
          <w:szCs w:val="21"/>
        </w:rPr>
        <w:t xml:space="preserve">2.3 Sandboxed code execution</w:t>
      </w:r>
    </w:p>
    <w:p>
      <w:pPr>
        <w:pStyle w:val="Normal"/>
      </w:pPr>
      <w:r>
        <w:rPr>
          <w:sz w:val="21"/>
          <w:szCs w:val="21"/>
        </w:rPr>
        <w:t xml:space="preserve">Online judges and browser IDEs execute untrusted programs in restricted environments. CodeSync invokes language-specific Docker images with network isolation, memory and CPU limits, process limits, temporary writable storage, bounded input and output, and timeouts. These controls reduce the risk of direct host execution, but they do not by themselves constitute a complete container escape analysis.</w:t>
      </w:r>
    </w:p>
    <w:p>
      <w:pPr>
        <w:pStyle w:val="Normal"/>
      </w:pPr>
      <w:r>
        <w:rPr>
          <w:sz w:val="21"/>
          <w:szCs w:val="21"/>
        </w:rPr>
        <w:t xml:space="preserve">[TODO: Add citations for online judge sandboxes, container isolation, and secure execution of untrusted code.]</w:t>
      </w:r>
    </w:p>
    <w:p>
      <w:pPr>
        <w:pStyle w:val="Heading2"/>
        <w:spacing w:before="100" w:after="80"/>
      </w:pPr>
      <w:r>
        <w:rPr>
          <w:sz w:val="21"/>
          <w:szCs w:val="21"/>
        </w:rPr>
        <w:t xml:space="preserve">2.4 Research gap</w:t>
      </w:r>
    </w:p>
    <w:p>
      <w:pPr>
        <w:pStyle w:val="Normal"/>
      </w:pPr>
      <w:r>
        <w:rPr>
          <w:sz w:val="21"/>
          <w:szCs w:val="21"/>
        </w:rPr>
        <w:t xml:space="preserve">The gap addressed by this paper is an engineering evaluation gap: integrated student-focused workspaces are often presented as feature collections without a clear account of how asynchronous client behavior, room permissions, file identity, and execution safety interact. CodeSync contributes a concrete system and an explicit evaluation protocol that keeps these concerns together. The contribution is strongest as a reproducible case study, not as a claim that one new synchronization algorithm dominates existing collaborative systems.</w:t>
      </w:r>
    </w:p>
    <w:p>
      <w:r>
        <w:br w:type="page"/>
      </w:r>
    </w:p>
    <w:p>
      <w:pPr>
        <w:pStyle w:val="Heading1"/>
        <w:spacing w:before="180" w:after="80"/>
      </w:pPr>
      <w:r>
        <w:rPr>
          <w:sz w:val="21"/>
          <w:szCs w:val="21"/>
        </w:rPr>
        <w:t xml:space="preserve">3. Requirements and Threat Model</w:t>
      </w:r>
    </w:p>
    <w:p>
      <w:pPr>
        <w:pStyle w:val="Heading2"/>
        <w:spacing w:before="100" w:after="80"/>
      </w:pPr>
      <w:r>
        <w:rPr>
          <w:sz w:val="21"/>
          <w:szCs w:val="21"/>
        </w:rPr>
        <w:t xml:space="preserve">3.1 Functional requirements</w:t>
      </w:r>
    </w:p>
    <w:tbl>
      <w:tblPr>
        <w:tblStyle w:val="TableGrid"/>
        <w:tblW w:w="0" w:type="auto"/>
      </w:tblPr>
      <w:tblGrid>
        <w:gridCol w:w="2500"/>
        <w:gridCol w:w="6500"/>
      </w:tblGrid>
      <w:tr>
        <w:tc>
          <w:tcPr>
            <w:tcMar>
              <w:top w:w="70" w:type="dxa"/>
              <w:left w:w="90" w:type="dxa"/>
              <w:bottom w:w="70" w:type="dxa"/>
              <w:right w:w="90" w:type="dxa"/>
            </w:tcMar>
          </w:tcPr>
          <w:shd w:fill="173A2C"/>
          <w:p>
            <w:pPr>
              <w:spacing w:after="0"/>
            </w:pPr>
            <w:r>
              <w:rPr>
                <w:b/>
                <w:sz w:val="17"/>
                <w:szCs w:val="17"/>
                <w:color w:val="FFFFFF"/>
              </w:rPr>
              <w:t xml:space="preserve">Requirement</w:t>
            </w:r>
          </w:p>
        </w:tc>
        <w:tc>
          <w:tcPr>
            <w:tcMar>
              <w:top w:w="70" w:type="dxa"/>
              <w:left w:w="90" w:type="dxa"/>
              <w:bottom w:w="70" w:type="dxa"/>
              <w:right w:w="90" w:type="dxa"/>
            </w:tcMar>
          </w:tcPr>
          <w:shd w:fill="173A2C"/>
          <w:p>
            <w:pPr>
              <w:spacing w:after="0"/>
            </w:pPr>
            <w:r>
              <w:rPr>
                <w:b/>
                <w:sz w:val="17"/>
                <w:szCs w:val="17"/>
                <w:color w:val="FFFFFF"/>
              </w:rPr>
              <w:t xml:space="preserve">Description</w:t>
            </w:r>
          </w:p>
        </w:tc>
      </w:tr>
      <w:tr>
        <w:tc>
          <w:tcPr>
            <w:tcMar>
              <w:top w:w="70" w:type="dxa"/>
              <w:left w:w="90" w:type="dxa"/>
              <w:bottom w:w="70" w:type="dxa"/>
              <w:right w:w="90" w:type="dxa"/>
            </w:tcMar>
          </w:tcPr>
          <w:p>
            <w:pPr>
              <w:spacing w:after="0"/>
            </w:pPr>
            <w:r>
              <w:rPr>
                <w:sz w:val="17"/>
                <w:szCs w:val="17"/>
              </w:rPr>
              <w:t xml:space="preserve">Authenticated rooms</w:t>
            </w:r>
          </w:p>
        </w:tc>
        <w:tc>
          <w:tcPr>
            <w:tcMar>
              <w:top w:w="70" w:type="dxa"/>
              <w:left w:w="90" w:type="dxa"/>
              <w:bottom w:w="70" w:type="dxa"/>
              <w:right w:w="90" w:type="dxa"/>
            </w:tcMar>
          </w:tcPr>
          <w:p>
            <w:pPr>
              <w:spacing w:after="0"/>
            </w:pPr>
            <w:r>
              <w:rPr>
                <w:sz w:val="17"/>
                <w:szCs w:val="17"/>
              </w:rPr>
              <w:t xml:space="preserve">Users register or log in before opening protected rooms or collaboration sockets.</w:t>
            </w:r>
          </w:p>
        </w:tc>
      </w:tr>
      <w:tr>
        <w:tc>
          <w:tcPr>
            <w:tcMar>
              <w:top w:w="70" w:type="dxa"/>
              <w:left w:w="90" w:type="dxa"/>
              <w:bottom w:w="70" w:type="dxa"/>
              <w:right w:w="90" w:type="dxa"/>
            </w:tcMar>
          </w:tcPr>
          <w:p>
            <w:pPr>
              <w:spacing w:after="0"/>
            </w:pPr>
            <w:r>
              <w:rPr>
                <w:sz w:val="17"/>
                <w:szCs w:val="17"/>
              </w:rPr>
              <w:t xml:space="preserve">Scoped workspace</w:t>
            </w:r>
          </w:p>
        </w:tc>
        <w:tc>
          <w:tcPr>
            <w:tcMar>
              <w:top w:w="70" w:type="dxa"/>
              <w:left w:w="90" w:type="dxa"/>
              <w:bottom w:w="70" w:type="dxa"/>
              <w:right w:w="90" w:type="dxa"/>
            </w:tcMar>
          </w:tcPr>
          <w:p>
            <w:pPr>
              <w:spacing w:after="0"/>
            </w:pPr>
            <w:r>
              <w:rPr>
                <w:sz w:val="17"/>
                <w:szCs w:val="17"/>
              </w:rPr>
              <w:t xml:space="preserve">Projects and files remain associated with a room; repeated paths in different projects remain distinct.</w:t>
            </w:r>
          </w:p>
        </w:tc>
      </w:tr>
      <w:tr>
        <w:tc>
          <w:tcPr>
            <w:tcMar>
              <w:top w:w="70" w:type="dxa"/>
              <w:left w:w="90" w:type="dxa"/>
              <w:bottom w:w="70" w:type="dxa"/>
              <w:right w:w="90" w:type="dxa"/>
            </w:tcMar>
          </w:tcPr>
          <w:p>
            <w:pPr>
              <w:spacing w:after="0"/>
            </w:pPr>
            <w:r>
              <w:rPr>
                <w:sz w:val="17"/>
                <w:szCs w:val="17"/>
              </w:rPr>
              <w:t xml:space="preserve">Collaboration</w:t>
            </w:r>
          </w:p>
        </w:tc>
        <w:tc>
          <w:tcPr>
            <w:tcMar>
              <w:top w:w="70" w:type="dxa"/>
              <w:left w:w="90" w:type="dxa"/>
              <w:bottom w:w="70" w:type="dxa"/>
              <w:right w:w="90" w:type="dxa"/>
            </w:tcMar>
          </w:tcPr>
          <w:p>
            <w:pPr>
              <w:spacing w:after="0"/>
            </w:pPr>
            <w:r>
              <w:rPr>
                <w:sz w:val="17"/>
                <w:szCs w:val="17"/>
              </w:rPr>
              <w:t xml:space="preserve">Users can observe presence, cursors, and code updates for the active room.</w:t>
            </w:r>
          </w:p>
        </w:tc>
      </w:tr>
      <w:tr>
        <w:tc>
          <w:tcPr>
            <w:tcMar>
              <w:top w:w="70" w:type="dxa"/>
              <w:left w:w="90" w:type="dxa"/>
              <w:bottom w:w="70" w:type="dxa"/>
              <w:right w:w="90" w:type="dxa"/>
            </w:tcMar>
          </w:tcPr>
          <w:p>
            <w:pPr>
              <w:spacing w:after="0"/>
            </w:pPr>
            <w:r>
              <w:rPr>
                <w:sz w:val="17"/>
                <w:szCs w:val="17"/>
              </w:rPr>
              <w:t xml:space="preserve">Durable state</w:t>
            </w:r>
          </w:p>
        </w:tc>
        <w:tc>
          <w:tcPr>
            <w:tcMar>
              <w:top w:w="70" w:type="dxa"/>
              <w:left w:w="90" w:type="dxa"/>
              <w:bottom w:w="70" w:type="dxa"/>
              <w:right w:w="90" w:type="dxa"/>
            </w:tcMar>
          </w:tcPr>
          <w:p>
            <w:pPr>
              <w:spacing w:after="0"/>
            </w:pPr>
            <w:r>
              <w:rPr>
                <w:sz w:val="17"/>
                <w:szCs w:val="17"/>
              </w:rPr>
              <w:t xml:space="preserve">Explicit saves persist project files and the workspace can be reopened later.</w:t>
            </w:r>
          </w:p>
        </w:tc>
      </w:tr>
      <w:tr>
        <w:tc>
          <w:tcPr>
            <w:tcMar>
              <w:top w:w="70" w:type="dxa"/>
              <w:left w:w="90" w:type="dxa"/>
              <w:bottom w:w="70" w:type="dxa"/>
              <w:right w:w="90" w:type="dxa"/>
            </w:tcMar>
          </w:tcPr>
          <w:p>
            <w:pPr>
              <w:spacing w:after="0"/>
            </w:pPr>
            <w:r>
              <w:rPr>
                <w:sz w:val="17"/>
                <w:szCs w:val="17"/>
              </w:rPr>
              <w:t xml:space="preserve">Communication</w:t>
            </w:r>
          </w:p>
        </w:tc>
        <w:tc>
          <w:tcPr>
            <w:tcMar>
              <w:top w:w="70" w:type="dxa"/>
              <w:left w:w="90" w:type="dxa"/>
              <w:bottom w:w="70" w:type="dxa"/>
              <w:right w:w="90" w:type="dxa"/>
            </w:tcMar>
          </w:tcPr>
          <w:p>
            <w:pPr>
              <w:spacing w:after="0"/>
            </w:pPr>
            <w:r>
              <w:rPr>
                <w:sz w:val="17"/>
                <w:szCs w:val="17"/>
              </w:rPr>
              <w:t xml:space="preserve">Text chat, search, voice notes, and optional screen sharing remain adjacent to the editor.</w:t>
            </w:r>
          </w:p>
        </w:tc>
      </w:tr>
      <w:tr>
        <w:tc>
          <w:tcPr>
            <w:tcMar>
              <w:top w:w="70" w:type="dxa"/>
              <w:left w:w="90" w:type="dxa"/>
              <w:bottom w:w="70" w:type="dxa"/>
              <w:right w:w="90" w:type="dxa"/>
            </w:tcMar>
          </w:tcPr>
          <w:p>
            <w:pPr>
              <w:spacing w:after="0"/>
            </w:pPr>
            <w:r>
              <w:rPr>
                <w:sz w:val="17"/>
                <w:szCs w:val="17"/>
              </w:rPr>
              <w:t xml:space="preserve">Execution</w:t>
            </w:r>
          </w:p>
        </w:tc>
        <w:tc>
          <w:tcPr>
            <w:tcMar>
              <w:top w:w="70" w:type="dxa"/>
              <w:left w:w="90" w:type="dxa"/>
              <w:bottom w:w="70" w:type="dxa"/>
              <w:right w:w="90" w:type="dxa"/>
            </w:tcMar>
          </w:tcPr>
          <w:p>
            <w:pPr>
              <w:spacing w:after="0"/>
            </w:pPr>
            <w:r>
              <w:rPr>
                <w:sz w:val="17"/>
                <w:szCs w:val="17"/>
              </w:rPr>
              <w:t xml:space="preserve">Supported programs run through a bounded Docker workflow with visible output and errors.</w:t>
            </w:r>
          </w:p>
        </w:tc>
      </w:tr>
      <w:tr>
        <w:tc>
          <w:tcPr>
            <w:tcMar>
              <w:top w:w="70" w:type="dxa"/>
              <w:left w:w="90" w:type="dxa"/>
              <w:bottom w:w="70" w:type="dxa"/>
              <w:right w:w="90" w:type="dxa"/>
            </w:tcMar>
          </w:tcPr>
          <w:p>
            <w:pPr>
              <w:spacing w:after="0"/>
            </w:pPr>
            <w:r>
              <w:rPr>
                <w:sz w:val="17"/>
                <w:szCs w:val="17"/>
              </w:rPr>
              <w:t xml:space="preserve">Integration</w:t>
            </w:r>
          </w:p>
        </w:tc>
        <w:tc>
          <w:tcPr>
            <w:tcMar>
              <w:top w:w="70" w:type="dxa"/>
              <w:left w:w="90" w:type="dxa"/>
              <w:bottom w:w="70" w:type="dxa"/>
              <w:right w:w="90" w:type="dxa"/>
            </w:tcMar>
          </w:tcPr>
          <w:p>
            <w:pPr>
              <w:spacing w:after="0"/>
            </w:pPr>
            <w:r>
              <w:rPr>
                <w:sz w:val="17"/>
                <w:szCs w:val="17"/>
              </w:rPr>
              <w:t xml:space="preserve">Authorized users can connect selected GitHub repositories and preview synchronization actions.</w:t>
            </w:r>
          </w:p>
        </w:tc>
      </w:tr>
    </w:tbl>
    <w:p>
      <w:pPr>
        <w:pStyle w:val="Heading2"/>
        <w:spacing w:before="100" w:after="80"/>
      </w:pPr>
      <w:r>
        <w:rPr>
          <w:sz w:val="21"/>
          <w:szCs w:val="21"/>
        </w:rPr>
        <w:t xml:space="preserve">3.2 Non-functional requirements</w:t>
      </w:r>
    </w:p>
    <w:p>
      <w:pPr>
        <w:pStyle w:val="Normal"/>
        <w:spacing w:after="45"/>
      </w:pPr>
      <w:r>
        <w:rPr>
          <w:b/>
          <w:sz w:val="21"/>
          <w:szCs w:val="21"/>
        </w:rPr>
        <w:t xml:space="preserve">• </w:t>
      </w:r>
      <w:r>
        <w:rPr>
          <w:sz w:val="21"/>
          <w:szCs w:val="21"/>
        </w:rPr>
        <w:t xml:space="preserve">Security: permission checks must be enforced by the server, not only hidden in the client UI.</w:t>
      </w:r>
    </w:p>
    <w:p>
      <w:pPr>
        <w:pStyle w:val="Normal"/>
        <w:spacing w:after="45"/>
      </w:pPr>
      <w:r>
        <w:rPr>
          <w:b/>
          <w:sz w:val="21"/>
          <w:szCs w:val="21"/>
        </w:rPr>
        <w:t xml:space="preserve">• </w:t>
      </w:r>
      <w:r>
        <w:rPr>
          <w:sz w:val="21"/>
          <w:szCs w:val="21"/>
        </w:rPr>
        <w:t xml:space="preserve">Reliability: delayed responses and room changes must not silently replace newer local edits.</w:t>
      </w:r>
    </w:p>
    <w:p>
      <w:pPr>
        <w:pStyle w:val="Normal"/>
        <w:spacing w:after="45"/>
      </w:pPr>
      <w:r>
        <w:rPr>
          <w:b/>
          <w:sz w:val="21"/>
          <w:szCs w:val="21"/>
        </w:rPr>
        <w:t xml:space="preserve">• </w:t>
      </w:r>
      <w:r>
        <w:rPr>
          <w:sz w:val="21"/>
          <w:szCs w:val="21"/>
        </w:rPr>
        <w:t xml:space="preserve">Reproducibility: another student should be able to install dependencies, start MongoDB, run checks, and reproduce the basic application.</w:t>
      </w:r>
    </w:p>
    <w:p>
      <w:pPr>
        <w:pStyle w:val="Normal"/>
        <w:spacing w:after="45"/>
      </w:pPr>
      <w:r>
        <w:rPr>
          <w:b/>
          <w:sz w:val="21"/>
          <w:szCs w:val="21"/>
        </w:rPr>
        <w:t xml:space="preserve">• </w:t>
      </w:r>
      <w:r>
        <w:rPr>
          <w:sz w:val="21"/>
          <w:szCs w:val="21"/>
        </w:rPr>
        <w:t xml:space="preserve">Usability: the editor, files, people, chat, execution output, and status indicators should remain understandable at laptop and smaller widths.</w:t>
      </w:r>
    </w:p>
    <w:p>
      <w:pPr>
        <w:pStyle w:val="Heading2"/>
        <w:spacing w:before="100" w:after="80"/>
      </w:pPr>
      <w:r>
        <w:rPr>
          <w:sz w:val="21"/>
          <w:szCs w:val="21"/>
        </w:rPr>
        <w:t xml:space="preserve">3.3 Threat model</w:t>
      </w:r>
    </w:p>
    <w:p>
      <w:pPr>
        <w:pStyle w:val="Normal"/>
      </w:pPr>
      <w:r>
        <w:rPr>
          <w:sz w:val="21"/>
          <w:szCs w:val="21"/>
        </w:rPr>
        <w:t xml:space="preserve">The threat model includes an authenticated but malicious room member, a viewer attempting editor-only actions, a forged REST or Socket.IO payload containing another room or file identifier, code attempting network access or resource exhaustion, and delayed requests arriving after a user changes rooms. The model excludes a compromised operating-system kernel, a compromised Docker daemon, a malicious database administrator, and global denial-of-service traffic.</w:t>
      </w:r>
    </w:p>
    <w:p>
      <w:pPr>
        <w:pStyle w:val="Heading2"/>
        <w:spacing w:before="100" w:after="80"/>
      </w:pPr>
      <w:r>
        <w:rPr>
          <w:sz w:val="21"/>
          <w:szCs w:val="21"/>
        </w:rPr>
        <w:t xml:space="preserve">3.4 Roles and action boundaries</w:t>
      </w:r>
    </w:p>
    <w:tbl>
      <w:tblPr>
        <w:tblStyle w:val="TableGrid"/>
        <w:tblW w:w="0" w:type="auto"/>
      </w:tblPr>
      <w:tblGrid>
        <w:gridCol w:w="1800"/>
        <w:gridCol w:w="5000"/>
        <w:gridCol w:w="3200"/>
      </w:tblGrid>
      <w:tr>
        <w:tc>
          <w:tcPr>
            <w:tcMar>
              <w:top w:w="70" w:type="dxa"/>
              <w:left w:w="90" w:type="dxa"/>
              <w:bottom w:w="70" w:type="dxa"/>
              <w:right w:w="90" w:type="dxa"/>
            </w:tcMar>
          </w:tcPr>
          <w:shd w:fill="173A2C"/>
          <w:p>
            <w:pPr>
              <w:spacing w:after="0"/>
            </w:pPr>
            <w:r>
              <w:rPr>
                <w:b/>
                <w:sz w:val="17"/>
                <w:szCs w:val="17"/>
                <w:color w:val="FFFFFF"/>
              </w:rPr>
              <w:t xml:space="preserve">Role</w:t>
            </w:r>
          </w:p>
        </w:tc>
        <w:tc>
          <w:tcPr>
            <w:tcMar>
              <w:top w:w="70" w:type="dxa"/>
              <w:left w:w="90" w:type="dxa"/>
              <w:bottom w:w="70" w:type="dxa"/>
              <w:right w:w="90" w:type="dxa"/>
            </w:tcMar>
          </w:tcPr>
          <w:shd w:fill="173A2C"/>
          <w:p>
            <w:pPr>
              <w:spacing w:after="0"/>
            </w:pPr>
            <w:r>
              <w:rPr>
                <w:b/>
                <w:sz w:val="17"/>
                <w:szCs w:val="17"/>
                <w:color w:val="FFFFFF"/>
              </w:rPr>
              <w:t xml:space="preserve">Typical permissions</w:t>
            </w:r>
          </w:p>
        </w:tc>
        <w:tc>
          <w:tcPr>
            <w:tcMar>
              <w:top w:w="70" w:type="dxa"/>
              <w:left w:w="90" w:type="dxa"/>
              <w:bottom w:w="70" w:type="dxa"/>
              <w:right w:w="90" w:type="dxa"/>
            </w:tcMar>
          </w:tcPr>
          <w:shd w:fill="173A2C"/>
          <w:p>
            <w:pPr>
              <w:spacing w:after="0"/>
            </w:pPr>
            <w:r>
              <w:rPr>
                <w:b/>
                <w:sz w:val="17"/>
                <w:szCs w:val="17"/>
                <w:color w:val="FFFFFF"/>
              </w:rPr>
              <w:t xml:space="preserve">Restricted actions</w:t>
            </w:r>
          </w:p>
        </w:tc>
      </w:tr>
      <w:tr>
        <w:tc>
          <w:tcPr>
            <w:tcMar>
              <w:top w:w="70" w:type="dxa"/>
              <w:left w:w="90" w:type="dxa"/>
              <w:bottom w:w="70" w:type="dxa"/>
              <w:right w:w="90" w:type="dxa"/>
            </w:tcMar>
          </w:tcPr>
          <w:p>
            <w:pPr>
              <w:spacing w:after="0"/>
            </w:pPr>
            <w:r>
              <w:rPr>
                <w:sz w:val="17"/>
                <w:szCs w:val="17"/>
              </w:rPr>
              <w:t xml:space="preserve">Owner</w:t>
            </w:r>
          </w:p>
        </w:tc>
        <w:tc>
          <w:tcPr>
            <w:tcMar>
              <w:top w:w="70" w:type="dxa"/>
              <w:left w:w="90" w:type="dxa"/>
              <w:bottom w:w="70" w:type="dxa"/>
              <w:right w:w="90" w:type="dxa"/>
            </w:tcMar>
          </w:tcPr>
          <w:p>
            <w:pPr>
              <w:spacing w:after="0"/>
            </w:pPr>
            <w:r>
              <w:rPr>
                <w:sz w:val="17"/>
                <w:szCs w:val="17"/>
              </w:rPr>
              <w:t xml:space="preserve">Manage room, members, settings, files, chat, execution, and integrations.</w:t>
            </w:r>
          </w:p>
        </w:tc>
        <w:tc>
          <w:tcPr>
            <w:tcMar>
              <w:top w:w="70" w:type="dxa"/>
              <w:left w:w="90" w:type="dxa"/>
              <w:bottom w:w="70" w:type="dxa"/>
              <w:right w:w="90" w:type="dxa"/>
            </w:tcMar>
          </w:tcPr>
          <w:p>
            <w:pPr>
              <w:spacing w:after="0"/>
            </w:pPr>
            <w:r>
              <w:rPr>
                <w:sz w:val="17"/>
                <w:szCs w:val="17"/>
              </w:rPr>
              <w:t xml:space="preserve">Cannot remove the final owner.</w:t>
            </w:r>
          </w:p>
        </w:tc>
      </w:tr>
      <w:tr>
        <w:tc>
          <w:tcPr>
            <w:tcMar>
              <w:top w:w="70" w:type="dxa"/>
              <w:left w:w="90" w:type="dxa"/>
              <w:bottom w:w="70" w:type="dxa"/>
              <w:right w:w="90" w:type="dxa"/>
            </w:tcMar>
          </w:tcPr>
          <w:p>
            <w:pPr>
              <w:spacing w:after="0"/>
            </w:pPr>
            <w:r>
              <w:rPr>
                <w:sz w:val="17"/>
                <w:szCs w:val="17"/>
              </w:rPr>
              <w:t xml:space="preserve">Editor</w:t>
            </w:r>
          </w:p>
        </w:tc>
        <w:tc>
          <w:tcPr>
            <w:tcMar>
              <w:top w:w="70" w:type="dxa"/>
              <w:left w:w="90" w:type="dxa"/>
              <w:bottom w:w="70" w:type="dxa"/>
              <w:right w:w="90" w:type="dxa"/>
            </w:tcMar>
          </w:tcPr>
          <w:p>
            <w:pPr>
              <w:spacing w:after="0"/>
            </w:pPr>
            <w:r>
              <w:rPr>
                <w:sz w:val="17"/>
                <w:szCs w:val="17"/>
              </w:rPr>
              <w:t xml:space="preserve">Edit content; other actions depend on room settings.</w:t>
            </w:r>
          </w:p>
        </w:tc>
        <w:tc>
          <w:tcPr>
            <w:tcMar>
              <w:top w:w="70" w:type="dxa"/>
              <w:left w:w="90" w:type="dxa"/>
              <w:bottom w:w="70" w:type="dxa"/>
              <w:right w:w="90" w:type="dxa"/>
            </w:tcMar>
          </w:tcPr>
          <w:p>
            <w:pPr>
              <w:spacing w:after="0"/>
            </w:pPr>
            <w:r>
              <w:rPr>
                <w:sz w:val="17"/>
                <w:szCs w:val="17"/>
              </w:rPr>
              <w:t xml:space="preserve">May be restricted from file management or execution.</w:t>
            </w:r>
          </w:p>
        </w:tc>
      </w:tr>
      <w:tr>
        <w:tc>
          <w:tcPr>
            <w:tcMar>
              <w:top w:w="70" w:type="dxa"/>
              <w:left w:w="90" w:type="dxa"/>
              <w:bottom w:w="70" w:type="dxa"/>
              <w:right w:w="90" w:type="dxa"/>
            </w:tcMar>
          </w:tcPr>
          <w:p>
            <w:pPr>
              <w:spacing w:after="0"/>
            </w:pPr>
            <w:r>
              <w:rPr>
                <w:sz w:val="17"/>
                <w:szCs w:val="17"/>
              </w:rPr>
              <w:t xml:space="preserve">Viewer</w:t>
            </w:r>
          </w:p>
        </w:tc>
        <w:tc>
          <w:tcPr>
            <w:tcMar>
              <w:top w:w="70" w:type="dxa"/>
              <w:left w:w="90" w:type="dxa"/>
              <w:bottom w:w="70" w:type="dxa"/>
              <w:right w:w="90" w:type="dxa"/>
            </w:tcMar>
          </w:tcPr>
          <w:p>
            <w:pPr>
              <w:spacing w:after="0"/>
            </w:pPr>
            <w:r>
              <w:rPr>
                <w:sz w:val="17"/>
                <w:szCs w:val="17"/>
              </w:rPr>
              <w:t xml:space="preserve">Read workspace; chat, screen sharing, and execution depend on settings.</w:t>
            </w:r>
          </w:p>
        </w:tc>
        <w:tc>
          <w:tcPr>
            <w:tcMar>
              <w:top w:w="70" w:type="dxa"/>
              <w:left w:w="90" w:type="dxa"/>
              <w:bottom w:w="70" w:type="dxa"/>
              <w:right w:w="90" w:type="dxa"/>
            </w:tcMar>
          </w:tcPr>
          <w:p>
            <w:pPr>
              <w:spacing w:after="0"/>
            </w:pPr>
            <w:r>
              <w:rPr>
                <w:sz w:val="17"/>
                <w:szCs w:val="17"/>
              </w:rPr>
              <w:t xml:space="preserve">Cannot edit content or manage files.</w:t>
            </w:r>
          </w:p>
        </w:tc>
      </w:tr>
    </w:tbl>
    <w:p>
      <w:r>
        <w:br w:type="page"/>
      </w:r>
    </w:p>
    <w:p>
      <w:pPr>
        <w:pStyle w:val="Heading1"/>
        <w:spacing w:before="180" w:after="80"/>
      </w:pPr>
      <w:r>
        <w:rPr>
          <w:sz w:val="21"/>
          <w:szCs w:val="21"/>
        </w:rPr>
        <w:t xml:space="preserve">4. System Architecture</w:t>
      </w:r>
    </w:p>
    <w:p>
      <w:pPr>
        <w:pStyle w:val="Heading2"/>
        <w:spacing w:before="100" w:after="80"/>
      </w:pPr>
      <w:r>
        <w:rPr>
          <w:sz w:val="21"/>
          <w:szCs w:val="21"/>
        </w:rPr>
        <w:t xml:space="preserve">4.1 Component overview</w:t>
      </w:r>
    </w:p>
    <w:p>
      <w:pPr>
        <w:pStyle w:val="Normal"/>
      </w:pPr>
      <w:r>
        <w:rPr>
          <w:sz w:val="21"/>
          <w:szCs w:val="21"/>
        </w:rPr>
        <w:t xml:space="preserve">The client is a React/Vite application using Monaco for editing, Zustand for workspace state, Axios for REST calls, React Router for protected routes, and Socket.IO Client for real-time events. The server is an Express application backed by MongoDB and Mongoose. JWTs are stored in httpOnly cookies for normal browser sessions. Socket.IO authenticates the handshake using the cookie or an explicit token and then requires room membership before room-scoped events are accepted.</w:t>
      </w:r>
    </w:p>
    <w:tbl>
      <w:tblPr>
        <w:tblStyle w:val="TableGrid"/>
        <w:tblW w:w="0" w:type="auto"/>
      </w:tblPr>
      <w:tblGrid>
        <w:gridCol w:w="1800"/>
        <w:gridCol w:w="4500"/>
        <w:gridCol w:w="3700"/>
      </w:tblGrid>
      <w:tr>
        <w:tc>
          <w:tcPr>
            <w:tcMar>
              <w:top w:w="70" w:type="dxa"/>
              <w:left w:w="90" w:type="dxa"/>
              <w:bottom w:w="70" w:type="dxa"/>
              <w:right w:w="90" w:type="dxa"/>
            </w:tcMar>
          </w:tcPr>
          <w:shd w:fill="173A2C"/>
          <w:p>
            <w:pPr>
              <w:spacing w:after="0"/>
            </w:pPr>
            <w:r>
              <w:rPr>
                <w:b/>
                <w:sz w:val="17"/>
                <w:szCs w:val="17"/>
                <w:color w:val="FFFFFF"/>
              </w:rPr>
              <w:t xml:space="preserve">Layer</w:t>
            </w:r>
          </w:p>
        </w:tc>
        <w:tc>
          <w:tcPr>
            <w:tcMar>
              <w:top w:w="70" w:type="dxa"/>
              <w:left w:w="90" w:type="dxa"/>
              <w:bottom w:w="70" w:type="dxa"/>
              <w:right w:w="90" w:type="dxa"/>
            </w:tcMar>
          </w:tcPr>
          <w:shd w:fill="173A2C"/>
          <w:p>
            <w:pPr>
              <w:spacing w:after="0"/>
            </w:pPr>
            <w:r>
              <w:rPr>
                <w:b/>
                <w:sz w:val="17"/>
                <w:szCs w:val="17"/>
                <w:color w:val="FFFFFF"/>
              </w:rPr>
              <w:t xml:space="preserve">Main responsibility</w:t>
            </w:r>
          </w:p>
        </w:tc>
        <w:tc>
          <w:tcPr>
            <w:tcMar>
              <w:top w:w="70" w:type="dxa"/>
              <w:left w:w="90" w:type="dxa"/>
              <w:bottom w:w="70" w:type="dxa"/>
              <w:right w:w="90" w:type="dxa"/>
            </w:tcMar>
          </w:tcPr>
          <w:shd w:fill="173A2C"/>
          <w:p>
            <w:pPr>
              <w:spacing w:after="0"/>
            </w:pPr>
            <w:r>
              <w:rPr>
                <w:b/>
                <w:sz w:val="17"/>
                <w:szCs w:val="17"/>
                <w:color w:val="FFFFFF"/>
              </w:rPr>
              <w:t xml:space="preserve">Key technologies</w:t>
            </w:r>
          </w:p>
        </w:tc>
      </w:tr>
      <w:tr>
        <w:tc>
          <w:tcPr>
            <w:tcMar>
              <w:top w:w="70" w:type="dxa"/>
              <w:left w:w="90" w:type="dxa"/>
              <w:bottom w:w="70" w:type="dxa"/>
              <w:right w:w="90" w:type="dxa"/>
            </w:tcMar>
          </w:tcPr>
          <w:p>
            <w:pPr>
              <w:spacing w:after="0"/>
            </w:pPr>
            <w:r>
              <w:rPr>
                <w:sz w:val="17"/>
                <w:szCs w:val="17"/>
              </w:rPr>
              <w:t xml:space="preserve">Presentation</w:t>
            </w:r>
          </w:p>
        </w:tc>
        <w:tc>
          <w:tcPr>
            <w:tcMar>
              <w:top w:w="70" w:type="dxa"/>
              <w:left w:w="90" w:type="dxa"/>
              <w:bottom w:w="70" w:type="dxa"/>
              <w:right w:w="90" w:type="dxa"/>
            </w:tcMar>
          </w:tcPr>
          <w:p>
            <w:pPr>
              <w:spacing w:after="0"/>
            </w:pPr>
            <w:r>
              <w:rPr>
                <w:sz w:val="17"/>
                <w:szCs w:val="17"/>
              </w:rPr>
              <w:t xml:space="preserve">Landing, authentication, dashboard, room shell, editor, panels, modals.</w:t>
            </w:r>
          </w:p>
        </w:tc>
        <w:tc>
          <w:tcPr>
            <w:tcMar>
              <w:top w:w="70" w:type="dxa"/>
              <w:left w:w="90" w:type="dxa"/>
              <w:bottom w:w="70" w:type="dxa"/>
              <w:right w:w="90" w:type="dxa"/>
            </w:tcMar>
          </w:tcPr>
          <w:p>
            <w:pPr>
              <w:spacing w:after="0"/>
            </w:pPr>
            <w:r>
              <w:rPr>
                <w:sz w:val="17"/>
                <w:szCs w:val="17"/>
              </w:rPr>
              <w:t xml:space="preserve">React, Tailwind CSS, Monaco</w:t>
            </w:r>
          </w:p>
        </w:tc>
      </w:tr>
      <w:tr>
        <w:tc>
          <w:tcPr>
            <w:tcMar>
              <w:top w:w="70" w:type="dxa"/>
              <w:left w:w="90" w:type="dxa"/>
              <w:bottom w:w="70" w:type="dxa"/>
              <w:right w:w="90" w:type="dxa"/>
            </w:tcMar>
          </w:tcPr>
          <w:p>
            <w:pPr>
              <w:spacing w:after="0"/>
            </w:pPr>
            <w:r>
              <w:rPr>
                <w:sz w:val="17"/>
                <w:szCs w:val="17"/>
              </w:rPr>
              <w:t xml:space="preserve">Client state</w:t>
            </w:r>
          </w:p>
        </w:tc>
        <w:tc>
          <w:tcPr>
            <w:tcMar>
              <w:top w:w="70" w:type="dxa"/>
              <w:left w:w="90" w:type="dxa"/>
              <w:bottom w:w="70" w:type="dxa"/>
              <w:right w:w="90" w:type="dxa"/>
            </w:tcMar>
          </w:tcPr>
          <w:p>
            <w:pPr>
              <w:spacing w:after="0"/>
            </w:pPr>
            <w:r>
              <w:rPr>
                <w:sz w:val="17"/>
                <w:szCs w:val="17"/>
              </w:rPr>
              <w:t xml:space="preserve">Current room, projects, files, dirty state, save reconciliation, active panels.</w:t>
            </w:r>
          </w:p>
        </w:tc>
        <w:tc>
          <w:tcPr>
            <w:tcMar>
              <w:top w:w="70" w:type="dxa"/>
              <w:left w:w="90" w:type="dxa"/>
              <w:bottom w:w="70" w:type="dxa"/>
              <w:right w:w="90" w:type="dxa"/>
            </w:tcMar>
          </w:tcPr>
          <w:p>
            <w:pPr>
              <w:spacing w:after="0"/>
            </w:pPr>
            <w:r>
              <w:rPr>
                <w:sz w:val="17"/>
                <w:szCs w:val="17"/>
              </w:rPr>
              <w:t xml:space="preserve">Zustand</w:t>
            </w:r>
          </w:p>
        </w:tc>
      </w:tr>
      <w:tr>
        <w:tc>
          <w:tcPr>
            <w:tcMar>
              <w:top w:w="70" w:type="dxa"/>
              <w:left w:w="90" w:type="dxa"/>
              <w:bottom w:w="70" w:type="dxa"/>
              <w:right w:w="90" w:type="dxa"/>
            </w:tcMar>
          </w:tcPr>
          <w:p>
            <w:pPr>
              <w:spacing w:after="0"/>
            </w:pPr>
            <w:r>
              <w:rPr>
                <w:sz w:val="17"/>
                <w:szCs w:val="17"/>
              </w:rPr>
              <w:t xml:space="preserve">HTTP API</w:t>
            </w:r>
          </w:p>
        </w:tc>
        <w:tc>
          <w:tcPr>
            <w:tcMar>
              <w:top w:w="70" w:type="dxa"/>
              <w:left w:w="90" w:type="dxa"/>
              <w:bottom w:w="70" w:type="dxa"/>
              <w:right w:w="90" w:type="dxa"/>
            </w:tcMar>
          </w:tcPr>
          <w:p>
            <w:pPr>
              <w:spacing w:after="0"/>
            </w:pPr>
            <w:r>
              <w:rPr>
                <w:sz w:val="17"/>
                <w:szCs w:val="17"/>
              </w:rPr>
              <w:t xml:space="preserve">Auth, rooms, projects, files, chat, execution, GitHub, AI.</w:t>
            </w:r>
          </w:p>
        </w:tc>
        <w:tc>
          <w:tcPr>
            <w:tcMar>
              <w:top w:w="70" w:type="dxa"/>
              <w:left w:w="90" w:type="dxa"/>
              <w:bottom w:w="70" w:type="dxa"/>
              <w:right w:w="90" w:type="dxa"/>
            </w:tcMar>
          </w:tcPr>
          <w:p>
            <w:pPr>
              <w:spacing w:after="0"/>
            </w:pPr>
            <w:r>
              <w:rPr>
                <w:sz w:val="17"/>
                <w:szCs w:val="17"/>
              </w:rPr>
              <w:t xml:space="preserve">Express, Axios, Joi</w:t>
            </w:r>
          </w:p>
        </w:tc>
      </w:tr>
      <w:tr>
        <w:tc>
          <w:tcPr>
            <w:tcMar>
              <w:top w:w="70" w:type="dxa"/>
              <w:left w:w="90" w:type="dxa"/>
              <w:bottom w:w="70" w:type="dxa"/>
              <w:right w:w="90" w:type="dxa"/>
            </w:tcMar>
          </w:tcPr>
          <w:p>
            <w:pPr>
              <w:spacing w:after="0"/>
            </w:pPr>
            <w:r>
              <w:rPr>
                <w:sz w:val="17"/>
                <w:szCs w:val="17"/>
              </w:rPr>
              <w:t xml:space="preserve">Realtime layer</w:t>
            </w:r>
          </w:p>
        </w:tc>
        <w:tc>
          <w:tcPr>
            <w:tcMar>
              <w:top w:w="70" w:type="dxa"/>
              <w:left w:w="90" w:type="dxa"/>
              <w:bottom w:w="70" w:type="dxa"/>
              <w:right w:w="90" w:type="dxa"/>
            </w:tcMar>
          </w:tcPr>
          <w:p>
            <w:pPr>
              <w:spacing w:after="0"/>
            </w:pPr>
            <w:r>
              <w:rPr>
                <w:sz w:val="17"/>
                <w:szCs w:val="17"/>
              </w:rPr>
              <w:t xml:space="preserve">Room join/leave, presence, cursors, code events, chat, WebRTC signaling.</w:t>
            </w:r>
          </w:p>
        </w:tc>
        <w:tc>
          <w:tcPr>
            <w:tcMar>
              <w:top w:w="70" w:type="dxa"/>
              <w:left w:w="90" w:type="dxa"/>
              <w:bottom w:w="70" w:type="dxa"/>
              <w:right w:w="90" w:type="dxa"/>
            </w:tcMar>
          </w:tcPr>
          <w:p>
            <w:pPr>
              <w:spacing w:after="0"/>
            </w:pPr>
            <w:r>
              <w:rPr>
                <w:sz w:val="17"/>
                <w:szCs w:val="17"/>
              </w:rPr>
              <w:t xml:space="preserve">Socket.IO</w:t>
            </w:r>
          </w:p>
        </w:tc>
      </w:tr>
      <w:tr>
        <w:tc>
          <w:tcPr>
            <w:tcMar>
              <w:top w:w="70" w:type="dxa"/>
              <w:left w:w="90" w:type="dxa"/>
              <w:bottom w:w="70" w:type="dxa"/>
              <w:right w:w="90" w:type="dxa"/>
            </w:tcMar>
          </w:tcPr>
          <w:p>
            <w:pPr>
              <w:spacing w:after="0"/>
            </w:pPr>
            <w:r>
              <w:rPr>
                <w:sz w:val="17"/>
                <w:szCs w:val="17"/>
              </w:rPr>
              <w:t xml:space="preserve">Persistence</w:t>
            </w:r>
          </w:p>
        </w:tc>
        <w:tc>
          <w:tcPr>
            <w:tcMar>
              <w:top w:w="70" w:type="dxa"/>
              <w:left w:w="90" w:type="dxa"/>
              <w:bottom w:w="70" w:type="dxa"/>
              <w:right w:w="90" w:type="dxa"/>
            </w:tcMar>
          </w:tcPr>
          <w:p>
            <w:pPr>
              <w:spacing w:after="0"/>
            </w:pPr>
            <w:r>
              <w:rPr>
                <w:sz w:val="17"/>
                <w:szCs w:val="17"/>
              </w:rPr>
              <w:t xml:space="preserve">Users, rooms, projects, files, chat, execution logs, dependencies, GitHub links.</w:t>
            </w:r>
          </w:p>
        </w:tc>
        <w:tc>
          <w:tcPr>
            <w:tcMar>
              <w:top w:w="70" w:type="dxa"/>
              <w:left w:w="90" w:type="dxa"/>
              <w:bottom w:w="70" w:type="dxa"/>
              <w:right w:w="90" w:type="dxa"/>
            </w:tcMar>
          </w:tcPr>
          <w:p>
            <w:pPr>
              <w:spacing w:after="0"/>
            </w:pPr>
            <w:r>
              <w:rPr>
                <w:sz w:val="17"/>
                <w:szCs w:val="17"/>
              </w:rPr>
              <w:t xml:space="preserve">MongoDB, Mongoose</w:t>
            </w:r>
          </w:p>
        </w:tc>
      </w:tr>
      <w:tr>
        <w:tc>
          <w:tcPr>
            <w:tcMar>
              <w:top w:w="70" w:type="dxa"/>
              <w:left w:w="90" w:type="dxa"/>
              <w:bottom w:w="70" w:type="dxa"/>
              <w:right w:w="90" w:type="dxa"/>
            </w:tcMar>
          </w:tcPr>
          <w:p>
            <w:pPr>
              <w:spacing w:after="0"/>
            </w:pPr>
            <w:r>
              <w:rPr>
                <w:sz w:val="17"/>
                <w:szCs w:val="17"/>
              </w:rPr>
              <w:t xml:space="preserve">Execution</w:t>
            </w:r>
          </w:p>
        </w:tc>
        <w:tc>
          <w:tcPr>
            <w:tcMar>
              <w:top w:w="70" w:type="dxa"/>
              <w:left w:w="90" w:type="dxa"/>
              <w:bottom w:w="70" w:type="dxa"/>
              <w:right w:w="90" w:type="dxa"/>
            </w:tcMar>
          </w:tcPr>
          <w:p>
            <w:pPr>
              <w:spacing w:after="0"/>
            </w:pPr>
            <w:r>
              <w:rPr>
                <w:sz w:val="17"/>
                <w:szCs w:val="17"/>
              </w:rPr>
              <w:t xml:space="preserve">Bounded compilation and program execution.</w:t>
            </w:r>
          </w:p>
        </w:tc>
        <w:tc>
          <w:tcPr>
            <w:tcMar>
              <w:top w:w="70" w:type="dxa"/>
              <w:left w:w="90" w:type="dxa"/>
              <w:bottom w:w="70" w:type="dxa"/>
              <w:right w:w="90" w:type="dxa"/>
            </w:tcMar>
          </w:tcPr>
          <w:p>
            <w:pPr>
              <w:spacing w:after="0"/>
            </w:pPr>
            <w:r>
              <w:rPr>
                <w:sz w:val="17"/>
                <w:szCs w:val="17"/>
              </w:rPr>
              <w:t xml:space="preserve">Docker, language images</w:t>
            </w:r>
          </w:p>
        </w:tc>
      </w:tr>
    </w:tbl>
    <w:p>
      <w:pPr>
        <w:pStyle w:val="Heading2"/>
        <w:spacing w:before="100" w:after="80"/>
      </w:pPr>
      <w:r>
        <w:rPr>
          <w:sz w:val="21"/>
          <w:szCs w:val="21"/>
        </w:rPr>
        <w:t xml:space="preserve">4.2 Room-join sequence</w:t>
      </w:r>
    </w:p>
    <w:p>
      <w:pPr>
        <w:pStyle w:val="Normal"/>
      </w:pPr>
      <w:r>
        <w:rPr>
          <w:sz w:val="21"/>
          <w:szCs w:val="21"/>
        </w:rPr>
        <w:t xml:space="preserve">A user opens a protected room route. The client loads the canonical room, projects, and files through REST. The Socket.IO client authenticates its handshake, emits a room-join event, and the server verifies membership before adding the socket to the room. The server returns presence information and an initial code snapshot. The client keeps the active project scoped and ignores events from unrelated projects.</w:t>
      </w:r>
    </w:p>
    <w:p>
      <w:pPr>
        <w:pStyle w:val="Heading2"/>
        <w:spacing w:before="100" w:after="80"/>
      </w:pPr>
      <w:r>
        <w:rPr>
          <w:sz w:val="21"/>
          <w:szCs w:val="21"/>
        </w:rPr>
        <w:t xml:space="preserve">4.3 Edit-and-save sequence</w:t>
      </w:r>
    </w:p>
    <w:p>
      <w:pPr>
        <w:pStyle w:val="Normal"/>
      </w:pPr>
      <w:r>
        <w:rPr>
          <w:sz w:val="21"/>
          <w:szCs w:val="21"/>
        </w:rPr>
        <w:t xml:space="preserve">Monaco reports a local edit. The client updates the local store and records the file as dirty. A file-bound queue coalesces rapid edits and emits a payload tied to the immutable file ID. The server checks room membership, edit permission, and canonical file scope before broadcasting a change. A separate explicit Save action sends the current content to the REST API. When the response returns, the store compares the request snapshot with the current file and preserves newer local changes.</w:t>
      </w:r>
    </w:p>
    <w:p>
      <w:pPr>
        <w:pStyle w:val="Heading2"/>
        <w:spacing w:before="100" w:after="80"/>
      </w:pPr>
      <w:r>
        <w:rPr>
          <w:sz w:val="21"/>
          <w:szCs w:val="21"/>
        </w:rPr>
        <w:t xml:space="preserve">4.4 Execution sequence</w:t>
      </w:r>
    </w:p>
    <w:p>
      <w:pPr>
        <w:pStyle w:val="Normal"/>
      </w:pPr>
      <w:r>
        <w:rPr>
          <w:sz w:val="21"/>
          <w:szCs w:val="21"/>
        </w:rPr>
        <w:t xml:space="preserve">The client submits language, project, file, code, and stdin. The server validates size and language, checks room/project/file ownership and execution permission, checks Docker availability, writes a temporary workspace, runs the selected image with limits, truncates output, records an execution log, removes temporary files, and returns a structured result.</w:t>
      </w:r>
    </w:p>
    <w:p>
      <w:r>
        <w:br w:type="page"/>
      </w:r>
    </w:p>
    <w:p>
      <w:pPr>
        <w:pStyle w:val="Heading1"/>
        <w:spacing w:before="180" w:after="80"/>
      </w:pPr>
      <w:r>
        <w:rPr>
          <w:sz w:val="21"/>
          <w:szCs w:val="21"/>
        </w:rPr>
        <w:t xml:space="preserve">5. Implementation Details</w:t>
      </w:r>
    </w:p>
    <w:p>
      <w:pPr>
        <w:pStyle w:val="Heading2"/>
        <w:spacing w:before="100" w:after="80"/>
      </w:pPr>
      <w:r>
        <w:rPr>
          <w:sz w:val="21"/>
          <w:szCs w:val="21"/>
        </w:rPr>
        <w:t xml:space="preserve">5.1 Authentication and protected routes</w:t>
      </w:r>
    </w:p>
    <w:p>
      <w:pPr>
        <w:pStyle w:val="Normal"/>
      </w:pPr>
      <w:r>
        <w:rPr>
          <w:sz w:val="21"/>
          <w:szCs w:val="21"/>
        </w:rPr>
        <w:t xml:space="preserve">Registration and login use bcrypt-backed passwords and issue an httpOnly cookie containing a signed JWT. Protected HTTP routes resolve the current user from the cookie or an explicit bearer token. The Socket.IO middleware performs the corresponding token verification and user lookup before registering room handlers. CORS, Helmet, request validation, rate limiting, MongoDB sanitization, and HTTP parameter pollution protection are configured at the server boundary.</w:t>
      </w:r>
    </w:p>
    <w:p>
      <w:pPr>
        <w:pStyle w:val="Heading2"/>
        <w:spacing w:before="100" w:after="80"/>
      </w:pPr>
      <w:r>
        <w:rPr>
          <w:sz w:val="21"/>
          <w:szCs w:val="21"/>
        </w:rPr>
        <w:t xml:space="preserve">5.2 Files, projects, and persistence</w:t>
      </w:r>
    </w:p>
    <w:p>
      <w:pPr>
        <w:pStyle w:val="Normal"/>
      </w:pPr>
      <w:r>
        <w:rPr>
          <w:sz w:val="21"/>
          <w:szCs w:val="21"/>
        </w:rPr>
        <w:t xml:space="preserve">A room may contain projects, and each project contains CodeSync file records. Files store a path, filename, language, content, version, editor, and timestamps. The store tracks dirty file IDs and dirty fields. The server uses a project/path uniqueness index and initializes missing indexes safely when a fresh MongoDB collection reports NamespaceNotFound.</w:t>
      </w:r>
    </w:p>
    <w:p>
      <w:pPr>
        <w:pStyle w:val="Heading2"/>
        <w:spacing w:before="100" w:after="80"/>
      </w:pPr>
      <w:r>
        <w:rPr>
          <w:sz w:val="21"/>
          <w:szCs w:val="21"/>
        </w:rPr>
        <w:t xml:space="preserve">5.3 Client race protection</w:t>
      </w:r>
    </w:p>
    <w:p>
      <w:pPr>
        <w:pStyle w:val="Normal"/>
      </w:pPr>
      <w:r>
        <w:rPr>
          <w:sz w:val="21"/>
          <w:szCs w:val="21"/>
        </w:rPr>
        <w:t xml:space="preserve">A common failure in collaborative editors is associating a delayed callback with whichever file is active when the callback runs. CodeSync binds queued updates to the edited file ID and cancels file-specific queues when a file is deleted or a workspace is reset. The workspace store uses a lifecycle generation so a late response from an old room cannot populate the new room. Save responses preserve text typed during the request and retain the unsaved state until the newer content is saved.</w:t>
      </w:r>
    </w:p>
    <w:p>
      <w:pPr>
        <w:pStyle w:val="Heading2"/>
        <w:spacing w:before="100" w:after="80"/>
      </w:pPr>
      <w:r>
        <w:rPr>
          <w:sz w:val="21"/>
          <w:szCs w:val="21"/>
        </w:rPr>
        <w:t xml:space="preserve">5.4 Chat and presence</w:t>
      </w:r>
    </w:p>
    <w:p>
      <w:pPr>
        <w:pStyle w:val="Normal"/>
      </w:pPr>
      <w:r>
        <w:rPr>
          <w:sz w:val="21"/>
          <w:szCs w:val="21"/>
        </w:rPr>
        <w:t xml:space="preserve">Chat messages are stored with room and sender references, sanitized before persistence, and returned with sender metadata. Recent history is queried newest-first and reversed for chronological display. Search supports message text, sender names, and voice-note type. Presence tracks the active file, cursor, last-seen time, and socket identity. Cursor state is transient and should not be confused with durable file state.</w:t>
      </w:r>
    </w:p>
    <w:p>
      <w:pPr>
        <w:pStyle w:val="Heading2"/>
        <w:spacing w:before="100" w:after="80"/>
      </w:pPr>
      <w:r>
        <w:rPr>
          <w:sz w:val="21"/>
          <w:szCs w:val="21"/>
        </w:rPr>
        <w:t xml:space="preserve">5.5 GitHub and AI integrations</w:t>
      </w:r>
    </w:p>
    <w:p>
      <w:pPr>
        <w:pStyle w:val="Normal"/>
      </w:pPr>
      <w:r>
        <w:rPr>
          <w:sz w:val="21"/>
          <w:szCs w:val="21"/>
        </w:rPr>
        <w:t xml:space="preserve">GitHub uses OAuth configuration and encrypted token storage. Repository selection, branch selection, pull, change preview, and push are mediated by authenticated routes. The AI route builds bounded repository context, excludes likely secret files, redacts common token patterns, limits response size, and keeps applying generated code local until the user explicitly saves it.</w:t>
      </w:r>
    </w:p>
    <w:p>
      <w:r>
        <w:br w:type="page"/>
      </w:r>
    </w:p>
    <w:p>
      <w:pPr>
        <w:pStyle w:val="Heading1"/>
        <w:spacing w:before="180" w:after="80"/>
      </w:pPr>
      <w:r>
        <w:rPr>
          <w:sz w:val="21"/>
          <w:szCs w:val="21"/>
        </w:rPr>
        <w:t xml:space="preserve">6. Reliability and Security Design</w:t>
      </w:r>
    </w:p>
    <w:p>
      <w:pPr>
        <w:pStyle w:val="Heading2"/>
        <w:spacing w:before="100" w:after="80"/>
      </w:pPr>
      <w:r>
        <w:rPr>
          <w:sz w:val="21"/>
          <w:szCs w:val="21"/>
        </w:rPr>
        <w:t xml:space="preserve">6.1 Canonical code-event validation</w:t>
      </w:r>
    </w:p>
    <w:p>
      <w:pPr>
        <w:pStyle w:val="Normal"/>
      </w:pPr>
      <w:r>
        <w:rPr>
          <w:sz w:val="21"/>
          <w:szCs w:val="21"/>
        </w:rPr>
        <w:t xml:space="preserve">Client payloads are not treated as authoritative descriptions of a file. For a code event, the server resolves the file by file ID and room ID. It uses the stored filename, path, language, and project rather than accepting spoofed metadata from the client. Content edits require room edit permission. Metadata changes and deletion require file-management permission. Older live versions are ignored when a newer version is already present in the room state.</w:t>
      </w:r>
    </w:p>
    <w:p>
      <w:pPr>
        <w:pStyle w:val="Heading2"/>
        <w:spacing w:before="100" w:after="80"/>
      </w:pPr>
      <w:r>
        <w:rPr>
          <w:sz w:val="21"/>
          <w:szCs w:val="21"/>
        </w:rPr>
        <w:t xml:space="preserve">6.2 Project-qualified client merging</w:t>
      </w:r>
    </w:p>
    <w:p>
      <w:pPr>
        <w:pStyle w:val="Normal"/>
      </w:pPr>
      <w:r>
        <w:rPr>
          <w:sz w:val="21"/>
          <w:szCs w:val="21"/>
        </w:rPr>
        <w:t xml:space="preserve">Path names are not globally unique across a room. The client therefore qualifies remote-file identity by project and path rather than path alone. Room-wide initial events are filtered to the active project, and subsequent code events for another active project are ignored. This prevents a file named src/index.js in Project B from evicting the same path in Project A.</w:t>
      </w:r>
    </w:p>
    <w:p>
      <w:pPr>
        <w:pStyle w:val="Heading2"/>
        <w:spacing w:before="100" w:after="80"/>
      </w:pPr>
      <w:r>
        <w:rPr>
          <w:sz w:val="21"/>
          <w:szCs w:val="21"/>
        </w:rPr>
        <w:t xml:space="preserve">6.3 Bounded execution</w:t>
      </w:r>
    </w:p>
    <w:p>
      <w:pPr>
        <w:pStyle w:val="Normal"/>
      </w:pPr>
      <w:r>
        <w:rPr>
          <w:sz w:val="21"/>
          <w:szCs w:val="21"/>
        </w:rPr>
        <w:t xml:space="preserve">The execution service rejects unsupported languages, empty code, oversized code, and oversized standard input. Docker runs use network none, memory and CPU limits, a process limit, a read-only root filesystem for the execution image, a bounded temporary filesystem, and an execution timeout. Output is truncated and the user receives a structured status such as success, error, or timeout.</w:t>
      </w:r>
    </w:p>
    <w:p>
      <w:pPr>
        <w:pStyle w:val="Normal"/>
      </w:pPr>
      <w:r>
        <w:rPr>
          <w:sz w:val="21"/>
          <w:szCs w:val="21"/>
        </w:rPr>
        <w:t xml:space="preserve">These controls are defense in depth rather than a proof of perfect sandbox security. A final paper must report actual tests for hostile programs, image provenance, container cleanup, concurrency, daemon permissions, and the deployment host.</w:t>
      </w:r>
    </w:p>
    <w:p>
      <w:pPr>
        <w:pStyle w:val="Heading2"/>
        <w:spacing w:before="100" w:after="80"/>
      </w:pPr>
      <w:r>
        <w:rPr>
          <w:sz w:val="21"/>
          <w:szCs w:val="21"/>
        </w:rPr>
        <w:t xml:space="preserve">6.4 Failure-state design</w:t>
      </w:r>
    </w:p>
    <w:tbl>
      <w:tblPr>
        <w:tblStyle w:val="TableGrid"/>
        <w:tblW w:w="0" w:type="auto"/>
      </w:tblPr>
      <w:tblGrid>
        <w:gridCol w:w="2300"/>
        <w:gridCol w:w="5000"/>
        <w:gridCol w:w="2700"/>
      </w:tblGrid>
      <w:tr>
        <w:tc>
          <w:tcPr>
            <w:tcMar>
              <w:top w:w="70" w:type="dxa"/>
              <w:left w:w="90" w:type="dxa"/>
              <w:bottom w:w="70" w:type="dxa"/>
              <w:right w:w="90" w:type="dxa"/>
            </w:tcMar>
          </w:tcPr>
          <w:shd w:fill="173A2C"/>
          <w:p>
            <w:pPr>
              <w:spacing w:after="0"/>
            </w:pPr>
            <w:r>
              <w:rPr>
                <w:b/>
                <w:sz w:val="17"/>
                <w:szCs w:val="17"/>
                <w:color w:val="FFFFFF"/>
              </w:rPr>
              <w:t xml:space="preserve">Failure</w:t>
            </w:r>
          </w:p>
        </w:tc>
        <w:tc>
          <w:tcPr>
            <w:tcMar>
              <w:top w:w="70" w:type="dxa"/>
              <w:left w:w="90" w:type="dxa"/>
              <w:bottom w:w="70" w:type="dxa"/>
              <w:right w:w="90" w:type="dxa"/>
            </w:tcMar>
          </w:tcPr>
          <w:shd w:fill="173A2C"/>
          <w:p>
            <w:pPr>
              <w:spacing w:after="0"/>
            </w:pPr>
            <w:r>
              <w:rPr>
                <w:b/>
                <w:sz w:val="17"/>
                <w:szCs w:val="17"/>
                <w:color w:val="FFFFFF"/>
              </w:rPr>
              <w:t xml:space="preserve">Expected user-visible behavior</w:t>
            </w:r>
          </w:p>
        </w:tc>
        <w:tc>
          <w:tcPr>
            <w:tcMar>
              <w:top w:w="70" w:type="dxa"/>
              <w:left w:w="90" w:type="dxa"/>
              <w:bottom w:w="70" w:type="dxa"/>
              <w:right w:w="90" w:type="dxa"/>
            </w:tcMar>
          </w:tcPr>
          <w:shd w:fill="173A2C"/>
          <w:p>
            <w:pPr>
              <w:spacing w:after="0"/>
            </w:pPr>
            <w:r>
              <w:rPr>
                <w:b/>
                <w:sz w:val="17"/>
                <w:szCs w:val="17"/>
                <w:color w:val="FFFFFF"/>
              </w:rPr>
              <w:t xml:space="preserve">Evidence status</w:t>
            </w:r>
          </w:p>
        </w:tc>
      </w:tr>
      <w:tr>
        <w:tc>
          <w:tcPr>
            <w:tcMar>
              <w:top w:w="70" w:type="dxa"/>
              <w:left w:w="90" w:type="dxa"/>
              <w:bottom w:w="70" w:type="dxa"/>
              <w:right w:w="90" w:type="dxa"/>
            </w:tcMar>
          </w:tcPr>
          <w:p>
            <w:pPr>
              <w:spacing w:after="0"/>
            </w:pPr>
            <w:r>
              <w:rPr>
                <w:sz w:val="17"/>
                <w:szCs w:val="17"/>
              </w:rPr>
              <w:t xml:space="preserve">Save failure</w:t>
            </w:r>
          </w:p>
        </w:tc>
        <w:tc>
          <w:tcPr>
            <w:tcMar>
              <w:top w:w="70" w:type="dxa"/>
              <w:left w:w="90" w:type="dxa"/>
              <w:bottom w:w="70" w:type="dxa"/>
              <w:right w:w="90" w:type="dxa"/>
            </w:tcMar>
          </w:tcPr>
          <w:p>
            <w:pPr>
              <w:spacing w:after="0"/>
            </w:pPr>
            <w:r>
              <w:rPr>
                <w:sz w:val="17"/>
                <w:szCs w:val="17"/>
              </w:rPr>
              <w:t xml:space="preserve">Keep local content and dirty state; provide retryable Save action.</w:t>
            </w:r>
          </w:p>
        </w:tc>
        <w:tc>
          <w:tcPr>
            <w:tcMar>
              <w:top w:w="70" w:type="dxa"/>
              <w:left w:w="90" w:type="dxa"/>
              <w:bottom w:w="70" w:type="dxa"/>
              <w:right w:w="90" w:type="dxa"/>
            </w:tcMar>
          </w:tcPr>
          <w:p>
            <w:pPr>
              <w:spacing w:after="0"/>
            </w:pPr>
            <w:r>
              <w:rPr>
                <w:sz w:val="17"/>
                <w:szCs w:val="17"/>
              </w:rPr>
              <w:t xml:space="preserve">Automated test passed</w:t>
            </w:r>
          </w:p>
        </w:tc>
      </w:tr>
      <w:tr>
        <w:tc>
          <w:tcPr>
            <w:tcMar>
              <w:top w:w="70" w:type="dxa"/>
              <w:left w:w="90" w:type="dxa"/>
              <w:bottom w:w="70" w:type="dxa"/>
              <w:right w:w="90" w:type="dxa"/>
            </w:tcMar>
          </w:tcPr>
          <w:p>
            <w:pPr>
              <w:spacing w:after="0"/>
            </w:pPr>
            <w:r>
              <w:rPr>
                <w:sz w:val="17"/>
                <w:szCs w:val="17"/>
              </w:rPr>
              <w:t xml:space="preserve">Stale room response</w:t>
            </w:r>
          </w:p>
        </w:tc>
        <w:tc>
          <w:tcPr>
            <w:tcMar>
              <w:top w:w="70" w:type="dxa"/>
              <w:left w:w="90" w:type="dxa"/>
              <w:bottom w:w="70" w:type="dxa"/>
              <w:right w:w="90" w:type="dxa"/>
            </w:tcMar>
          </w:tcPr>
          <w:p>
            <w:pPr>
              <w:spacing w:after="0"/>
            </w:pPr>
            <w:r>
              <w:rPr>
                <w:sz w:val="17"/>
                <w:szCs w:val="17"/>
              </w:rPr>
              <w:t xml:space="preserve">Do not populate a different workspace.</w:t>
            </w:r>
          </w:p>
        </w:tc>
        <w:tc>
          <w:tcPr>
            <w:tcMar>
              <w:top w:w="70" w:type="dxa"/>
              <w:left w:w="90" w:type="dxa"/>
              <w:bottom w:w="70" w:type="dxa"/>
              <w:right w:w="90" w:type="dxa"/>
            </w:tcMar>
          </w:tcPr>
          <w:p>
            <w:pPr>
              <w:spacing w:after="0"/>
            </w:pPr>
            <w:r>
              <w:rPr>
                <w:sz w:val="17"/>
                <w:szCs w:val="17"/>
              </w:rPr>
              <w:t xml:space="preserve">Automated test passed</w:t>
            </w:r>
          </w:p>
        </w:tc>
      </w:tr>
      <w:tr>
        <w:tc>
          <w:tcPr>
            <w:tcMar>
              <w:top w:w="70" w:type="dxa"/>
              <w:left w:w="90" w:type="dxa"/>
              <w:bottom w:w="70" w:type="dxa"/>
              <w:right w:w="90" w:type="dxa"/>
            </w:tcMar>
          </w:tcPr>
          <w:p>
            <w:pPr>
              <w:spacing w:after="0"/>
            </w:pPr>
            <w:r>
              <w:rPr>
                <w:sz w:val="17"/>
                <w:szCs w:val="17"/>
              </w:rPr>
              <w:t xml:space="preserve">Unauthorized event</w:t>
            </w:r>
          </w:p>
        </w:tc>
        <w:tc>
          <w:tcPr>
            <w:tcMar>
              <w:top w:w="70" w:type="dxa"/>
              <w:left w:w="90" w:type="dxa"/>
              <w:bottom w:w="70" w:type="dxa"/>
              <w:right w:w="90" w:type="dxa"/>
            </w:tcMar>
          </w:tcPr>
          <w:p>
            <w:pPr>
              <w:spacing w:after="0"/>
            </w:pPr>
            <w:r>
              <w:rPr>
                <w:sz w:val="17"/>
                <w:szCs w:val="17"/>
              </w:rPr>
              <w:t xml:space="preserve">Reject and emit a permission error.</w:t>
            </w:r>
          </w:p>
        </w:tc>
        <w:tc>
          <w:tcPr>
            <w:tcMar>
              <w:top w:w="70" w:type="dxa"/>
              <w:left w:w="90" w:type="dxa"/>
              <w:bottom w:w="70" w:type="dxa"/>
              <w:right w:w="90" w:type="dxa"/>
            </w:tcMar>
          </w:tcPr>
          <w:p>
            <w:pPr>
              <w:spacing w:after="0"/>
            </w:pPr>
            <w:r>
              <w:rPr>
                <w:sz w:val="17"/>
                <w:szCs w:val="17"/>
              </w:rPr>
              <w:t xml:space="preserve">Scope helper tested; live matrix pending</w:t>
            </w:r>
          </w:p>
        </w:tc>
      </w:tr>
      <w:tr>
        <w:tc>
          <w:tcPr>
            <w:tcMar>
              <w:top w:w="70" w:type="dxa"/>
              <w:left w:w="90" w:type="dxa"/>
              <w:bottom w:w="70" w:type="dxa"/>
              <w:right w:w="90" w:type="dxa"/>
            </w:tcMar>
          </w:tcPr>
          <w:p>
            <w:pPr>
              <w:spacing w:after="0"/>
            </w:pPr>
            <w:r>
              <w:rPr>
                <w:sz w:val="17"/>
                <w:szCs w:val="17"/>
              </w:rPr>
              <w:t xml:space="preserve">Docker unavailable</w:t>
            </w:r>
          </w:p>
        </w:tc>
        <w:tc>
          <w:tcPr>
            <w:tcMar>
              <w:top w:w="70" w:type="dxa"/>
              <w:left w:w="90" w:type="dxa"/>
              <w:bottom w:w="70" w:type="dxa"/>
              <w:right w:w="90" w:type="dxa"/>
            </w:tcMar>
          </w:tcPr>
          <w:p>
            <w:pPr>
              <w:spacing w:after="0"/>
            </w:pPr>
            <w:r>
              <w:rPr>
                <w:sz w:val="17"/>
                <w:szCs w:val="17"/>
              </w:rPr>
              <w:t xml:space="preserve">Return a clear service-configuration error.</w:t>
            </w:r>
          </w:p>
        </w:tc>
        <w:tc>
          <w:tcPr>
            <w:tcMar>
              <w:top w:w="70" w:type="dxa"/>
              <w:left w:w="90" w:type="dxa"/>
              <w:bottom w:w="70" w:type="dxa"/>
              <w:right w:w="90" w:type="dxa"/>
            </w:tcMar>
          </w:tcPr>
          <w:p>
            <w:pPr>
              <w:spacing w:after="0"/>
            </w:pPr>
            <w:r>
              <w:rPr>
                <w:sz w:val="17"/>
                <w:szCs w:val="17"/>
              </w:rPr>
              <w:t xml:space="preserve">Code path implemented; live execution pending</w:t>
            </w:r>
          </w:p>
        </w:tc>
      </w:tr>
      <w:tr>
        <w:tc>
          <w:tcPr>
            <w:tcMar>
              <w:top w:w="70" w:type="dxa"/>
              <w:left w:w="90" w:type="dxa"/>
              <w:bottom w:w="70" w:type="dxa"/>
              <w:right w:w="90" w:type="dxa"/>
            </w:tcMar>
          </w:tcPr>
          <w:p>
            <w:pPr>
              <w:spacing w:after="0"/>
            </w:pPr>
            <w:r>
              <w:rPr>
                <w:sz w:val="17"/>
                <w:szCs w:val="17"/>
              </w:rPr>
              <w:t xml:space="preserve">GitHub not configured</w:t>
            </w:r>
          </w:p>
        </w:tc>
        <w:tc>
          <w:tcPr>
            <w:tcMar>
              <w:top w:w="70" w:type="dxa"/>
              <w:left w:w="90" w:type="dxa"/>
              <w:bottom w:w="70" w:type="dxa"/>
              <w:right w:w="90" w:type="dxa"/>
            </w:tcMar>
          </w:tcPr>
          <w:p>
            <w:pPr>
              <w:spacing w:after="0"/>
            </w:pPr>
            <w:r>
              <w:rPr>
                <w:sz w:val="17"/>
                <w:szCs w:val="17"/>
              </w:rPr>
              <w:t xml:space="preserve">Show readable setup error without exposing secrets.</w:t>
            </w:r>
          </w:p>
        </w:tc>
        <w:tc>
          <w:tcPr>
            <w:tcMar>
              <w:top w:w="70" w:type="dxa"/>
              <w:left w:w="90" w:type="dxa"/>
              <w:bottom w:w="70" w:type="dxa"/>
              <w:right w:w="90" w:type="dxa"/>
            </w:tcMar>
          </w:tcPr>
          <w:p>
            <w:pPr>
              <w:spacing w:after="0"/>
            </w:pPr>
            <w:r>
              <w:rPr>
                <w:sz w:val="17"/>
                <w:szCs w:val="17"/>
              </w:rPr>
              <w:t xml:space="preserve">OAuth regression test passed</w:t>
            </w:r>
          </w:p>
        </w:tc>
      </w:tr>
      <w:tr>
        <w:tc>
          <w:tcPr>
            <w:tcMar>
              <w:top w:w="70" w:type="dxa"/>
              <w:left w:w="90" w:type="dxa"/>
              <w:bottom w:w="70" w:type="dxa"/>
              <w:right w:w="90" w:type="dxa"/>
            </w:tcMar>
          </w:tcPr>
          <w:p>
            <w:pPr>
              <w:spacing w:after="0"/>
            </w:pPr>
            <w:r>
              <w:rPr>
                <w:sz w:val="17"/>
                <w:szCs w:val="17"/>
              </w:rPr>
              <w:t xml:space="preserve">AI provider unavailable</w:t>
            </w:r>
          </w:p>
        </w:tc>
        <w:tc>
          <w:tcPr>
            <w:tcMar>
              <w:top w:w="70" w:type="dxa"/>
              <w:left w:w="90" w:type="dxa"/>
              <w:bottom w:w="70" w:type="dxa"/>
              <w:right w:w="90" w:type="dxa"/>
            </w:tcMar>
          </w:tcPr>
          <w:p>
            <w:pPr>
              <w:spacing w:after="0"/>
            </w:pPr>
            <w:r>
              <w:rPr>
                <w:sz w:val="17"/>
                <w:szCs w:val="17"/>
              </w:rPr>
              <w:t xml:space="preserve">Show bounded configuration/provider error.</w:t>
            </w:r>
          </w:p>
        </w:tc>
        <w:tc>
          <w:tcPr>
            <w:tcMar>
              <w:top w:w="70" w:type="dxa"/>
              <w:left w:w="90" w:type="dxa"/>
              <w:bottom w:w="70" w:type="dxa"/>
              <w:right w:w="90" w:type="dxa"/>
            </w:tcMar>
          </w:tcPr>
          <w:p>
            <w:pPr>
              <w:spacing w:after="0"/>
            </w:pPr>
            <w:r>
              <w:rPr>
                <w:sz w:val="17"/>
                <w:szCs w:val="17"/>
              </w:rPr>
              <w:t xml:space="preserve">Mocked provider tests passed</w:t>
            </w:r>
          </w:p>
        </w:tc>
      </w:tr>
    </w:tbl>
    <w:p>
      <w:pPr>
        <w:pStyle w:val="Heading2"/>
        <w:spacing w:before="100" w:after="80"/>
      </w:pPr>
      <w:r>
        <w:rPr>
          <w:sz w:val="21"/>
          <w:szCs w:val="21"/>
        </w:rPr>
        <w:t xml:space="preserve">6.5 Known limitation</w:t>
      </w:r>
    </w:p>
    <w:p>
      <w:pPr>
        <w:pStyle w:val="Normal"/>
      </w:pPr>
      <w:r>
        <w:rPr>
          <w:sz w:val="21"/>
          <w:szCs w:val="21"/>
        </w:rPr>
        <w:t xml:space="preserve">The system still uses whole-file synchronization. Two users editing the same file at the same time may overwrite independent changes even though local request races are controlled. A CRDT, operational transformation layer, revision protocol, or single-writer lease should be evaluated before making strong convergence claims.</w:t>
      </w:r>
    </w:p>
    <w:p>
      <w:r>
        <w:br w:type="page"/>
      </w:r>
    </w:p>
    <w:p>
      <w:pPr>
        <w:pStyle w:val="Heading1"/>
        <w:spacing w:before="180" w:after="80"/>
      </w:pPr>
      <w:r>
        <w:rPr>
          <w:sz w:val="21"/>
          <w:szCs w:val="21"/>
        </w:rPr>
        <w:t xml:space="preserve">7. Evaluation Methodology</w:t>
      </w:r>
    </w:p>
    <w:p>
      <w:pPr>
        <w:pStyle w:val="Heading2"/>
        <w:spacing w:before="100" w:after="80"/>
      </w:pPr>
      <w:r>
        <w:rPr>
          <w:sz w:val="21"/>
          <w:szCs w:val="21"/>
        </w:rPr>
        <w:t xml:space="preserve">7.1 Study design</w:t>
      </w:r>
    </w:p>
    <w:p>
      <w:pPr>
        <w:pStyle w:val="Normal"/>
      </w:pPr>
      <w:r>
        <w:rPr>
          <w:sz w:val="21"/>
          <w:szCs w:val="21"/>
        </w:rPr>
        <w:t xml:space="preserve">The proposed evaluation combines three layers: automated regression checks, live integration and fault-injection tests, and a controlled student usability study. The layers answer different questions. Automated tests verify deterministic invariants. Live tests verify boundaries between browsers, Docker, MongoDB, OAuth, WebRTC, and external providers. The user study evaluates workflow and perceived usability.</w:t>
      </w:r>
    </w:p>
    <w:p>
      <w:pPr>
        <w:pStyle w:val="Heading2"/>
        <w:spacing w:before="100" w:after="80"/>
      </w:pPr>
      <w:r>
        <w:rPr>
          <w:sz w:val="21"/>
          <w:szCs w:val="21"/>
        </w:rPr>
        <w:t xml:space="preserve">7.2 Baseline and tasks</w:t>
      </w:r>
    </w:p>
    <w:p>
      <w:pPr>
        <w:pStyle w:val="Normal"/>
      </w:pPr>
      <w:r>
        <w:rPr>
          <w:sz w:val="21"/>
          <w:szCs w:val="21"/>
        </w:rPr>
        <w:t xml:space="preserve">The baseline should combine a conventional code editor, video or screen-sharing software, a separate chat channel, and a local terminal. The same seed code, task instructions, network, and time limit should be used in both conditions. A counterbalanced design should reduce learning effects: half of the pairs use CodeSync first and half use the baseline first.</w:t>
      </w:r>
    </w:p>
    <w:tbl>
      <w:tblPr>
        <w:tblStyle w:val="TableGrid"/>
        <w:tblW w:w="0" w:type="auto"/>
      </w:tblPr>
      <w:tblGrid>
        <w:gridCol w:w="1900"/>
        <w:gridCol w:w="5100"/>
        <w:gridCol w:w="3000"/>
      </w:tblGrid>
      <w:tr>
        <w:tc>
          <w:tcPr>
            <w:tcMar>
              <w:top w:w="70" w:type="dxa"/>
              <w:left w:w="90" w:type="dxa"/>
              <w:bottom w:w="70" w:type="dxa"/>
              <w:right w:w="90" w:type="dxa"/>
            </w:tcMar>
          </w:tcPr>
          <w:shd w:fill="173A2C"/>
          <w:p>
            <w:pPr>
              <w:spacing w:after="0"/>
            </w:pPr>
            <w:r>
              <w:rPr>
                <w:b/>
                <w:sz w:val="17"/>
                <w:szCs w:val="17"/>
                <w:color w:val="FFFFFF"/>
              </w:rPr>
              <w:t xml:space="preserve">Task</w:t>
            </w:r>
          </w:p>
        </w:tc>
        <w:tc>
          <w:tcPr>
            <w:tcMar>
              <w:top w:w="70" w:type="dxa"/>
              <w:left w:w="90" w:type="dxa"/>
              <w:bottom w:w="70" w:type="dxa"/>
              <w:right w:w="90" w:type="dxa"/>
            </w:tcMar>
          </w:tcPr>
          <w:shd w:fill="173A2C"/>
          <w:p>
            <w:pPr>
              <w:spacing w:after="0"/>
            </w:pPr>
            <w:r>
              <w:rPr>
                <w:b/>
                <w:sz w:val="17"/>
                <w:szCs w:val="17"/>
                <w:color w:val="FFFFFF"/>
              </w:rPr>
              <w:t xml:space="preserve">Description</w:t>
            </w:r>
          </w:p>
        </w:tc>
        <w:tc>
          <w:tcPr>
            <w:tcMar>
              <w:top w:w="70" w:type="dxa"/>
              <w:left w:w="90" w:type="dxa"/>
              <w:bottom w:w="70" w:type="dxa"/>
              <w:right w:w="90" w:type="dxa"/>
            </w:tcMar>
          </w:tcPr>
          <w:shd w:fill="173A2C"/>
          <w:p>
            <w:pPr>
              <w:spacing w:after="0"/>
            </w:pPr>
            <w:r>
              <w:rPr>
                <w:b/>
                <w:sz w:val="17"/>
                <w:szCs w:val="17"/>
                <w:color w:val="FFFFFF"/>
              </w:rPr>
              <w:t xml:space="preserve">Primary measures</w:t>
            </w:r>
          </w:p>
        </w:tc>
      </w:tr>
      <w:tr>
        <w:tc>
          <w:tcPr>
            <w:tcMar>
              <w:top w:w="70" w:type="dxa"/>
              <w:left w:w="90" w:type="dxa"/>
              <w:bottom w:w="70" w:type="dxa"/>
              <w:right w:w="90" w:type="dxa"/>
            </w:tcMar>
          </w:tcPr>
          <w:p>
            <w:pPr>
              <w:spacing w:after="0"/>
            </w:pPr>
            <w:r>
              <w:rPr>
                <w:sz w:val="17"/>
                <w:szCs w:val="17"/>
              </w:rPr>
              <w:t xml:space="preserve">Implementation</w:t>
            </w:r>
          </w:p>
        </w:tc>
        <w:tc>
          <w:tcPr>
            <w:tcMar>
              <w:top w:w="70" w:type="dxa"/>
              <w:left w:w="90" w:type="dxa"/>
              <w:bottom w:w="70" w:type="dxa"/>
              <w:right w:w="90" w:type="dxa"/>
            </w:tcMar>
          </w:tcPr>
          <w:p>
            <w:pPr>
              <w:spacing w:after="0"/>
            </w:pPr>
            <w:r>
              <w:rPr>
                <w:sz w:val="17"/>
                <w:szCs w:val="17"/>
              </w:rPr>
              <w:t xml:space="preserve">Implement a small function and run tests with stdin.</w:t>
            </w:r>
          </w:p>
        </w:tc>
        <w:tc>
          <w:tcPr>
            <w:tcMar>
              <w:top w:w="70" w:type="dxa"/>
              <w:left w:w="90" w:type="dxa"/>
              <w:bottom w:w="70" w:type="dxa"/>
              <w:right w:w="90" w:type="dxa"/>
            </w:tcMar>
          </w:tcPr>
          <w:p>
            <w:pPr>
              <w:spacing w:after="0"/>
            </w:pPr>
            <w:r>
              <w:rPr>
                <w:sz w:val="17"/>
                <w:szCs w:val="17"/>
              </w:rPr>
              <w:t xml:space="preserve">Completion time, tool switches, execution failures</w:t>
            </w:r>
          </w:p>
        </w:tc>
      </w:tr>
      <w:tr>
        <w:tc>
          <w:tcPr>
            <w:tcMar>
              <w:top w:w="70" w:type="dxa"/>
              <w:left w:w="90" w:type="dxa"/>
              <w:bottom w:w="70" w:type="dxa"/>
              <w:right w:w="90" w:type="dxa"/>
            </w:tcMar>
          </w:tcPr>
          <w:p>
            <w:pPr>
              <w:spacing w:after="0"/>
            </w:pPr>
            <w:r>
              <w:rPr>
                <w:sz w:val="17"/>
                <w:szCs w:val="17"/>
              </w:rPr>
              <w:t xml:space="preserve">Debugging</w:t>
            </w:r>
          </w:p>
        </w:tc>
        <w:tc>
          <w:tcPr>
            <w:tcMar>
              <w:top w:w="70" w:type="dxa"/>
              <w:left w:w="90" w:type="dxa"/>
              <w:bottom w:w="70" w:type="dxa"/>
              <w:right w:w="90" w:type="dxa"/>
            </w:tcMar>
          </w:tcPr>
          <w:p>
            <w:pPr>
              <w:spacing w:after="0"/>
            </w:pPr>
            <w:r>
              <w:rPr>
                <w:sz w:val="17"/>
                <w:szCs w:val="17"/>
              </w:rPr>
              <w:t xml:space="preserve">Find and repair a seeded defect while discussing the cause.</w:t>
            </w:r>
          </w:p>
        </w:tc>
        <w:tc>
          <w:tcPr>
            <w:tcMar>
              <w:top w:w="70" w:type="dxa"/>
              <w:left w:w="90" w:type="dxa"/>
              <w:bottom w:w="70" w:type="dxa"/>
              <w:right w:w="90" w:type="dxa"/>
            </w:tcMar>
          </w:tcPr>
          <w:p>
            <w:pPr>
              <w:spacing w:after="0"/>
            </w:pPr>
            <w:r>
              <w:rPr>
                <w:sz w:val="17"/>
                <w:szCs w:val="17"/>
              </w:rPr>
              <w:t xml:space="preserve">Completion rate, coordination messages, recovery time</w:t>
            </w:r>
          </w:p>
        </w:tc>
      </w:tr>
      <w:tr>
        <w:tc>
          <w:tcPr>
            <w:tcMar>
              <w:top w:w="70" w:type="dxa"/>
              <w:left w:w="90" w:type="dxa"/>
              <w:bottom w:w="70" w:type="dxa"/>
              <w:right w:w="90" w:type="dxa"/>
            </w:tcMar>
          </w:tcPr>
          <w:p>
            <w:pPr>
              <w:spacing w:after="0"/>
            </w:pPr>
            <w:r>
              <w:rPr>
                <w:sz w:val="17"/>
                <w:szCs w:val="17"/>
              </w:rPr>
              <w:t xml:space="preserve">Review</w:t>
            </w:r>
          </w:p>
        </w:tc>
        <w:tc>
          <w:tcPr>
            <w:tcMar>
              <w:top w:w="70" w:type="dxa"/>
              <w:left w:w="90" w:type="dxa"/>
              <w:bottom w:w="70" w:type="dxa"/>
              <w:right w:w="90" w:type="dxa"/>
            </w:tcMar>
          </w:tcPr>
          <w:p>
            <w:pPr>
              <w:spacing w:after="0"/>
            </w:pPr>
            <w:r>
              <w:rPr>
                <w:sz w:val="17"/>
                <w:szCs w:val="17"/>
              </w:rPr>
              <w:t xml:space="preserve">Review a change, request an adjustment, and save a final version.</w:t>
            </w:r>
          </w:p>
        </w:tc>
        <w:tc>
          <w:tcPr>
            <w:tcMar>
              <w:top w:w="70" w:type="dxa"/>
              <w:left w:w="90" w:type="dxa"/>
              <w:bottom w:w="70" w:type="dxa"/>
              <w:right w:w="90" w:type="dxa"/>
            </w:tcMar>
          </w:tcPr>
          <w:p>
            <w:pPr>
              <w:spacing w:after="0"/>
            </w:pPr>
            <w:r>
              <w:rPr>
                <w:sz w:val="17"/>
                <w:szCs w:val="17"/>
              </w:rPr>
              <w:t xml:space="preserve">Lost edits, review time, usability, perceived workload</w:t>
            </w:r>
          </w:p>
        </w:tc>
      </w:tr>
    </w:tbl>
    <w:p>
      <w:pPr>
        <w:pStyle w:val="Heading2"/>
        <w:spacing w:before="100" w:after="80"/>
      </w:pPr>
      <w:r>
        <w:rPr>
          <w:sz w:val="21"/>
          <w:szCs w:val="21"/>
        </w:rPr>
        <w:t xml:space="preserve">7.3 Participants and procedure</w:t>
      </w:r>
    </w:p>
    <w:p>
      <w:pPr>
        <w:pStyle w:val="Normal"/>
      </w:pPr>
      <w:r>
        <w:rPr>
          <w:sz w:val="21"/>
          <w:szCs w:val="21"/>
        </w:rPr>
        <w:t xml:space="preserve">A practical student study would recruit 6–12 pairs, or 12–24 participants. Each pair would receive a short orientation, complete the three tasks under both conditions, and answer a post-condition questionnaire. The study should collect anonymized participant IDs only. If the work is submitted as human-participant research rather than a classroom demonstration, the authors must follow the institution’s approval and consent process before data collection.</w:t>
      </w:r>
    </w:p>
    <w:p>
      <w:pPr>
        <w:pStyle w:val="Heading2"/>
        <w:spacing w:before="100" w:after="80"/>
      </w:pPr>
      <w:r>
        <w:rPr>
          <w:sz w:val="21"/>
          <w:szCs w:val="21"/>
        </w:rPr>
        <w:t xml:space="preserve">7.4 Metrics</w:t>
      </w:r>
    </w:p>
    <w:p>
      <w:pPr>
        <w:pStyle w:val="Normal"/>
        <w:spacing w:after="45"/>
      </w:pPr>
      <w:r>
        <w:rPr>
          <w:b/>
          <w:sz w:val="21"/>
          <w:szCs w:val="21"/>
        </w:rPr>
        <w:t xml:space="preserve">• </w:t>
      </w:r>
      <w:r>
        <w:rPr>
          <w:sz w:val="21"/>
          <w:szCs w:val="21"/>
        </w:rPr>
        <w:t xml:space="preserve">Task completion time and successful completion rate.</w:t>
      </w:r>
    </w:p>
    <w:p>
      <w:pPr>
        <w:pStyle w:val="Normal"/>
        <w:spacing w:after="45"/>
      </w:pPr>
      <w:r>
        <w:rPr>
          <w:b/>
          <w:sz w:val="21"/>
          <w:szCs w:val="21"/>
        </w:rPr>
        <w:t xml:space="preserve">• </w:t>
      </w:r>
      <w:r>
        <w:rPr>
          <w:sz w:val="21"/>
          <w:szCs w:val="21"/>
        </w:rPr>
        <w:t xml:space="preserve">Number of application or tool switches, coordination messages, and clarification requests.</w:t>
      </w:r>
    </w:p>
    <w:p>
      <w:pPr>
        <w:pStyle w:val="Normal"/>
        <w:spacing w:after="45"/>
      </w:pPr>
      <w:r>
        <w:rPr>
          <w:b/>
          <w:sz w:val="21"/>
          <w:szCs w:val="21"/>
        </w:rPr>
        <w:t xml:space="preserve">• </w:t>
      </w:r>
      <w:r>
        <w:rPr>
          <w:sz w:val="21"/>
          <w:szCs w:val="21"/>
        </w:rPr>
        <w:t xml:space="preserve">Lost-edit incidents, execution failures, and time to recover from an error.</w:t>
      </w:r>
    </w:p>
    <w:p>
      <w:pPr>
        <w:pStyle w:val="Normal"/>
        <w:spacing w:after="45"/>
      </w:pPr>
      <w:r>
        <w:rPr>
          <w:b/>
          <w:sz w:val="21"/>
          <w:szCs w:val="21"/>
        </w:rPr>
        <w:t xml:space="preserve">• </w:t>
      </w:r>
      <w:r>
        <w:rPr>
          <w:sz w:val="21"/>
          <w:szCs w:val="21"/>
        </w:rPr>
        <w:t xml:space="preserve">System Usability Scale or UMUX-Lite score and a short workload measure such as NASA-TLX.</w:t>
      </w:r>
    </w:p>
    <w:p>
      <w:pPr>
        <w:pStyle w:val="Normal"/>
        <w:spacing w:after="45"/>
      </w:pPr>
      <w:r>
        <w:rPr>
          <w:b/>
          <w:sz w:val="21"/>
          <w:szCs w:val="21"/>
        </w:rPr>
        <w:t xml:space="preserve">• </w:t>
      </w:r>
      <w:r>
        <w:rPr>
          <w:sz w:val="21"/>
          <w:szCs w:val="21"/>
        </w:rPr>
        <w:t xml:space="preserve">Qualitative themes from a short post-task interview, coded by two independent reviewers where possible.</w:t>
      </w:r>
    </w:p>
    <w:p>
      <w:pPr>
        <w:pStyle w:val="Heading2"/>
        <w:spacing w:before="100" w:after="80"/>
      </w:pPr>
      <w:r>
        <w:rPr>
          <w:sz w:val="21"/>
          <w:szCs w:val="21"/>
        </w:rPr>
        <w:t xml:space="preserve">7.5 Fault-injection protocol</w:t>
      </w:r>
    </w:p>
    <w:p>
      <w:pPr>
        <w:pStyle w:val="Normal"/>
      </w:pPr>
      <w:r>
        <w:rPr>
          <w:sz w:val="21"/>
          <w:szCs w:val="21"/>
        </w:rPr>
        <w:t xml:space="preserve">Delay save responses by 500 ms, 2 s, and 5 s; switch files while updates are queued; disconnect and reconnect one browser; submit forged identifiers; test each role against each action; run infinite loops and high-output programs; disable Docker; and inspect temporary directory and container cleanup after timeouts. Record expected invariants and sanitized evidence for each scenario.</w:t>
      </w:r>
    </w:p>
    <w:p>
      <w:r>
        <w:br w:type="page"/>
      </w:r>
    </w:p>
    <w:p>
      <w:pPr>
        <w:pStyle w:val="Heading1"/>
        <w:spacing w:before="180" w:after="80"/>
      </w:pPr>
      <w:r>
        <w:rPr>
          <w:sz w:val="21"/>
          <w:szCs w:val="21"/>
        </w:rPr>
        <w:t xml:space="preserve">8. Preliminary Verification and Analysis Plan</w:t>
      </w:r>
    </w:p>
    <w:p>
      <w:pPr>
        <w:pStyle w:val="Heading2"/>
        <w:spacing w:before="100" w:after="80"/>
      </w:pPr>
      <w:r>
        <w:rPr>
          <w:sz w:val="21"/>
          <w:szCs w:val="21"/>
        </w:rPr>
        <w:t xml:space="preserve">8.1 Current engineering evidence</w:t>
      </w:r>
    </w:p>
    <w:tbl>
      <w:tblPr>
        <w:tblStyle w:val="TableGrid"/>
        <w:tblW w:w="0" w:type="auto"/>
      </w:tblPr>
      <w:tblGrid>
        <w:gridCol w:w="3000"/>
        <w:gridCol w:w="2800"/>
        <w:gridCol w:w="4200"/>
      </w:tblGrid>
      <w:tr>
        <w:tc>
          <w:tcPr>
            <w:tcMar>
              <w:top w:w="70" w:type="dxa"/>
              <w:left w:w="90" w:type="dxa"/>
              <w:bottom w:w="70" w:type="dxa"/>
              <w:right w:w="90" w:type="dxa"/>
            </w:tcMar>
          </w:tcPr>
          <w:shd w:fill="173A2C"/>
          <w:p>
            <w:pPr>
              <w:spacing w:after="0"/>
            </w:pPr>
            <w:r>
              <w:rPr>
                <w:b/>
                <w:sz w:val="17"/>
                <w:szCs w:val="17"/>
                <w:color w:val="FFFFFF"/>
              </w:rPr>
              <w:t xml:space="preserve">Check</w:t>
            </w:r>
          </w:p>
        </w:tc>
        <w:tc>
          <w:tcPr>
            <w:tcMar>
              <w:top w:w="70" w:type="dxa"/>
              <w:left w:w="90" w:type="dxa"/>
              <w:bottom w:w="70" w:type="dxa"/>
              <w:right w:w="90" w:type="dxa"/>
            </w:tcMar>
          </w:tcPr>
          <w:shd w:fill="173A2C"/>
          <w:p>
            <w:pPr>
              <w:spacing w:after="0"/>
            </w:pPr>
            <w:r>
              <w:rPr>
                <w:b/>
                <w:sz w:val="17"/>
                <w:szCs w:val="17"/>
                <w:color w:val="FFFFFF"/>
              </w:rPr>
              <w:t xml:space="preserve">Observed result</w:t>
            </w:r>
          </w:p>
        </w:tc>
        <w:tc>
          <w:tcPr>
            <w:tcMar>
              <w:top w:w="70" w:type="dxa"/>
              <w:left w:w="90" w:type="dxa"/>
              <w:bottom w:w="70" w:type="dxa"/>
              <w:right w:w="90" w:type="dxa"/>
            </w:tcMar>
          </w:tcPr>
          <w:shd w:fill="173A2C"/>
          <w:p>
            <w:pPr>
              <w:spacing w:after="0"/>
            </w:pPr>
            <w:r>
              <w:rPr>
                <w:b/>
                <w:sz w:val="17"/>
                <w:szCs w:val="17"/>
                <w:color w:val="FFFFFF"/>
              </w:rPr>
              <w:t xml:space="preserve">Interpretation</w:t>
            </w:r>
          </w:p>
        </w:tc>
      </w:tr>
      <w:tr>
        <w:tc>
          <w:tcPr>
            <w:tcMar>
              <w:top w:w="70" w:type="dxa"/>
              <w:left w:w="90" w:type="dxa"/>
              <w:bottom w:w="70" w:type="dxa"/>
              <w:right w:w="90" w:type="dxa"/>
            </w:tcMar>
          </w:tcPr>
          <w:p>
            <w:pPr>
              <w:spacing w:after="0"/>
            </w:pPr>
            <w:r>
              <w:rPr>
                <w:sz w:val="17"/>
                <w:szCs w:val="17"/>
              </w:rPr>
              <w:t xml:space="preserve">Backend regression suite</w:t>
            </w:r>
          </w:p>
        </w:tc>
        <w:tc>
          <w:tcPr>
            <w:tcMar>
              <w:top w:w="70" w:type="dxa"/>
              <w:left w:w="90" w:type="dxa"/>
              <w:bottom w:w="70" w:type="dxa"/>
              <w:right w:w="90" w:type="dxa"/>
            </w:tcMar>
          </w:tcPr>
          <w:p>
            <w:pPr>
              <w:spacing w:after="0"/>
            </w:pPr>
            <w:r>
              <w:rPr>
                <w:sz w:val="17"/>
                <w:szCs w:val="17"/>
              </w:rPr>
              <w:t xml:space="preserve">18 passing tests</w:t>
            </w:r>
          </w:p>
        </w:tc>
        <w:tc>
          <w:tcPr>
            <w:tcMar>
              <w:top w:w="70" w:type="dxa"/>
              <w:left w:w="90" w:type="dxa"/>
              <w:bottom w:w="70" w:type="dxa"/>
              <w:right w:w="90" w:type="dxa"/>
            </w:tcMar>
          </w:tcPr>
          <w:p>
            <w:pPr>
              <w:spacing w:after="0"/>
            </w:pPr>
            <w:r>
              <w:rPr>
                <w:sz w:val="17"/>
                <w:szCs w:val="17"/>
              </w:rPr>
              <w:t xml:space="preserve">Deterministic server safeguards and helpers pass.</w:t>
            </w:r>
          </w:p>
        </w:tc>
      </w:tr>
      <w:tr>
        <w:tc>
          <w:tcPr>
            <w:tcMar>
              <w:top w:w="70" w:type="dxa"/>
              <w:left w:w="90" w:type="dxa"/>
              <w:bottom w:w="70" w:type="dxa"/>
              <w:right w:w="90" w:type="dxa"/>
            </w:tcMar>
          </w:tcPr>
          <w:p>
            <w:pPr>
              <w:spacing w:after="0"/>
            </w:pPr>
            <w:r>
              <w:rPr>
                <w:sz w:val="17"/>
                <w:szCs w:val="17"/>
              </w:rPr>
              <w:t xml:space="preserve">Frontend regression suite</w:t>
            </w:r>
          </w:p>
        </w:tc>
        <w:tc>
          <w:tcPr>
            <w:tcMar>
              <w:top w:w="70" w:type="dxa"/>
              <w:left w:w="90" w:type="dxa"/>
              <w:bottom w:w="70" w:type="dxa"/>
              <w:right w:w="90" w:type="dxa"/>
            </w:tcMar>
          </w:tcPr>
          <w:p>
            <w:pPr>
              <w:spacing w:after="0"/>
            </w:pPr>
            <w:r>
              <w:rPr>
                <w:sz w:val="17"/>
                <w:szCs w:val="17"/>
              </w:rPr>
              <w:t xml:space="preserve">36 passing tests</w:t>
            </w:r>
          </w:p>
        </w:tc>
        <w:tc>
          <w:tcPr>
            <w:tcMar>
              <w:top w:w="70" w:type="dxa"/>
              <w:left w:w="90" w:type="dxa"/>
              <w:bottom w:w="70" w:type="dxa"/>
              <w:right w:w="90" w:type="dxa"/>
            </w:tcMar>
          </w:tcPr>
          <w:p>
            <w:pPr>
              <w:spacing w:after="0"/>
            </w:pPr>
            <w:r>
              <w:rPr>
                <w:sz w:val="17"/>
                <w:szCs w:val="17"/>
              </w:rPr>
              <w:t xml:space="preserve">Store, AI panel, room, and terminal behavior covered at component level.</w:t>
            </w:r>
          </w:p>
        </w:tc>
      </w:tr>
      <w:tr>
        <w:tc>
          <w:tcPr>
            <w:tcMar>
              <w:top w:w="70" w:type="dxa"/>
              <w:left w:w="90" w:type="dxa"/>
              <w:bottom w:w="70" w:type="dxa"/>
              <w:right w:w="90" w:type="dxa"/>
            </w:tcMar>
          </w:tcPr>
          <w:p>
            <w:pPr>
              <w:spacing w:after="0"/>
            </w:pPr>
            <w:r>
              <w:rPr>
                <w:sz w:val="17"/>
                <w:szCs w:val="17"/>
              </w:rPr>
              <w:t xml:space="preserve">Client build</w:t>
            </w:r>
          </w:p>
        </w:tc>
        <w:tc>
          <w:tcPr>
            <w:tcMar>
              <w:top w:w="70" w:type="dxa"/>
              <w:left w:w="90" w:type="dxa"/>
              <w:bottom w:w="70" w:type="dxa"/>
              <w:right w:w="90" w:type="dxa"/>
            </w:tcMar>
          </w:tcPr>
          <w:p>
            <w:pPr>
              <w:spacing w:after="0"/>
            </w:pPr>
            <w:r>
              <w:rPr>
                <w:sz w:val="17"/>
                <w:szCs w:val="17"/>
              </w:rPr>
              <w:t xml:space="preserve">Production build passed</w:t>
            </w:r>
          </w:p>
        </w:tc>
        <w:tc>
          <w:tcPr>
            <w:tcMar>
              <w:top w:w="70" w:type="dxa"/>
              <w:left w:w="90" w:type="dxa"/>
              <w:bottom w:w="70" w:type="dxa"/>
              <w:right w:w="90" w:type="dxa"/>
            </w:tcMar>
          </w:tcPr>
          <w:p>
            <w:pPr>
              <w:spacing w:after="0"/>
            </w:pPr>
            <w:r>
              <w:rPr>
                <w:sz w:val="17"/>
                <w:szCs w:val="17"/>
              </w:rPr>
              <w:t xml:space="preserve">Bundle generated; known size and Browserslist warnings remain.</w:t>
            </w:r>
          </w:p>
        </w:tc>
      </w:tr>
      <w:tr>
        <w:tc>
          <w:tcPr>
            <w:tcMar>
              <w:top w:w="70" w:type="dxa"/>
              <w:left w:w="90" w:type="dxa"/>
              <w:bottom w:w="70" w:type="dxa"/>
              <w:right w:w="90" w:type="dxa"/>
            </w:tcMar>
          </w:tcPr>
          <w:p>
            <w:pPr>
              <w:spacing w:after="0"/>
            </w:pPr>
            <w:r>
              <w:rPr>
                <w:sz w:val="17"/>
                <w:szCs w:val="17"/>
              </w:rPr>
              <w:t xml:space="preserve">API smoke checks</w:t>
            </w:r>
          </w:p>
        </w:tc>
        <w:tc>
          <w:tcPr>
            <w:tcMar>
              <w:top w:w="70" w:type="dxa"/>
              <w:left w:w="90" w:type="dxa"/>
              <w:bottom w:w="70" w:type="dxa"/>
              <w:right w:w="90" w:type="dxa"/>
            </w:tcMar>
          </w:tcPr>
          <w:p>
            <w:pPr>
              <w:spacing w:after="0"/>
            </w:pPr>
            <w:r>
              <w:rPr>
                <w:sz w:val="17"/>
                <w:szCs w:val="17"/>
              </w:rPr>
              <w:t xml:space="preserve">Health 200; protected routes 401; unknown route 404</w:t>
            </w:r>
          </w:p>
        </w:tc>
        <w:tc>
          <w:tcPr>
            <w:tcMar>
              <w:top w:w="70" w:type="dxa"/>
              <w:left w:w="90" w:type="dxa"/>
              <w:bottom w:w="70" w:type="dxa"/>
              <w:right w:w="90" w:type="dxa"/>
            </w:tcMar>
          </w:tcPr>
          <w:p>
            <w:pPr>
              <w:spacing w:after="0"/>
            </w:pPr>
            <w:r>
              <w:rPr>
                <w:sz w:val="17"/>
                <w:szCs w:val="17"/>
              </w:rPr>
              <w:t xml:space="preserve">Basic server routing and auth boundary respond as expected.</w:t>
            </w:r>
          </w:p>
        </w:tc>
      </w:tr>
      <w:tr>
        <w:tc>
          <w:tcPr>
            <w:tcMar>
              <w:top w:w="70" w:type="dxa"/>
              <w:left w:w="90" w:type="dxa"/>
              <w:bottom w:w="70" w:type="dxa"/>
              <w:right w:w="90" w:type="dxa"/>
            </w:tcMar>
          </w:tcPr>
          <w:p>
            <w:pPr>
              <w:spacing w:after="0"/>
            </w:pPr>
            <w:r>
              <w:rPr>
                <w:sz w:val="17"/>
                <w:szCs w:val="17"/>
              </w:rPr>
              <w:t xml:space="preserve">Fresh MongoDB check</w:t>
            </w:r>
          </w:p>
        </w:tc>
        <w:tc>
          <w:tcPr>
            <w:tcMar>
              <w:top w:w="70" w:type="dxa"/>
              <w:left w:w="90" w:type="dxa"/>
              <w:bottom w:w="70" w:type="dxa"/>
              <w:right w:w="90" w:type="dxa"/>
            </w:tcMar>
          </w:tcPr>
          <w:p>
            <w:pPr>
              <w:spacing w:after="0"/>
            </w:pPr>
            <w:r>
              <w:rPr>
                <w:sz w:val="17"/>
                <w:szCs w:val="17"/>
              </w:rPr>
              <w:t xml:space="preserve">Namespace/index/backfill check passed</w:t>
            </w:r>
          </w:p>
        </w:tc>
        <w:tc>
          <w:tcPr>
            <w:tcMar>
              <w:top w:w="70" w:type="dxa"/>
              <w:left w:w="90" w:type="dxa"/>
              <w:bottom w:w="70" w:type="dxa"/>
              <w:right w:w="90" w:type="dxa"/>
            </w:tcMar>
          </w:tcPr>
          <w:p>
            <w:pPr>
              <w:spacing w:after="0"/>
            </w:pPr>
            <w:r>
              <w:rPr>
                <w:sz w:val="17"/>
                <w:szCs w:val="17"/>
              </w:rPr>
              <w:t xml:space="preserve">Fresh collection initialization is reproducible in the isolated test database.</w:t>
            </w:r>
          </w:p>
        </w:tc>
      </w:tr>
    </w:tbl>
    <w:p>
      <w:pPr>
        <w:pStyle w:val="Normal"/>
      </w:pPr>
      <w:r>
        <w:rPr>
          <w:sz w:val="21"/>
          <w:szCs w:val="21"/>
        </w:rPr>
        <w:t xml:space="preserve">These results are preliminary engineering evidence, not a human-study result and not proof of complete end-to-end correctness. The current automated tests mock APIs, sockets, Monaco, media components, and external providers. They do not replace a two-browser collaboration run or a live GitHub, WebRTC, Docker, or Gemini integration test.</w:t>
      </w:r>
    </w:p>
    <w:p>
      <w:pPr>
        <w:pStyle w:val="Heading2"/>
        <w:spacing w:before="100" w:after="80"/>
      </w:pPr>
      <w:r>
        <w:rPr>
          <w:sz w:val="21"/>
          <w:szCs w:val="21"/>
        </w:rPr>
        <w:t xml:space="preserve">8.2 Planned statistical analysis</w:t>
      </w:r>
    </w:p>
    <w:p>
      <w:pPr>
        <w:pStyle w:val="Normal"/>
      </w:pPr>
      <w:r>
        <w:rPr>
          <w:sz w:val="21"/>
          <w:szCs w:val="21"/>
        </w:rPr>
        <w:t xml:space="preserve">For each task, report median and interquartile range when the sample is small or skewed, together with completion counts and confidence intervals. Compare CodeSync and baseline conditions using paired differences because the same pair completes both conditions. Treat the study as exploratory unless the sample size and analysis plan justify inferential claims. Report order effects and missing observations.</w:t>
      </w:r>
    </w:p>
    <w:p>
      <w:pPr>
        <w:pStyle w:val="Heading2"/>
        <w:spacing w:before="100" w:after="80"/>
      </w:pPr>
      <w:r>
        <w:rPr>
          <w:sz w:val="21"/>
          <w:szCs w:val="21"/>
        </w:rPr>
        <w:t xml:space="preserve">8.3 Expected qualitative analysis</w:t>
      </w:r>
    </w:p>
    <w:p>
      <w:pPr>
        <w:pStyle w:val="Normal"/>
      </w:pPr>
      <w:r>
        <w:rPr>
          <w:sz w:val="21"/>
          <w:szCs w:val="21"/>
        </w:rPr>
        <w:t xml:space="preserve">Interview and observation notes should be coded into themes such as context switching, visibility of collaborator state, trust in save status, execution confidence, permission clarity, and recovery from failure. Include representative anonymized quotations only with consent. Explain disagreements between coders and keep the coding guide with the reproducibility materials.</w:t>
      </w:r>
    </w:p>
    <w:p>
      <w:pPr>
        <w:pStyle w:val="Heading2"/>
        <w:spacing w:before="100" w:after="80"/>
      </w:pPr>
      <w:r>
        <w:rPr>
          <w:sz w:val="21"/>
          <w:szCs w:val="21"/>
        </w:rPr>
        <w:t xml:space="preserve">8.4 Results placeholders</w:t>
      </w:r>
    </w:p>
    <w:p>
      <w:pPr>
        <w:pStyle w:val="Normal"/>
        <w:spacing w:after="45"/>
      </w:pPr>
      <w:r>
        <w:rPr>
          <w:b/>
          <w:sz w:val="21"/>
          <w:szCs w:val="21"/>
        </w:rPr>
        <w:t xml:space="preserve">• </w:t>
      </w:r>
      <w:r>
        <w:rPr>
          <w:sz w:val="21"/>
          <w:szCs w:val="21"/>
        </w:rPr>
        <w:t xml:space="preserve">[TODO: Insert participant count and demographics that do not identify individuals.]</w:t>
      </w:r>
    </w:p>
    <w:p>
      <w:pPr>
        <w:pStyle w:val="Normal"/>
        <w:spacing w:after="45"/>
      </w:pPr>
      <w:r>
        <w:rPr>
          <w:b/>
          <w:sz w:val="21"/>
          <w:szCs w:val="21"/>
        </w:rPr>
        <w:t xml:space="preserve">• </w:t>
      </w:r>
      <w:r>
        <w:rPr>
          <w:sz w:val="21"/>
          <w:szCs w:val="21"/>
        </w:rPr>
        <w:t xml:space="preserve">[TODO: Insert task-level completion time, completion rate, tool-switch count, and lost-edit incidents.]</w:t>
      </w:r>
    </w:p>
    <w:p>
      <w:pPr>
        <w:pStyle w:val="Normal"/>
        <w:spacing w:after="45"/>
      </w:pPr>
      <w:r>
        <w:rPr>
          <w:b/>
          <w:sz w:val="21"/>
          <w:szCs w:val="21"/>
        </w:rPr>
        <w:t xml:space="preserve">• </w:t>
      </w:r>
      <w:r>
        <w:rPr>
          <w:sz w:val="21"/>
          <w:szCs w:val="21"/>
        </w:rPr>
        <w:t xml:space="preserve">[TODO: Insert usability and workload scores with the instrument version.]</w:t>
      </w:r>
    </w:p>
    <w:p>
      <w:pPr>
        <w:pStyle w:val="Normal"/>
        <w:spacing w:after="45"/>
      </w:pPr>
      <w:r>
        <w:rPr>
          <w:b/>
          <w:sz w:val="21"/>
          <w:szCs w:val="21"/>
        </w:rPr>
        <w:t xml:space="preserve">• </w:t>
      </w:r>
      <w:r>
        <w:rPr>
          <w:sz w:val="21"/>
          <w:szCs w:val="21"/>
        </w:rPr>
        <w:t xml:space="preserve">[TODO: Insert live integration results for Docker, GitHub, WebRTC, AI, and two-browser collaboration.]</w:t>
      </w:r>
    </w:p>
    <w:p>
      <w:pPr>
        <w:pStyle w:val="Normal"/>
        <w:spacing w:after="45"/>
      </w:pPr>
      <w:r>
        <w:rPr>
          <w:b/>
          <w:sz w:val="21"/>
          <w:szCs w:val="21"/>
        </w:rPr>
        <w:t xml:space="preserve">• </w:t>
      </w:r>
      <w:r>
        <w:rPr>
          <w:sz w:val="21"/>
          <w:szCs w:val="21"/>
        </w:rPr>
        <w:t xml:space="preserve">[TODO: Replace all placeholders before submission; never infer results from source inspection alone.]</w:t>
      </w:r>
    </w:p>
    <w:p>
      <w:r>
        <w:br w:type="page"/>
      </w:r>
    </w:p>
    <w:p>
      <w:pPr>
        <w:pStyle w:val="Heading1"/>
        <w:spacing w:before="180" w:after="80"/>
      </w:pPr>
      <w:r>
        <w:rPr>
          <w:sz w:val="21"/>
          <w:szCs w:val="21"/>
        </w:rPr>
        <w:t xml:space="preserve">9. Discussion, Limitations, and Conclusion</w:t>
      </w:r>
    </w:p>
    <w:p>
      <w:pPr>
        <w:pStyle w:val="Heading2"/>
        <w:spacing w:before="100" w:after="80"/>
      </w:pPr>
      <w:r>
        <w:rPr>
          <w:sz w:val="21"/>
          <w:szCs w:val="21"/>
        </w:rPr>
        <w:t xml:space="preserve">9.1 Discussion</w:t>
      </w:r>
    </w:p>
    <w:p>
      <w:pPr>
        <w:pStyle w:val="Normal"/>
      </w:pPr>
      <w:r>
        <w:rPr>
          <w:sz w:val="21"/>
          <w:szCs w:val="21"/>
        </w:rPr>
        <w:t xml:space="preserve">The expected value of CodeSync is workflow integration. Participants can see the same room state, discuss decisions near the editor, execute code through a bounded interface, and preserve project files without manually coordinating several applications. The engineering safeguards are most valuable where asynchronous UI behavior can otherwise produce silent data loss.</w:t>
      </w:r>
    </w:p>
    <w:p>
      <w:pPr>
        <w:pStyle w:val="Normal"/>
      </w:pPr>
      <w:r>
        <w:rPr>
          <w:sz w:val="21"/>
          <w:szCs w:val="21"/>
        </w:rPr>
        <w:t xml:space="preserve">The project also demonstrates why feature integration must be accompanied by explicit boundaries. A chat panel, GitHub button, or execution terminal can appear complete while its underlying permission, failure, and persistence semantics remain untested. This paper treats those semantics as first-class evaluation targets.</w:t>
      </w:r>
    </w:p>
    <w:p>
      <w:pPr>
        <w:pStyle w:val="Heading2"/>
        <w:spacing w:before="100" w:after="80"/>
      </w:pPr>
      <w:r>
        <w:rPr>
          <w:sz w:val="21"/>
          <w:szCs w:val="21"/>
        </w:rPr>
        <w:t xml:space="preserve">9.2 Limitations and threats to validity</w:t>
      </w:r>
    </w:p>
    <w:p>
      <w:pPr>
        <w:pStyle w:val="Normal"/>
        <w:spacing w:after="45"/>
      </w:pPr>
      <w:r>
        <w:rPr>
          <w:b/>
          <w:sz w:val="21"/>
          <w:szCs w:val="21"/>
        </w:rPr>
        <w:t xml:space="preserve">• </w:t>
      </w:r>
      <w:r>
        <w:rPr>
          <w:sz w:val="21"/>
          <w:szCs w:val="21"/>
        </w:rPr>
        <w:t xml:space="preserve">Internal validity: learning effects may influence the counterbalanced user study.</w:t>
      </w:r>
    </w:p>
    <w:p>
      <w:pPr>
        <w:pStyle w:val="Normal"/>
        <w:spacing w:after="45"/>
      </w:pPr>
      <w:r>
        <w:rPr>
          <w:b/>
          <w:sz w:val="21"/>
          <w:szCs w:val="21"/>
        </w:rPr>
        <w:t xml:space="preserve">• </w:t>
      </w:r>
      <w:r>
        <w:rPr>
          <w:sz w:val="21"/>
          <w:szCs w:val="21"/>
        </w:rPr>
        <w:t xml:space="preserve">External validity: a small student sample may not represent professional teams or classrooms.</w:t>
      </w:r>
    </w:p>
    <w:p>
      <w:pPr>
        <w:pStyle w:val="Normal"/>
        <w:spacing w:after="45"/>
      </w:pPr>
      <w:r>
        <w:rPr>
          <w:b/>
          <w:sz w:val="21"/>
          <w:szCs w:val="21"/>
        </w:rPr>
        <w:t xml:space="preserve">• </w:t>
      </w:r>
      <w:r>
        <w:rPr>
          <w:sz w:val="21"/>
          <w:szCs w:val="21"/>
        </w:rPr>
        <w:t xml:space="preserve">Measurement validity: tool-switch counts and coordination failures require consistent coding rules.</w:t>
      </w:r>
    </w:p>
    <w:p>
      <w:pPr>
        <w:pStyle w:val="Normal"/>
        <w:spacing w:after="45"/>
      </w:pPr>
      <w:r>
        <w:rPr>
          <w:b/>
          <w:sz w:val="21"/>
          <w:szCs w:val="21"/>
        </w:rPr>
        <w:t xml:space="preserve">• </w:t>
      </w:r>
      <w:r>
        <w:rPr>
          <w:sz w:val="21"/>
          <w:szCs w:val="21"/>
        </w:rPr>
        <w:t xml:space="preserve">System validity: mocked provider, socket, Monaco, and media tests do not prove live integration.</w:t>
      </w:r>
    </w:p>
    <w:p>
      <w:pPr>
        <w:pStyle w:val="Normal"/>
        <w:spacing w:after="45"/>
      </w:pPr>
      <w:r>
        <w:rPr>
          <w:b/>
          <w:sz w:val="21"/>
          <w:szCs w:val="21"/>
        </w:rPr>
        <w:t xml:space="preserve">• </w:t>
      </w:r>
      <w:r>
        <w:rPr>
          <w:sz w:val="21"/>
          <w:szCs w:val="21"/>
        </w:rPr>
        <w:t xml:space="preserve">Security validity: resource flags are not a complete container escape analysis.</w:t>
      </w:r>
    </w:p>
    <w:p>
      <w:pPr>
        <w:pStyle w:val="Normal"/>
        <w:spacing w:after="45"/>
      </w:pPr>
      <w:r>
        <w:rPr>
          <w:b/>
          <w:sz w:val="21"/>
          <w:szCs w:val="21"/>
        </w:rPr>
        <w:t xml:space="preserve">• </w:t>
      </w:r>
      <w:r>
        <w:rPr>
          <w:sz w:val="21"/>
          <w:szCs w:val="21"/>
        </w:rPr>
        <w:t xml:space="preserve">Collaboration validity: whole-file updates do not provide CRDT or OT convergence guarantees.</w:t>
      </w:r>
    </w:p>
    <w:p>
      <w:pPr>
        <w:pStyle w:val="Heading2"/>
        <w:spacing w:before="100" w:after="80"/>
      </w:pPr>
      <w:r>
        <w:rPr>
          <w:sz w:val="21"/>
          <w:szCs w:val="21"/>
        </w:rPr>
        <w:t xml:space="preserve">9.3 Future work</w:t>
      </w:r>
    </w:p>
    <w:p>
      <w:pPr>
        <w:pStyle w:val="Normal"/>
      </w:pPr>
      <w:r>
        <w:rPr>
          <w:sz w:val="21"/>
          <w:szCs w:val="21"/>
        </w:rPr>
        <w:t xml:space="preserve">The highest-value future work is a collaboration protocol with explicit revisions or a maintained CRDT/OT provider, followed by a two-to-five-client convergence test. Additional work should add TURN configuration for difficult WebRTC networks, complete Docker cleanup and concurrency tests, improve recent-chat pagination, add live integration tests for GitHub and AI providers, and strengthen the repository’s static analysis pipeline.</w:t>
      </w:r>
    </w:p>
    <w:p>
      <w:pPr>
        <w:pStyle w:val="Heading2"/>
        <w:spacing w:before="100" w:after="80"/>
      </w:pPr>
      <w:r>
        <w:rPr>
          <w:sz w:val="21"/>
          <w:szCs w:val="21"/>
        </w:rPr>
        <w:t xml:space="preserve">9.4 Conclusion</w:t>
      </w:r>
    </w:p>
    <w:p>
      <w:pPr>
        <w:pStyle w:val="Normal"/>
      </w:pPr>
      <w:r>
        <w:rPr>
          <w:sz w:val="21"/>
          <w:szCs w:val="21"/>
        </w:rPr>
        <w:t xml:space="preserve">CodeSync is an engineering prototype for authenticated, browser-based collaborative coding. Its contribution is a reproducible integration of editing, presence, communication, persistence, bounded execution, and source-control workflows, together with safeguards for common asynchronous client and authorization failures. The next step is not to claim universal reliability; it is to complete the live integration and student-study evaluation required to determine where the design succeeds and where its whole-file collaboration model remains insufficient.</w:t>
      </w:r>
    </w:p>
    <w:p>
      <w:pPr>
        <w:pStyle w:val="Heading1"/>
        <w:spacing w:before="180" w:after="80"/>
      </w:pPr>
      <w:r>
        <w:rPr>
          <w:sz w:val="21"/>
          <w:szCs w:val="21"/>
        </w:rPr>
        <w:t xml:space="preserve">10. Reproducibility, References, and Submission Checklist</w:t>
      </w:r>
    </w:p>
    <w:p>
      <w:pPr>
        <w:pStyle w:val="Heading2"/>
        <w:spacing w:before="100" w:after="80"/>
      </w:pPr>
      <w:r>
        <w:rPr>
          <w:sz w:val="21"/>
          <w:szCs w:val="21"/>
        </w:rPr>
        <w:t xml:space="preserve">10.1 Reproducibility package</w:t>
      </w:r>
    </w:p>
    <w:p>
      <w:pPr>
        <w:pStyle w:val="Normal"/>
        <w:spacing w:after="45"/>
      </w:pPr>
      <w:r>
        <w:rPr>
          <w:b/>
          <w:sz w:val="21"/>
          <w:szCs w:val="21"/>
        </w:rPr>
        <w:t xml:space="preserve">• </w:t>
      </w:r>
      <w:r>
        <w:rPr>
          <w:sz w:val="21"/>
          <w:szCs w:val="21"/>
        </w:rPr>
        <w:t xml:space="preserve">Release an anonymized repository tag or archive with the exact commit used for the paper.</w:t>
      </w:r>
    </w:p>
    <w:p>
      <w:pPr>
        <w:pStyle w:val="Normal"/>
        <w:spacing w:after="45"/>
      </w:pPr>
      <w:r>
        <w:rPr>
          <w:b/>
          <w:sz w:val="21"/>
          <w:szCs w:val="21"/>
        </w:rPr>
        <w:t xml:space="preserve">• </w:t>
      </w:r>
      <w:r>
        <w:rPr>
          <w:sz w:val="21"/>
          <w:szCs w:val="21"/>
        </w:rPr>
        <w:t xml:space="preserve">Include setup instructions, `.env.example` files with placeholders, Docker Compose configuration, and synthetic fixtures.</w:t>
      </w:r>
    </w:p>
    <w:p>
      <w:pPr>
        <w:pStyle w:val="Normal"/>
        <w:spacing w:after="45"/>
      </w:pPr>
      <w:r>
        <w:rPr>
          <w:b/>
          <w:sz w:val="21"/>
          <w:szCs w:val="21"/>
        </w:rPr>
        <w:t xml:space="preserve">• </w:t>
      </w:r>
      <w:r>
        <w:rPr>
          <w:sz w:val="21"/>
          <w:szCs w:val="21"/>
        </w:rPr>
        <w:t xml:space="preserve">Record Node.js, npm, MongoDB, Docker, browser, and operating-system versions.</w:t>
      </w:r>
    </w:p>
    <w:p>
      <w:pPr>
        <w:pStyle w:val="Normal"/>
        <w:spacing w:after="45"/>
      </w:pPr>
      <w:r>
        <w:rPr>
          <w:b/>
          <w:sz w:val="21"/>
          <w:szCs w:val="21"/>
        </w:rPr>
        <w:t xml:space="preserve">• </w:t>
      </w:r>
      <w:r>
        <w:rPr>
          <w:sz w:val="21"/>
          <w:szCs w:val="21"/>
        </w:rPr>
        <w:t xml:space="preserve">Publish sanitized benchmark data, analysis scripts, study instruments, coding guides, and experiment logs.</w:t>
      </w:r>
    </w:p>
    <w:p>
      <w:pPr>
        <w:pStyle w:val="Normal"/>
        <w:spacing w:after="45"/>
      </w:pPr>
      <w:r>
        <w:rPr>
          <w:b/>
          <w:sz w:val="21"/>
          <w:szCs w:val="21"/>
        </w:rPr>
        <w:t xml:space="preserve">• </w:t>
      </w:r>
      <w:r>
        <w:rPr>
          <w:sz w:val="21"/>
          <w:szCs w:val="21"/>
        </w:rPr>
        <w:t xml:space="preserve">Exclude API keys, OAuth secrets, cookies, access tokens, raw voice recordings, and participant identifiers.</w:t>
      </w:r>
    </w:p>
    <w:p>
      <w:pPr>
        <w:pStyle w:val="Heading2"/>
        <w:spacing w:before="100" w:after="80"/>
      </w:pPr>
      <w:r>
        <w:rPr>
          <w:sz w:val="21"/>
          <w:szCs w:val="21"/>
        </w:rPr>
        <w:t xml:space="preserve">10.2 References to complete</w:t>
      </w:r>
    </w:p>
    <w:p>
      <w:pPr>
        <w:pStyle w:val="Normal"/>
      </w:pPr>
      <w:r>
        <w:rPr>
          <w:sz w:val="21"/>
          <w:szCs w:val="21"/>
        </w:rPr>
        <w:t xml:space="preserve">The following reference categories are required before submission. Do not submit the draft with invented or unverified bibliographic details.</w:t>
      </w:r>
    </w:p>
    <w:tbl>
      <w:tblPr>
        <w:tblStyle w:val="TableGrid"/>
        <w:tblW w:w="0" w:type="auto"/>
      </w:tblPr>
      <w:tblGrid>
        <w:gridCol w:w="2600"/>
        <w:gridCol w:w="7400"/>
      </w:tblGrid>
      <w:tr>
        <w:tc>
          <w:tcPr>
            <w:tcMar>
              <w:top w:w="70" w:type="dxa"/>
              <w:left w:w="90" w:type="dxa"/>
              <w:bottom w:w="70" w:type="dxa"/>
              <w:right w:w="90" w:type="dxa"/>
            </w:tcMar>
          </w:tcPr>
          <w:shd w:fill="173A2C"/>
          <w:p>
            <w:pPr>
              <w:spacing w:after="0"/>
            </w:pPr>
            <w:r>
              <w:rPr>
                <w:b/>
                <w:sz w:val="17"/>
                <w:szCs w:val="17"/>
                <w:color w:val="FFFFFF"/>
              </w:rPr>
              <w:t xml:space="preserve">Reference category</w:t>
            </w:r>
          </w:p>
        </w:tc>
        <w:tc>
          <w:tcPr>
            <w:tcMar>
              <w:top w:w="70" w:type="dxa"/>
              <w:left w:w="90" w:type="dxa"/>
              <w:bottom w:w="70" w:type="dxa"/>
              <w:right w:w="90" w:type="dxa"/>
            </w:tcMar>
          </w:tcPr>
          <w:shd w:fill="173A2C"/>
          <w:p>
            <w:pPr>
              <w:spacing w:after="0"/>
            </w:pPr>
            <w:r>
              <w:rPr>
                <w:b/>
                <w:sz w:val="17"/>
                <w:szCs w:val="17"/>
                <w:color w:val="FFFFFF"/>
              </w:rPr>
              <w:t xml:space="preserve">What to add</w:t>
            </w:r>
          </w:p>
        </w:tc>
      </w:tr>
      <w:tr>
        <w:tc>
          <w:tcPr>
            <w:tcMar>
              <w:top w:w="70" w:type="dxa"/>
              <w:left w:w="90" w:type="dxa"/>
              <w:bottom w:w="70" w:type="dxa"/>
              <w:right w:w="90" w:type="dxa"/>
            </w:tcMar>
          </w:tcPr>
          <w:p>
            <w:pPr>
              <w:spacing w:after="0"/>
            </w:pPr>
            <w:r>
              <w:rPr>
                <w:sz w:val="17"/>
                <w:szCs w:val="17"/>
              </w:rPr>
              <w:t xml:space="preserve">Pair programming</w:t>
            </w:r>
          </w:p>
        </w:tc>
        <w:tc>
          <w:tcPr>
            <w:tcMar>
              <w:top w:w="70" w:type="dxa"/>
              <w:left w:w="90" w:type="dxa"/>
              <w:bottom w:w="70" w:type="dxa"/>
              <w:right w:w="90" w:type="dxa"/>
            </w:tcMar>
          </w:tcPr>
          <w:p>
            <w:pPr>
              <w:spacing w:after="0"/>
            </w:pPr>
            <w:r>
              <w:rPr>
                <w:sz w:val="17"/>
                <w:szCs w:val="17"/>
              </w:rPr>
              <w:t xml:space="preserve">Foundational and recent studies on coordination, learning, and productivity.</w:t>
            </w:r>
          </w:p>
        </w:tc>
      </w:tr>
      <w:tr>
        <w:tc>
          <w:tcPr>
            <w:tcMar>
              <w:top w:w="70" w:type="dxa"/>
              <w:left w:w="90" w:type="dxa"/>
              <w:bottom w:w="70" w:type="dxa"/>
              <w:right w:w="90" w:type="dxa"/>
            </w:tcMar>
          </w:tcPr>
          <w:p>
            <w:pPr>
              <w:spacing w:after="0"/>
            </w:pPr>
            <w:r>
              <w:rPr>
                <w:sz w:val="17"/>
                <w:szCs w:val="17"/>
              </w:rPr>
              <w:t xml:space="preserve">Collaborative editing</w:t>
            </w:r>
          </w:p>
        </w:tc>
        <w:tc>
          <w:tcPr>
            <w:tcMar>
              <w:top w:w="70" w:type="dxa"/>
              <w:left w:w="90" w:type="dxa"/>
              <w:bottom w:w="70" w:type="dxa"/>
              <w:right w:w="90" w:type="dxa"/>
            </w:tcMar>
          </w:tcPr>
          <w:p>
            <w:pPr>
              <w:spacing w:after="0"/>
            </w:pPr>
            <w:r>
              <w:rPr>
                <w:sz w:val="17"/>
                <w:szCs w:val="17"/>
              </w:rPr>
              <w:t xml:space="preserve">Operational transformation, CRDTs, distributed cursors, and browser editors.</w:t>
            </w:r>
          </w:p>
        </w:tc>
      </w:tr>
      <w:tr>
        <w:tc>
          <w:tcPr>
            <w:tcMar>
              <w:top w:w="70" w:type="dxa"/>
              <w:left w:w="90" w:type="dxa"/>
              <w:bottom w:w="70" w:type="dxa"/>
              <w:right w:w="90" w:type="dxa"/>
            </w:tcMar>
          </w:tcPr>
          <w:p>
            <w:pPr>
              <w:spacing w:after="0"/>
            </w:pPr>
            <w:r>
              <w:rPr>
                <w:sz w:val="17"/>
                <w:szCs w:val="17"/>
              </w:rPr>
              <w:t xml:space="preserve">Sandboxing</w:t>
            </w:r>
          </w:p>
        </w:tc>
        <w:tc>
          <w:tcPr>
            <w:tcMar>
              <w:top w:w="70" w:type="dxa"/>
              <w:left w:w="90" w:type="dxa"/>
              <w:bottom w:w="70" w:type="dxa"/>
              <w:right w:w="90" w:type="dxa"/>
            </w:tcMar>
          </w:tcPr>
          <w:p>
            <w:pPr>
              <w:spacing w:after="0"/>
            </w:pPr>
            <w:r>
              <w:rPr>
                <w:sz w:val="17"/>
                <w:szCs w:val="17"/>
              </w:rPr>
              <w:t xml:space="preserve">Container isolation, online judges, untrusted-code execution, and threat models.</w:t>
            </w:r>
          </w:p>
        </w:tc>
      </w:tr>
      <w:tr>
        <w:tc>
          <w:tcPr>
            <w:tcMar>
              <w:top w:w="70" w:type="dxa"/>
              <w:left w:w="90" w:type="dxa"/>
              <w:bottom w:w="70" w:type="dxa"/>
              <w:right w:w="90" w:type="dxa"/>
            </w:tcMar>
          </w:tcPr>
          <w:p>
            <w:pPr>
              <w:spacing w:after="0"/>
            </w:pPr>
            <w:r>
              <w:rPr>
                <w:sz w:val="17"/>
                <w:szCs w:val="17"/>
              </w:rPr>
              <w:t xml:space="preserve">Usability</w:t>
            </w:r>
          </w:p>
        </w:tc>
        <w:tc>
          <w:tcPr>
            <w:tcMar>
              <w:top w:w="70" w:type="dxa"/>
              <w:left w:w="90" w:type="dxa"/>
              <w:bottom w:w="70" w:type="dxa"/>
              <w:right w:w="90" w:type="dxa"/>
            </w:tcMar>
          </w:tcPr>
          <w:p>
            <w:pPr>
              <w:spacing w:after="0"/>
            </w:pPr>
            <w:r>
              <w:rPr>
                <w:sz w:val="17"/>
                <w:szCs w:val="17"/>
              </w:rPr>
              <w:t xml:space="preserve">SUS or UMUX-Lite instrument source and any workload instrument source.</w:t>
            </w:r>
          </w:p>
        </w:tc>
      </w:tr>
      <w:tr>
        <w:tc>
          <w:tcPr>
            <w:tcMar>
              <w:top w:w="70" w:type="dxa"/>
              <w:left w:w="90" w:type="dxa"/>
              <w:bottom w:w="70" w:type="dxa"/>
              <w:right w:w="90" w:type="dxa"/>
            </w:tcMar>
          </w:tcPr>
          <w:p>
            <w:pPr>
              <w:spacing w:after="0"/>
            </w:pPr>
            <w:r>
              <w:rPr>
                <w:sz w:val="17"/>
                <w:szCs w:val="17"/>
              </w:rPr>
              <w:t xml:space="preserve">Reproducibility</w:t>
            </w:r>
          </w:p>
        </w:tc>
        <w:tc>
          <w:tcPr>
            <w:tcMar>
              <w:top w:w="70" w:type="dxa"/>
              <w:left w:w="90" w:type="dxa"/>
              <w:bottom w:w="70" w:type="dxa"/>
              <w:right w:w="90" w:type="dxa"/>
            </w:tcMar>
          </w:tcPr>
          <w:p>
            <w:pPr>
              <w:spacing w:after="0"/>
            </w:pPr>
            <w:r>
              <w:rPr>
                <w:sz w:val="17"/>
                <w:szCs w:val="17"/>
              </w:rPr>
              <w:t xml:space="preserve">Software artifact evaluation and reproducible research guidance.</w:t>
            </w:r>
          </w:p>
        </w:tc>
      </w:tr>
      <w:tr>
        <w:tc>
          <w:tcPr>
            <w:tcMar>
              <w:top w:w="70" w:type="dxa"/>
              <w:left w:w="90" w:type="dxa"/>
              <w:bottom w:w="70" w:type="dxa"/>
              <w:right w:w="90" w:type="dxa"/>
            </w:tcMar>
          </w:tcPr>
          <w:p>
            <w:pPr>
              <w:spacing w:after="0"/>
            </w:pPr>
            <w:r>
              <w:rPr>
                <w:sz w:val="17"/>
                <w:szCs w:val="17"/>
              </w:rPr>
              <w:t xml:space="preserve">Education technology</w:t>
            </w:r>
          </w:p>
        </w:tc>
        <w:tc>
          <w:tcPr>
            <w:tcMar>
              <w:top w:w="70" w:type="dxa"/>
              <w:left w:w="90" w:type="dxa"/>
              <w:bottom w:w="70" w:type="dxa"/>
              <w:right w:w="90" w:type="dxa"/>
            </w:tcMar>
          </w:tcPr>
          <w:p>
            <w:pPr>
              <w:spacing w:after="0"/>
            </w:pPr>
            <w:r>
              <w:rPr>
                <w:sz w:val="17"/>
                <w:szCs w:val="17"/>
              </w:rPr>
              <w:t xml:space="preserve">Studies on remote labs, collaborative learning, and coding education.</w:t>
            </w:r>
          </w:p>
        </w:tc>
      </w:tr>
    </w:tbl>
    <w:p>
      <w:pPr>
        <w:pStyle w:val="Heading2"/>
        <w:spacing w:before="100" w:after="80"/>
      </w:pPr>
      <w:r>
        <w:rPr>
          <w:sz w:val="21"/>
          <w:szCs w:val="21"/>
        </w:rPr>
        <w:t xml:space="preserve">10.3 Final pre-submission checklist</w:t>
      </w:r>
    </w:p>
    <w:p>
      <w:pPr>
        <w:pStyle w:val="Normal"/>
        <w:spacing w:after="45"/>
      </w:pPr>
      <w:r>
        <w:rPr>
          <w:b/>
          <w:sz w:val="21"/>
          <w:szCs w:val="21"/>
        </w:rPr>
        <w:t xml:space="preserve">• </w:t>
      </w:r>
      <w:r>
        <w:rPr>
          <w:sz w:val="21"/>
          <w:szCs w:val="21"/>
        </w:rPr>
        <w:t xml:space="preserve">Replace every `[TODO]` field, including authors, affiliations, venue, citations, participant details, and results.</w:t>
      </w:r>
    </w:p>
    <w:p>
      <w:pPr>
        <w:pStyle w:val="Normal"/>
        <w:spacing w:after="45"/>
      </w:pPr>
      <w:r>
        <w:rPr>
          <w:b/>
          <w:sz w:val="21"/>
          <w:szCs w:val="21"/>
        </w:rPr>
        <w:t xml:space="preserve">• </w:t>
      </w:r>
      <w:r>
        <w:rPr>
          <w:sz w:val="21"/>
          <w:szCs w:val="21"/>
        </w:rPr>
        <w:t xml:space="preserve">Apply the exact conference template, page limit, font, margin, anonymization, and reference style.</w:t>
      </w:r>
    </w:p>
    <w:p>
      <w:pPr>
        <w:pStyle w:val="Normal"/>
        <w:spacing w:after="45"/>
      </w:pPr>
      <w:r>
        <w:rPr>
          <w:b/>
          <w:sz w:val="21"/>
          <w:szCs w:val="21"/>
        </w:rPr>
        <w:t xml:space="preserve">• </w:t>
      </w:r>
      <w:r>
        <w:rPr>
          <w:sz w:val="21"/>
          <w:szCs w:val="21"/>
        </w:rPr>
        <w:t xml:space="preserve">Run the full test suite and all live experiments from the released commit.</w:t>
      </w:r>
    </w:p>
    <w:p>
      <w:pPr>
        <w:pStyle w:val="Normal"/>
        <w:spacing w:after="45"/>
      </w:pPr>
      <w:r>
        <w:rPr>
          <w:b/>
          <w:sz w:val="21"/>
          <w:szCs w:val="21"/>
        </w:rPr>
        <w:t xml:space="preserve">• </w:t>
      </w:r>
      <w:r>
        <w:rPr>
          <w:sz w:val="21"/>
          <w:szCs w:val="21"/>
        </w:rPr>
        <w:t xml:space="preserve">Check that every quantitative claim has a recorded measurement and every security claim names its test boundary.</w:t>
      </w:r>
    </w:p>
    <w:p>
      <w:pPr>
        <w:pStyle w:val="Normal"/>
        <w:spacing w:after="45"/>
      </w:pPr>
      <w:r>
        <w:rPr>
          <w:b/>
          <w:sz w:val="21"/>
          <w:szCs w:val="21"/>
        </w:rPr>
        <w:t xml:space="preserve">• </w:t>
      </w:r>
      <w:r>
        <w:rPr>
          <w:sz w:val="21"/>
          <w:szCs w:val="21"/>
        </w:rPr>
        <w:t xml:space="preserve">Obtain supervisor or co-author review, ethics/consent approval where applicable, and a final secret scan.</w:t>
      </w:r>
    </w:p>
    <w:p>
      <w:pPr>
        <w:pStyle w:val="Heading2"/>
        <w:spacing w:before="100" w:after="80"/>
      </w:pPr>
      <w:r>
        <w:rPr>
          <w:sz w:val="21"/>
          <w:szCs w:val="21"/>
        </w:rPr>
        <w:t xml:space="preserve">10.4 Author information</w:t>
      </w:r>
    </w:p>
    <w:p>
      <w:pPr>
        <w:pStyle w:val="Normal"/>
      </w:pPr>
      <w:r>
        <w:rPr>
          <w:sz w:val="21"/>
          <w:szCs w:val="21"/>
        </w:rPr>
        <w:t xml:space="preserve">[TODO: Author names, affiliations, ORCID identifiers if required, corresponding author, funding statement, conflict-of-interest statement, data-availability statement, and acknowledgements.]</w:t>
      </w:r>
    </w:p>
    <w:p>
      <w:pPr>
        <w:pStyle w:val="Normal"/>
        <w:jc w:val="center"/>
        <w:spacing w:before="180" w:after="0"/>
      </w:pPr>
      <w:r>
        <w:rPr>
          <w:sz w:val="21"/>
          <w:szCs w:val="21"/>
        </w:rPr>
        <w:t xml:space="preserve">End of conference manuscript draft.</w:t>
      </w:r>
    </w:p>
    <w:sectPr>
      <w:headerReference w:type="default" r:id="rId1"/>
      <w:footerReference w:type="default" r:id="rId2"/>
      <w:pgSz w:w="12240" w:h="15840"/>
      <w:pgMar w:top="900" w:right="900" w:bottom="850" w:left="900" w:header="450" w:footer="450" w:gutter="0"/>
      <w:cols w:space="360"/>
    </w:sectPr>
  </w:body>
</w:document>
</file>

<file path=word/footer1.xml><?xml version="1.0" encoding="utf-8"?>
<w:ftr xmlns:w="http://schemas.openxmlformats.org/wordprocessingml/2006/main">
  <w:p>
    <w:pPr>
      <w:jc w:val="center"/>
    </w:pPr>
    <w:r>
      <w:rPr>
        <w:sz w:val="16"/>
        <w:szCs w:val="16"/>
        <w:color w:val="6A7D73"/>
      </w:rPr>
      <w:t xml:space="preserve">CodeSync · </w:t>
    </w:r>
    <w:fldSimple w:instr="PAGE">
      <w:r>
        <w:rPr>
          <w:sz w:val="16"/>
        </w:rPr>
        <w:t>1</w:t>
      </w:r>
    </w:fldSimple>
  </w:p>
</w:ftr>
</file>

<file path=word/header1.xml><?xml version="1.0" encoding="utf-8"?>
<w:hdr xmlns:w="http://schemas.openxmlformats.org/wordprocessingml/2006/main">
  <w:p>
    <w:pPr>
      <w:jc w:val="right"/>
    </w:pPr>
    <w:r>
      <w:rPr>
        <w:i/>
        <w:sz w:val="16"/>
        <w:szCs w:val="16"/>
        <w:color w:val="6A7D73"/>
      </w:rPr>
      <w:t xml:space="preserve">CodeSync | Conference Manuscript Draft</w:t>
    </w:r>
  </w:p>
</w:hdr>
</file>

<file path=word/styles.xml><?xml version="1.0" encoding="utf-8"?>
<w:styles xmlns:w="http://schemas.openxmlformats.org/wordprocessingml/2006/main">
  <w:docDefaults>
    <w:rPrDefault>
      <w:rPr>
        <w:rFonts w:ascii="Times New Roman" w:hAnsi="Times New Roman"/>
        <w:sz w:val="21"/>
      </w:rPr>
    </w:rPrDefault>
    <w:pPrDefault>
      <w:pPr>
        <w:spacing w:after="110" w:line="276" w:lineRule="auto"/>
      </w:pPr>
    </w:pPrDefault>
  </w:docDefaults>
  <w:style w:type="paragraph" w:default="1" w:styleId="Normal">
    <w:name w:val="Normal"/>
    <w:rPr>
      <w:rFonts w:ascii="Times New Roman" w:hAnsi="Times New Roman"/>
      <w:sz w:val="21"/>
    </w:rPr>
  </w:style>
  <w:style w:type="paragraph" w:styleId="Title">
    <w:name w:val="Title"/>
    <w:basedOn w:val="Normal"/>
    <w:next w:val="Normal"/>
    <w:pPr>
      <w:spacing w:after="120"/>
      <w:jc w:val="center"/>
    </w:pPr>
    <w:rPr>
      <w:rFonts w:ascii="Times New Roman" w:hAnsi="Times New Roman"/>
      <w:b/>
      <w:sz w:val="34"/>
    </w:rPr>
  </w:style>
  <w:style w:type="paragraph" w:styleId="Subtitle">
    <w:name w:val="Subtitle"/>
    <w:basedOn w:val="Normal"/>
    <w:pPr>
      <w:jc w:val="center"/>
      <w:spacing w:after="50"/>
    </w:pPr>
    <w:rPr>
      <w:rFonts w:ascii="Times New Roman" w:hAnsi="Times New Roman"/>
      <w:sz w:val="20"/>
      <w:color w:val="4A5D54"/>
    </w:rPr>
  </w:style>
  <w:style w:type="paragraph" w:styleId="Heading1">
    <w:name w:val="heading 1"/>
    <w:basedOn w:val="Normal"/>
    <w:next w:val="Normal"/>
    <w:pPr>
      <w:keepNext/>
      <w:spacing w:before="180" w:after="80"/>
      <w:outlineLvl w:val="0"/>
    </w:pPr>
    <w:rPr>
      <w:rFonts w:ascii="Times New Roman" w:hAnsi="Times New Roman"/>
      <w:b/>
      <w:sz w:val="25"/>
      <w:color w:val="173A2C"/>
    </w:rPr>
  </w:style>
  <w:style w:type="paragraph" w:styleId="Heading2">
    <w:name w:val="heading 2"/>
    <w:basedOn w:val="Normal"/>
    <w:next w:val="Normal"/>
    <w:pPr>
      <w:keepNext/>
      <w:spacing w:before="110" w:after="55"/>
      <w:outlineLvl w:val="1"/>
    </w:pPr>
    <w:rPr>
      <w:rFonts w:ascii="Times New Roman" w:hAnsi="Times New Roman"/>
      <w:b/>
      <w:sz w:val="22"/>
      <w:color w:val="265B45"/>
    </w:rPr>
  </w:style>
  <w:style w:type="paragraph" w:styleId="Heading3">
    <w:name w:val="heading 3"/>
    <w:basedOn w:val="Normal"/>
    <w:next w:val="Normal"/>
    <w:pPr>
      <w:keepNext/>
      <w:spacing w:before="80" w:after="40"/>
      <w:outlineLvl w:val="2"/>
    </w:pPr>
    <w:rPr>
      <w:rFonts w:ascii="Times New Roman" w:hAnsi="Times New Roman"/>
      <w:b/>
      <w:sz w:val="21"/>
    </w:rPr>
  </w:style>
  <w:style w:type="table" w:styleId="TableGrid">
    <w:name w:val="Table Grid"/>
    <w:tblPr>
      <w:tblBorders>
        <w:top w:val="single" w:sz="4" w:space="0" w:color="B7C9BF"/>
        <w:left w:val="single" w:sz="4" w:space="0" w:color="B7C9BF"/>
        <w:bottom w:val="single" w:sz="4" w:space="0" w:color="B7C9BF"/>
        <w:right w:val="single" w:sz="4" w:space="0" w:color="B7C9BF"/>
        <w:insideH w:val="single" w:sz="4" w:space="0" w:color="D8E2DC"/>
        <w:insideV w:val="single" w:sz="4" w:space="0" w:color="D8E2DC"/>
      </w:tblBorders>
    </w:tbl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CodeSync Research Team</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dc:title>CodeSync: An Engineering Case Study of a Browser-Based Collaborative Coding Workspace</dc:title>
  <dc:creator>CodeSync Research Team</dc:creator>
  <dc:subject>Collaborative coding and software engineering prototype</dc:subject>
  <dc:description>Conference manuscript draft with explicit evidence placeholders.</dc:description>
</cp:coreProperties>
</file>