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Basel III Pillar 3 Disclosures</w:t>
      </w:r>
    </w:p>
    <w:p>
      <w:r>
        <w:rPr>
          <w:b/>
          <w:i w:val="0"/>
        </w:rPr>
        <w:t>ICICI Bank Limited (consolidated)  |  as at 31 March 2025  |  figures in INR million</w:t>
      </w:r>
    </w:p>
    <w:p>
      <w:r>
        <w:rPr>
          <w:b w:val="0"/>
          <w:i/>
          <w:sz w:val="18"/>
        </w:rPr>
        <w:t>Generated from structured data by the Module 6 lab script. Capital and leverage inputs are the bank's published figures; liquidity inputs are illustrative teaching values and are marked as such.</w:t>
      </w:r>
    </w:p>
    <w:p>
      <w:pPr>
        <w:pStyle w:val="Heading1"/>
      </w:pPr>
      <w:r>
        <w:t>Table DF-2: Capital Adequacy</w:t>
      </w:r>
    </w:p>
    <w:p>
      <w:r>
        <w:rPr>
          <w:b/>
          <w:i w:val="0"/>
        </w:rPr>
        <w:t>Qualitative disclosure</w:t>
      </w:r>
    </w:p>
    <w:p>
      <w:r>
        <w:rPr>
          <w:b w:val="0"/>
          <w:i w:val="0"/>
        </w:rPr>
        <w:t>The Bank is identified as a Domestic Systemically Important Bank and holds the D-SIB surcharge of 0.20% over the capital conservation buffer of 2.50%. The applicable minimum total capital ratio is therefore 11.70% of risk weighted assets.</w:t>
      </w:r>
    </w:p>
    <w:p>
      <w:r>
        <w:rPr>
          <w:b/>
          <w:i w:val="0"/>
        </w:rPr>
        <w:t>Quantitative disclosure: capital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Capital required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Risk weighted assets</w:t>
            </w:r>
          </w:p>
        </w:tc>
      </w:tr>
      <w:tr>
        <w:tc>
          <w:tcPr>
            <w:tcW w:type="dxa" w:w="2880"/>
          </w:tcPr>
          <w:p>
            <w:r>
              <w:t>(b) Credit risk (standardised approach)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1,753,721.4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14,989,071.8</w:t>
            </w:r>
          </w:p>
        </w:tc>
      </w:tr>
      <w:tr>
        <w:tc>
          <w:tcPr>
            <w:tcW w:type="dxa" w:w="2880"/>
          </w:tcPr>
          <w:p>
            <w:r>
              <w:t>(c) Market risk (standardised duration approach)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93,032.1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795,146.2</w:t>
            </w:r>
          </w:p>
        </w:tc>
      </w:tr>
      <w:tr>
        <w:tc>
          <w:tcPr>
            <w:tcW w:type="dxa" w:w="2880"/>
          </w:tcPr>
          <w:p>
            <w:r>
              <w:t>(d) Operational risk (basic indicator approach)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193,394.3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1,652,942.7</w:t>
            </w:r>
          </w:p>
        </w:tc>
      </w:tr>
      <w:tr>
        <w:tc>
          <w:tcPr>
            <w:tcW w:type="dxa" w:w="2880"/>
          </w:tcPr>
          <w:p>
            <w:r>
              <w:t>Total capital requirement (b + c + d)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2,040,147.8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t>17,437,160.9</w:t>
            </w:r>
          </w:p>
        </w:tc>
      </w:tr>
    </w:tbl>
    <w:p/>
    <w:p>
      <w:r>
        <w:rPr>
          <w:b/>
          <w:i w:val="0"/>
        </w:rPr>
        <w:t>Quantitative disclosure: capital ratios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Ratio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Computed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RBI minimum incl. buffers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Headroom</w:t>
            </w:r>
          </w:p>
        </w:tc>
      </w:tr>
      <w:tr>
        <w:tc>
          <w:tcPr>
            <w:tcW w:type="dxa" w:w="2160"/>
          </w:tcPr>
          <w:p>
            <w:r>
              <w:t>CET1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8.20%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7.61 pp</w:t>
            </w:r>
          </w:p>
        </w:tc>
      </w:tr>
      <w:tr>
        <w:tc>
          <w:tcPr>
            <w:tcW w:type="dxa" w:w="2160"/>
          </w:tcPr>
          <w:p>
            <w:r>
              <w:t>Tier 1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9.70%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6.11 pp</w:t>
            </w:r>
          </w:p>
        </w:tc>
      </w:tr>
      <w:tr>
        <w:tc>
          <w:tcPr>
            <w:tcW w:type="dxa" w:w="2160"/>
          </w:tcPr>
          <w:p>
            <w:r>
              <w:t>Total capital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16.41%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11.70%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4.71 pp</w:t>
            </w:r>
          </w:p>
        </w:tc>
      </w:tr>
    </w:tbl>
    <w:p/>
    <w:p>
      <w:r>
        <w:rPr>
          <w:b/>
          <w:i w:val="0"/>
        </w:rPr>
        <w:t>Composition of capital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t>Common Equity Tier 1 capital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2,756,153.3</w:t>
            </w:r>
          </w:p>
        </w:tc>
      </w:tr>
      <w:tr>
        <w:tc>
          <w:tcPr>
            <w:tcW w:type="dxa" w:w="4320"/>
          </w:tcPr>
          <w:p>
            <w:r>
              <w:t>Additional Tier 1 capital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  <w:tr>
        <w:tc>
          <w:tcPr>
            <w:tcW w:type="dxa" w:w="4320"/>
          </w:tcPr>
          <w:p>
            <w:r>
              <w:t>Tier 1 capital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2,756,153.3</w:t>
            </w:r>
          </w:p>
        </w:tc>
      </w:tr>
      <w:tr>
        <w:tc>
          <w:tcPr>
            <w:tcW w:type="dxa" w:w="4320"/>
          </w:tcPr>
          <w:p>
            <w:r>
              <w:t>Tier 2 capital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104,588.8</w:t>
            </w:r>
          </w:p>
        </w:tc>
      </w:tr>
      <w:tr>
        <w:tc>
          <w:tcPr>
            <w:tcW w:type="dxa" w:w="4320"/>
          </w:tcPr>
          <w:p>
            <w:r>
              <w:t>Total capital funds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2,860,742.1</w:t>
            </w:r>
          </w:p>
        </w:tc>
      </w:tr>
      <w:tr>
        <w:tc>
          <w:tcPr>
            <w:tcW w:type="dxa" w:w="4320"/>
          </w:tcPr>
          <w:p>
            <w:r>
              <w:t>Total risk weighted assets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17,437,160.9</w:t>
            </w:r>
          </w:p>
        </w:tc>
      </w:tr>
    </w:tbl>
    <w:p/>
    <w:p>
      <w:pPr>
        <w:pStyle w:val="Heading1"/>
      </w:pPr>
      <w:r>
        <w:t>Table DF-18: Leverage Ratio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t>On-balance sheet exposures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22,184,056.6</w:t>
            </w:r>
          </w:p>
        </w:tc>
      </w:tr>
      <w:tr>
        <w:tc>
          <w:tcPr>
            <w:tcW w:type="dxa" w:w="4320"/>
          </w:tcPr>
          <w:p>
            <w:r>
              <w:t>Derivative exposures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910,490.3</w:t>
            </w:r>
          </w:p>
        </w:tc>
      </w:tr>
      <w:tr>
        <w:tc>
          <w:tcPr>
            <w:tcW w:type="dxa" w:w="4320"/>
          </w:tcPr>
          <w:p>
            <w:r>
              <w:t>Securities financing transaction exposures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41,036.5</w:t>
            </w:r>
          </w:p>
        </w:tc>
      </w:tr>
      <w:tr>
        <w:tc>
          <w:tcPr>
            <w:tcW w:type="dxa" w:w="4320"/>
          </w:tcPr>
          <w:p>
            <w:r>
              <w:t>Off-balance sheet items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3,431,306.8</w:t>
            </w:r>
          </w:p>
        </w:tc>
      </w:tr>
      <w:tr>
        <w:tc>
          <w:tcPr>
            <w:tcW w:type="dxa" w:w="4320"/>
          </w:tcPr>
          <w:p>
            <w:r>
              <w:t>Total exposures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26,566,890.2</w:t>
            </w:r>
          </w:p>
        </w:tc>
      </w:tr>
      <w:tr>
        <w:tc>
          <w:tcPr>
            <w:tcW w:type="dxa" w:w="4320"/>
          </w:tcPr>
          <w:p>
            <w:r>
              <w:t>Tier 1 capital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2,756,153.3</w:t>
            </w:r>
          </w:p>
        </w:tc>
      </w:tr>
      <w:tr>
        <w:tc>
          <w:tcPr>
            <w:tcW w:type="dxa" w:w="4320"/>
          </w:tcPr>
          <w:p>
            <w:r>
              <w:t>Basel III leverage ratio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10.37%</w:t>
            </w:r>
          </w:p>
        </w:tc>
      </w:tr>
      <w:tr>
        <w:tc>
          <w:tcPr>
            <w:tcW w:type="dxa" w:w="4320"/>
          </w:tcPr>
          <w:p>
            <w:r>
              <w:t>RBI minimum (D-SIB)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4.00%</w:t>
            </w:r>
          </w:p>
        </w:tc>
      </w:tr>
    </w:tbl>
    <w:p/>
    <w:p>
      <w:pPr>
        <w:pStyle w:val="Heading1"/>
      </w:pPr>
      <w:r>
        <w:t>Liquidity: LCR and NSFR (illustrative inputs)</w:t>
      </w:r>
    </w:p>
    <w:p>
      <w:r>
        <w:rPr>
          <w:b w:val="0"/>
          <w:i/>
          <w:sz w:val="18"/>
        </w:rPr>
        <w:t>The inputs in this table are teaching values, not the bank's published figures. The bank discloses LCR and NSFR in its annual report and quarterly liquidity disclosures.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Amount</w:t>
            </w:r>
          </w:p>
        </w:tc>
      </w:tr>
      <w:tr>
        <w:tc>
          <w:tcPr>
            <w:tcW w:type="dxa" w:w="4320"/>
          </w:tcPr>
          <w:p>
            <w:r>
              <w:t>High quality liquid assets (HQLA)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4,500,000.0</w:t>
            </w:r>
          </w:p>
        </w:tc>
      </w:tr>
      <w:tr>
        <w:tc>
          <w:tcPr>
            <w:tcW w:type="dxa" w:w="4320"/>
          </w:tcPr>
          <w:p>
            <w:r>
              <w:t>Net cash outflows over 30 days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3,600,000.0</w:t>
            </w:r>
          </w:p>
        </w:tc>
      </w:tr>
      <w:tr>
        <w:tc>
          <w:tcPr>
            <w:tcW w:type="dxa" w:w="4320"/>
          </w:tcPr>
          <w:p>
            <w:r>
              <w:t>Liquidity Coverage Ratio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125.00%</w:t>
            </w:r>
          </w:p>
        </w:tc>
      </w:tr>
      <w:tr>
        <w:tc>
          <w:tcPr>
            <w:tcW w:type="dxa" w:w="4320"/>
          </w:tcPr>
          <w:p>
            <w:r>
              <w:t>Available stable funding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18,000,000.0</w:t>
            </w:r>
          </w:p>
        </w:tc>
      </w:tr>
      <w:tr>
        <w:tc>
          <w:tcPr>
            <w:tcW w:type="dxa" w:w="4320"/>
          </w:tcPr>
          <w:p>
            <w:r>
              <w:t>Required stable funding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14,400,000.0</w:t>
            </w:r>
          </w:p>
        </w:tc>
      </w:tr>
      <w:tr>
        <w:tc>
          <w:tcPr>
            <w:tcW w:type="dxa" w:w="4320"/>
          </w:tcPr>
          <w:p>
            <w:r>
              <w:t>Net Stable Funding Ratio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125.00%</w:t>
            </w:r>
          </w:p>
        </w:tc>
      </w:tr>
      <w:tr>
        <w:tc>
          <w:tcPr>
            <w:tcW w:type="dxa" w:w="4320"/>
          </w:tcPr>
          <w:p>
            <w:r>
              <w:t>RBI minimum for each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100.00%</w:t>
            </w:r>
          </w:p>
        </w:tc>
      </w:tr>
    </w:tbl>
    <w:p/>
    <w:p>
      <w:pPr>
        <w:pStyle w:val="Heading1"/>
      </w:pPr>
      <w:r>
        <w:t>Reconciliation against published ratios</w:t>
      </w:r>
    </w:p>
    <w:p>
      <w:r>
        <w:rPr>
          <w:b w:val="0"/>
          <w:i w:val="0"/>
        </w:rPr>
        <w:t>Every ratio computed above is compared with the ratio the bank printed in its own disclosure. A mismatch means the input data or the formula is wrong, and the document must not be issued.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Ratio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Computed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Published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CET1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Match</w:t>
            </w:r>
          </w:p>
        </w:tc>
      </w:tr>
      <w:tr>
        <w:tc>
          <w:tcPr>
            <w:tcW w:type="dxa" w:w="2160"/>
          </w:tcPr>
          <w:p>
            <w:r>
              <w:t>Tier 1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15.81%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Match</w:t>
            </w:r>
          </w:p>
        </w:tc>
      </w:tr>
      <w:tr>
        <w:tc>
          <w:tcPr>
            <w:tcW w:type="dxa" w:w="2160"/>
          </w:tcPr>
          <w:p>
            <w:r>
              <w:t>Total capital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16.41%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16.41%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Match</w:t>
            </w:r>
          </w:p>
        </w:tc>
      </w:tr>
      <w:tr>
        <w:tc>
          <w:tcPr>
            <w:tcW w:type="dxa" w:w="2160"/>
          </w:tcPr>
          <w:p>
            <w:r>
              <w:t>Leverage ratio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10.37%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10.37%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Match</w:t>
            </w:r>
          </w:p>
        </w:tc>
      </w:tr>
    </w:tbl>
    <w:p/>
    <w:p>
      <w:pPr>
        <w:pStyle w:val="Heading1"/>
      </w:pPr>
      <w:r>
        <w:t>Commentary</w:t>
      </w:r>
    </w:p>
    <w:p>
      <w:r>
        <w:rPr>
          <w:b w:val="0"/>
          <w:i w:val="0"/>
        </w:rPr>
        <w:t>All capital ratios are above the RBI minimum including buffers. The narrowest headroom is on the Total capital ratio at 4.71 percentage points. Credit risk accounts for 86.0% of the total capital requirement, market risk 4.6% and operational risk 9.5%. The leverage ratio of 10.37% is well above the 4.00% D-SIB floor.</w:t>
      </w:r>
    </w:p>
    <w:p>
      <w:r>
        <w:rPr>
          <w:b w:val="0"/>
          <w:i/>
          <w:sz w:val="18"/>
        </w:rPr>
        <w:t>Lab step: paste the two ratio tables above into any free AI chat and ask for a one-paragraph management commentary. Then check every number in its answer against this document before you keep a word of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