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Basel III Pillar 3 Disclosures: filing set</w:t>
      </w:r>
    </w:p>
    <w:p>
      <w:r>
        <w:rPr>
          <w:b/>
          <w:i w:val="0"/>
        </w:rPr>
        <w:t>ICICI Bank Limited (consolidated)  |  31 March 2025  |  INR million</w:t>
      </w:r>
    </w:p>
    <w:p>
      <w:r>
        <w:rPr>
          <w:b w:val="0"/>
          <w:i/>
        </w:rPr>
        <w:t>One section per RBI table, generated from bank_data.json. See 00_filing_log.csv for the status of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Table DF-1: Scope of Application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1-8. Data status: partial.</w:t>
      </w:r>
    </w:p>
    <w:p>
      <w:r>
        <w:rPr>
          <w:b/>
          <w:i w:val="0"/>
        </w:rPr>
        <w:t>Group entities named in the disclosure: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Consolidation treatment</w:t>
            </w:r>
          </w:p>
        </w:tc>
      </w:tr>
      <w:tr>
        <w:tc>
          <w:tcPr>
            <w:tcW w:type="dxa" w:w="4320"/>
          </w:tcPr>
          <w:p>
            <w:r>
              <w:t>ICICI Bank UK PLC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Bank Canada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Prudential Life Insurance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Lombard General Insurance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Venture Funds Management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  <w:tr>
        <w:tc>
          <w:tcPr>
            <w:tcW w:type="dxa" w:w="4320"/>
          </w:tcPr>
          <w:p>
            <w:r>
              <w:t>ICICI Home Finance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see PDF pages 1-8</w:t>
            </w:r>
          </w:p>
        </w:tc>
      </w:tr>
    </w:tbl>
    <w:p/>
    <w:p>
      <w:r>
        <w:rPr>
          <w:b w:val="0"/>
          <w:i/>
        </w:rPr>
        <w:t>Entity names as they appear on pages 2-3 and 12. Consolidation treatment per entity (full / pro-rata / deducted) is not in this file; read it from the PDF.</w:t>
      </w:r>
    </w:p>
    <w:p>
      <w:pPr>
        <w:pStyle w:val="Title"/>
      </w:pPr>
      <w:r>
        <w:t>Table DF-2: Capital Adequacy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9-12. Data status: complete.</w:t>
      </w:r>
    </w:p>
    <w:p>
      <w:r>
        <w:rPr>
          <w:b w:val="0"/>
          <w:i w:val="0"/>
        </w:rPr>
        <w:t>The Bank is a Domestic Systemically Important Bank. Minimum total capital ratio including the 2.5% capital conservation buffer and the 0.2% D-SIB surcharge is 11.70% of risk weighted assets.</w:t>
      </w:r>
    </w:p>
    <w:p>
      <w:r>
        <w:rPr>
          <w:b/>
          <w:i w:val="0"/>
        </w:rPr>
        <w:t>Capital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Capital required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Risk weighted assets</w:t>
            </w:r>
          </w:p>
        </w:tc>
      </w:tr>
      <w:tr>
        <w:tc>
          <w:tcPr>
            <w:tcW w:type="dxa" w:w="2880"/>
          </w:tcPr>
          <w:p>
            <w:r>
              <w:t>(b) Credit risk: standardised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1,747,501.0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</w:p>
        </w:tc>
      </w:tr>
      <w:tr>
        <w:tc>
          <w:tcPr>
            <w:tcW w:type="dxa" w:w="2880"/>
          </w:tcPr>
          <w:p>
            <w:r>
              <w:t xml:space="preserve">      of which securitisation exposures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6,220.4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</w:p>
        </w:tc>
      </w:tr>
      <w:tr>
        <w:tc>
          <w:tcPr>
            <w:tcW w:type="dxa" w:w="2880"/>
          </w:tcPr>
          <w:p>
            <w:r>
              <w:t xml:space="preserve">      Credit risk 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1,753,721.4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14,989,071.8</w:t>
            </w:r>
          </w:p>
        </w:tc>
      </w:tr>
      <w:tr>
        <w:tc>
          <w:tcPr>
            <w:tcW w:type="dxa" w:w="2880"/>
          </w:tcPr>
          <w:p>
            <w:r>
              <w:t>(c) Market risk: standardised duration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93,032.1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795,146.2</w:t>
            </w:r>
          </w:p>
        </w:tc>
      </w:tr>
      <w:tr>
        <w:tc>
          <w:tcPr>
            <w:tcW w:type="dxa" w:w="2880"/>
          </w:tcPr>
          <w:p>
            <w:r>
              <w:t>(d) Operational risk: basic indicator approach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193,394.3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1,652,942.7</w:t>
            </w:r>
          </w:p>
        </w:tc>
      </w:tr>
      <w:tr>
        <w:tc>
          <w:tcPr>
            <w:tcW w:type="dxa" w:w="2880"/>
          </w:tcPr>
          <w:p>
            <w:r>
              <w:t>Total capital requirement (b + c + d)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2,040,147.8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17,437,160.9</w:t>
            </w:r>
          </w:p>
        </w:tc>
      </w:tr>
    </w:tbl>
    <w:p/>
    <w:p>
      <w:r>
        <w:rPr>
          <w:b/>
          <w:i w:val="0"/>
        </w:rPr>
        <w:t>Capital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Ratio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Computed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Published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RBI minimum incl. buffers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Headroom</w:t>
            </w:r>
          </w:p>
        </w:tc>
      </w:tr>
      <w:tr>
        <w:tc>
          <w:tcPr>
            <w:tcW w:type="dxa" w:w="1728"/>
          </w:tcPr>
          <w:p>
            <w:r>
              <w:t>CET1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8.20%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7.61 pp</w:t>
            </w:r>
          </w:p>
        </w:tc>
      </w:tr>
      <w:tr>
        <w:tc>
          <w:tcPr>
            <w:tcW w:type="dxa" w:w="1728"/>
          </w:tcPr>
          <w:p>
            <w:r>
              <w:t>Tier 1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15.81%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9.70%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6.11 pp</w:t>
            </w:r>
          </w:p>
        </w:tc>
      </w:tr>
      <w:tr>
        <w:tc>
          <w:tcPr>
            <w:tcW w:type="dxa" w:w="1728"/>
          </w:tcPr>
          <w:p>
            <w:r>
              <w:t>Total capital ratio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16.41%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16.41%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11.70%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4.71 pp</w:t>
            </w:r>
          </w:p>
        </w:tc>
      </w:tr>
    </w:tbl>
    <w:p/>
    <w:p>
      <w:r>
        <w:rPr>
          <w:b/>
          <w:i w:val="0"/>
        </w:rPr>
        <w:t>Composition of capital funds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Common Equity 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Additional 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Tier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Tier 2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104,588.8</w:t>
            </w:r>
          </w:p>
        </w:tc>
      </w:tr>
      <w:tr>
        <w:tc>
          <w:tcPr>
            <w:tcW w:type="dxa" w:w="4320"/>
          </w:tcPr>
          <w:p>
            <w:r>
              <w:t>Total capital funds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2,860,742.1</w:t>
            </w:r>
          </w:p>
        </w:tc>
      </w:tr>
      <w:tr>
        <w:tc>
          <w:tcPr>
            <w:tcW w:type="dxa" w:w="4320"/>
          </w:tcPr>
          <w:p>
            <w:r>
              <w:t>Total risk weighted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17,437,160.9</w:t>
            </w:r>
          </w:p>
        </w:tc>
      </w:tr>
    </w:tbl>
    <w:p/>
    <w:p>
      <w:r>
        <w:rPr>
          <w:b w:val="0"/>
          <w:i w:val="0"/>
        </w:rPr>
        <w:t>Subsidiary ratios as published: ICICI Bank UK PLC CET1 19.57% / total 22.60%; ICICI Bank Canada CET1 17.96% / total 18.45%; standalone bank CET1 15.94% / total 16.55%.</w:t>
      </w:r>
    </w:p>
    <w:p>
      <w:pPr>
        <w:pStyle w:val="Title"/>
      </w:pPr>
      <w:r>
        <w:t>Table DF-3: Credit Risk: General Disclosures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13-26. Data status: complete.</w:t>
      </w:r>
    </w:p>
    <w:p>
      <w:r>
        <w:rPr>
          <w:b/>
          <w:i w:val="0"/>
        </w:rPr>
        <w:t>Non-performing assets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Sub-standard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97,931.2</w:t>
            </w:r>
          </w:p>
        </w:tc>
      </w:tr>
      <w:tr>
        <w:tc>
          <w:tcPr>
            <w:tcW w:type="dxa" w:w="4320"/>
          </w:tcPr>
          <w:p>
            <w:r>
              <w:t>Doubtful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77,263.1</w:t>
            </w:r>
          </w:p>
        </w:tc>
      </w:tr>
      <w:tr>
        <w:tc>
          <w:tcPr>
            <w:tcW w:type="dxa" w:w="4320"/>
          </w:tcPr>
          <w:p>
            <w:r>
              <w:t>Loss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68,115.8</w:t>
            </w:r>
          </w:p>
        </w:tc>
      </w:tr>
      <w:tr>
        <w:tc>
          <w:tcPr>
            <w:tcW w:type="dxa" w:w="4320"/>
          </w:tcPr>
          <w:p>
            <w:r>
              <w:t>Gross NPAs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243,310.1</w:t>
            </w:r>
          </w:p>
        </w:tc>
      </w:tr>
      <w:tr>
        <w:tc>
          <w:tcPr>
            <w:tcW w:type="dxa" w:w="4320"/>
          </w:tcPr>
          <w:p>
            <w:r>
              <w:t>Net NPAs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61,554.0</w:t>
            </w:r>
          </w:p>
        </w:tc>
      </w:tr>
      <w:tr>
        <w:tc>
          <w:tcPr>
            <w:tcW w:type="dxa" w:w="4320"/>
          </w:tcPr>
          <w:p>
            <w:r>
              <w:t>Gross NPA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1.68%</w:t>
            </w:r>
          </w:p>
        </w:tc>
      </w:tr>
      <w:tr>
        <w:tc>
          <w:tcPr>
            <w:tcW w:type="dxa" w:w="4320"/>
          </w:tcPr>
          <w:p>
            <w:r>
              <w:t>Net NPA ratio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0.43%</w:t>
            </w:r>
          </w:p>
        </w:tc>
      </w:tr>
    </w:tbl>
    <w:p/>
    <w:p>
      <w:r>
        <w:rPr>
          <w:b/>
          <w:i w:val="0"/>
        </w:rPr>
        <w:t>Movement of gross NPAs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Opening balance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279,608.2</w:t>
            </w:r>
          </w:p>
        </w:tc>
      </w:tr>
      <w:tr>
        <w:tc>
          <w:tcPr>
            <w:tcW w:type="dxa" w:w="4320"/>
          </w:tcPr>
          <w:p>
            <w:r>
              <w:t>Additions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209,758.6</w:t>
            </w:r>
          </w:p>
        </w:tc>
      </w:tr>
      <w:tr>
        <w:tc>
          <w:tcPr>
            <w:tcW w:type="dxa" w:w="4320"/>
          </w:tcPr>
          <w:p>
            <w:r>
              <w:t>Reductions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-246,056.7</w:t>
            </w:r>
          </w:p>
        </w:tc>
      </w:tr>
      <w:tr>
        <w:tc>
          <w:tcPr>
            <w:tcW w:type="dxa" w:w="4320"/>
          </w:tcPr>
          <w:p>
            <w:r>
              <w:t>Closing balance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243,310.1</w:t>
            </w:r>
          </w:p>
        </w:tc>
      </w:tr>
    </w:tbl>
    <w:p/>
    <w:p>
      <w:r>
        <w:rPr>
          <w:b/>
          <w:i w:val="0"/>
        </w:rPr>
        <w:t>Provisions and non-performing investments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Specific provisions, opening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222,692.2</w:t>
            </w:r>
          </w:p>
        </w:tc>
      </w:tr>
      <w:tr>
        <w:tc>
          <w:tcPr>
            <w:tcW w:type="dxa" w:w="4320"/>
          </w:tcPr>
          <w:p>
            <w:r>
              <w:t>Specific provisions, closing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182,656.4</w:t>
            </w:r>
          </w:p>
        </w:tc>
      </w:tr>
      <w:tr>
        <w:tc>
          <w:tcPr>
            <w:tcW w:type="dxa" w:w="4320"/>
          </w:tcPr>
          <w:p>
            <w:r>
              <w:t>General provisions, closing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67,581.2</w:t>
            </w:r>
          </w:p>
        </w:tc>
      </w:tr>
      <w:tr>
        <w:tc>
          <w:tcPr>
            <w:tcW w:type="dxa" w:w="4320"/>
          </w:tcPr>
          <w:p>
            <w:r>
              <w:t>Gross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32,155.6</w:t>
            </w:r>
          </w:p>
        </w:tc>
      </w:tr>
      <w:tr>
        <w:tc>
          <w:tcPr>
            <w:tcW w:type="dxa" w:w="4320"/>
          </w:tcPr>
          <w:p>
            <w:r>
              <w:t>Provisions for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-31,259.9</w:t>
            </w:r>
          </w:p>
        </w:tc>
      </w:tr>
      <w:tr>
        <w:tc>
          <w:tcPr>
            <w:tcW w:type="dxa" w:w="4320"/>
          </w:tcPr>
          <w:p>
            <w:r>
              <w:t>Net NPIs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895.7</w:t>
            </w:r>
          </w:p>
        </w:tc>
      </w:tr>
    </w:tbl>
    <w:p/>
    <w:p>
      <w:pPr>
        <w:pStyle w:val="Title"/>
      </w:pPr>
      <w:r>
        <w:t>Table DF-4: Credit Risk: Portfolios Subject to the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27-28. Data status: complete.</w:t>
      </w:r>
    </w:p>
    <w:p>
      <w:r>
        <w:rPr>
          <w:b/>
          <w:i w:val="0"/>
        </w:rPr>
        <w:t>Credit exposures by risk weight, after credit risk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 weight bucket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Exposure</w:t>
            </w:r>
          </w:p>
        </w:tc>
      </w:tr>
      <w:tr>
        <w:tc>
          <w:tcPr>
            <w:tcW w:type="dxa" w:w="4320"/>
          </w:tcPr>
          <w:p>
            <w:r>
              <w:t>Less than 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16,620,007.6</w:t>
            </w:r>
          </w:p>
        </w:tc>
      </w:tr>
      <w:tr>
        <w:tc>
          <w:tcPr>
            <w:tcW w:type="dxa" w:w="4320"/>
          </w:tcPr>
          <w:p>
            <w:r>
              <w:t>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7,531,996.0</w:t>
            </w:r>
          </w:p>
        </w:tc>
      </w:tr>
      <w:tr>
        <w:tc>
          <w:tcPr>
            <w:tcW w:type="dxa" w:w="4320"/>
          </w:tcPr>
          <w:p>
            <w:r>
              <w:t>More than 100%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7,761,643.2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31,913,646.8</w:t>
            </w:r>
          </w:p>
        </w:tc>
      </w:tr>
    </w:tbl>
    <w:p/>
    <w:p>
      <w:pPr>
        <w:pStyle w:val="Title"/>
      </w:pPr>
      <w:r>
        <w:t>Table DF-5: Credit Risk Mitigation: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29-31. Data status: not_in_data.</w:t>
      </w:r>
    </w:p>
    <w:p>
      <w:r>
        <w:rPr>
          <w:b w:val="0"/>
          <w:i/>
        </w:rPr>
        <w:t>This table is not populated. bank_data.json carries no figures for DF-5. The disclosure text and figures must be taken from the bank's PDF, pages 29-31, before this file can be filed.</w:t>
      </w:r>
    </w:p>
    <w:p>
      <w:pPr>
        <w:pStyle w:val="Title"/>
      </w:pPr>
      <w:r>
        <w:t>Table DF-6: Securitisation Exposures: Standardised Approach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32-38. Data status: partial.</w:t>
      </w:r>
    </w:p>
    <w:p>
      <w:r>
        <w:rPr>
          <w:b/>
          <w:i w:val="0"/>
        </w:rPr>
        <w:t>Capital required for securitisation exposures under the standardised approach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Capital required, securitisation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6,220.4</w:t>
            </w:r>
          </w:p>
        </w:tc>
      </w:tr>
    </w:tbl>
    <w:p/>
    <w:p>
      <w:r>
        <w:rPr>
          <w:b w:val="0"/>
          <w:i/>
        </w:rPr>
        <w:t>The exposure-level breakdown on pages 32-38 is not in bank_data.json.</w:t>
      </w:r>
    </w:p>
    <w:p>
      <w:pPr>
        <w:pStyle w:val="Title"/>
      </w:pPr>
      <w:r>
        <w:t>Table DF-7: Market Risk in Trading Book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39-42. Data status: complete.</w:t>
      </w:r>
    </w:p>
    <w:p>
      <w:r>
        <w:rPr>
          <w:b w:val="0"/>
          <w:i w:val="0"/>
        </w:rPr>
        <w:t>Approach: Standardised duration approach.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Capital required</w:t>
            </w:r>
          </w:p>
        </w:tc>
      </w:tr>
      <w:tr>
        <w:tc>
          <w:tcPr>
            <w:tcW w:type="dxa" w:w="4320"/>
          </w:tcPr>
          <w:p>
            <w:r>
              <w:t>Interest rate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84,672.3</w:t>
            </w:r>
          </w:p>
        </w:tc>
      </w:tr>
      <w:tr>
        <w:tc>
          <w:tcPr>
            <w:tcW w:type="dxa" w:w="4320"/>
          </w:tcPr>
          <w:p>
            <w:r>
              <w:t>Foreign exchange risk, including gold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3,892.0</w:t>
            </w:r>
          </w:p>
        </w:tc>
      </w:tr>
      <w:tr>
        <w:tc>
          <w:tcPr>
            <w:tcW w:type="dxa" w:w="4320"/>
          </w:tcPr>
          <w:p>
            <w:r>
              <w:t>Equity position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4,467.8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93,032.1</w:t>
            </w:r>
          </w:p>
        </w:tc>
      </w:tr>
    </w:tbl>
    <w:p/>
    <w:p>
      <w:pPr>
        <w:pStyle w:val="Title"/>
      </w:pPr>
      <w:r>
        <w:t>Table DF-8: Operational Risk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43-46. Data status: complete.</w:t>
      </w:r>
    </w:p>
    <w:p>
      <w:r>
        <w:rPr>
          <w:b w:val="0"/>
          <w:i w:val="0"/>
        </w:rPr>
        <w:t>Approach: Basic Indicator Approach.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Capital required for operational risk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193,394.3</w:t>
            </w:r>
          </w:p>
        </w:tc>
      </w:tr>
    </w:tbl>
    <w:p/>
    <w:p>
      <w:pPr>
        <w:pStyle w:val="Title"/>
      </w:pPr>
      <w:r>
        <w:t>Table DF-9: Interest Rate Risk in the Banking Book (IRRBB)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47-54. Data status: complete.</w:t>
      </w:r>
    </w:p>
    <w:p>
      <w:r>
        <w:rPr>
          <w:b w:val="0"/>
          <w:i w:val="0"/>
        </w:rPr>
        <w:t>Impact of a 100 bps downward parallel shift in interest rates. Impact of a 100 bps downward parallel shift; the upward shift is the mirror image (p51).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Currency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Earnings (NII) impact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Economic value (EVE) impact</w:t>
            </w:r>
          </w:p>
        </w:tc>
      </w:tr>
      <w:tr>
        <w:tc>
          <w:tcPr>
            <w:tcW w:type="dxa" w:w="2880"/>
          </w:tcPr>
          <w:p>
            <w:r>
              <w:t>INR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-41,450.2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56,963.2</w:t>
            </w:r>
          </w:p>
        </w:tc>
      </w:tr>
      <w:tr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-2,749.5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-1,386.1</w:t>
            </w:r>
          </w:p>
        </w:tc>
      </w:tr>
      <w:tr>
        <w:tc>
          <w:tcPr>
            <w:tcW w:type="dxa" w:w="2880"/>
          </w:tcPr>
          <w:p>
            <w:r>
              <w:t>Others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-1,130.7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-337.5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-45,330.4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55,239.6</w:t>
            </w:r>
          </w:p>
        </w:tc>
      </w:tr>
    </w:tbl>
    <w:p/>
    <w:p>
      <w:pPr>
        <w:pStyle w:val="Title"/>
      </w:pPr>
      <w:r>
        <w:t>Table DF-10: General Disclosure for Exposures Related to Counterparty Credit Risk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55-63. Data status: not_in_data.</w:t>
      </w:r>
    </w:p>
    <w:p>
      <w:r>
        <w:rPr>
          <w:b w:val="0"/>
          <w:i/>
        </w:rPr>
        <w:t>This table is not populated. bank_data.json carries no figures for DF-10. The disclosure text and figures must be taken from the bank's PDF, pages 55-63, before this file can be filed.</w:t>
      </w:r>
    </w:p>
    <w:p>
      <w:pPr>
        <w:pStyle w:val="Title"/>
      </w:pPr>
      <w:r>
        <w:t>Table DF-11: Composition of Capital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DF-11. The disclosure text and figures must be taken from the bank's PDF, pages separate annexure, before this file can be filed.</w:t>
      </w:r>
    </w:p>
    <w:p>
      <w:pPr>
        <w:pStyle w:val="Title"/>
      </w:pPr>
      <w:r>
        <w:t>Table DF-12: Composition of Capital: Reconciliation Requirements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DF-12. The disclosure text and figures must be taken from the bank's PDF, pages separate annexure, before this file can be filed.</w:t>
      </w:r>
    </w:p>
    <w:p>
      <w:pPr>
        <w:pStyle w:val="Title"/>
      </w:pPr>
      <w:r>
        <w:t>Table DF-13: Main Features of Regulatory Capital Instruments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DF-13. The disclosure text and figures must be taken from the bank's PDF, pages separate annexure, before this file can be filed.</w:t>
      </w:r>
    </w:p>
    <w:p>
      <w:pPr>
        <w:pStyle w:val="Title"/>
      </w:pPr>
      <w:r>
        <w:t>Table DF-14: Full Terms and Conditions of Regulatory Capital Instruments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separate annexure. Data status: not_in_data.</w:t>
      </w:r>
    </w:p>
    <w:p>
      <w:r>
        <w:rPr>
          <w:b w:val="0"/>
          <w:i/>
        </w:rPr>
        <w:t>This table is not populated. bank_data.json carries no figures for DF-14. The disclosure text and figures must be taken from the bank's PDF, pages separate annexure, before this file can be filed.</w:t>
      </w:r>
    </w:p>
    <w:p>
      <w:pPr>
        <w:pStyle w:val="Title"/>
      </w:pPr>
      <w:r>
        <w:t>Table DF-15: Disclosure Requirements for Remuneration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64-72. Data status: not_in_data.</w:t>
      </w:r>
    </w:p>
    <w:p>
      <w:r>
        <w:rPr>
          <w:b w:val="0"/>
          <w:i/>
        </w:rPr>
        <w:t>This table is not populated. bank_data.json carries no figures for DF-15. The disclosure text and figures must be taken from the bank's PDF, pages 64-72, before this file can be filed.</w:t>
      </w:r>
    </w:p>
    <w:p>
      <w:pPr>
        <w:pStyle w:val="Title"/>
      </w:pPr>
      <w:r>
        <w:t>Table DF-16: Equities: Disclosure for Banking Book Positions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73.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Book value of banking-book equity investments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122,720.1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937,399.8</w:t>
            </w:r>
          </w:p>
        </w:tc>
      </w:tr>
      <w:tr>
        <w:tc>
          <w:tcPr>
            <w:tcW w:type="dxa" w:w="4320"/>
          </w:tcPr>
          <w:p>
            <w:r>
              <w:t>Realised gain from sale in the period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Unrealised gain or loss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19,500.1</w:t>
            </w:r>
          </w:p>
        </w:tc>
      </w:tr>
      <w:tr>
        <w:tc>
          <w:tcPr>
            <w:tcW w:type="dxa" w:w="4320"/>
          </w:tcPr>
          <w:p>
            <w:r>
              <w:t>Latent revaluation gain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795,179.6</w:t>
            </w:r>
          </w:p>
        </w:tc>
      </w:tr>
    </w:tbl>
    <w:p/>
    <w:p>
      <w:pPr>
        <w:pStyle w:val="Title"/>
      </w:pPr>
      <w:r>
        <w:t>Table DF-17: Summary Comparison of Accounting Assets and Leverage Ratio Exposure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74.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Total consolidated assets as per published financial statements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26,422,414.0</w:t>
            </w:r>
          </w:p>
        </w:tc>
      </w:tr>
      <w:tr>
        <w:tc>
          <w:tcPr>
            <w:tcW w:type="dxa" w:w="4320"/>
          </w:tcPr>
          <w:p>
            <w:r>
              <w:t>Adjustment for investments in banking, financial, insurance or commercial entities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-79,383.1</w:t>
            </w:r>
          </w:p>
        </w:tc>
      </w:tr>
      <w:tr>
        <w:tc>
          <w:tcPr>
            <w:tcW w:type="dxa" w:w="4320"/>
          </w:tcPr>
          <w:p>
            <w:r>
              <w:t>Adjustment for fiduciary assets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Adjustments for derivative financial instruments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631,804.2</w:t>
            </w:r>
          </w:p>
        </w:tc>
      </w:tr>
      <w:tr>
        <w:tc>
          <w:tcPr>
            <w:tcW w:type="dxa" w:w="4320"/>
          </w:tcPr>
          <w:p>
            <w:r>
              <w:t>Adjustment for securities financing transactions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4,203.1</w:t>
            </w:r>
          </w:p>
        </w:tc>
      </w:tr>
      <w:tr>
        <w:tc>
          <w:tcPr>
            <w:tcW w:type="dxa" w:w="4320"/>
          </w:tcPr>
          <w:p>
            <w:r>
              <w:t>Adjustment for off-balance sheet items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3,431,306.8</w:t>
            </w:r>
          </w:p>
        </w:tc>
      </w:tr>
      <w:tr>
        <w:tc>
          <w:tcPr>
            <w:tcW w:type="dxa" w:w="4320"/>
          </w:tcPr>
          <w:p>
            <w:r>
              <w:t>Other adjustments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-3,843,454.8</w:t>
            </w:r>
          </w:p>
        </w:tc>
      </w:tr>
      <w:tr>
        <w:tc>
          <w:tcPr>
            <w:tcW w:type="dxa" w:w="4320"/>
          </w:tcPr>
          <w:p>
            <w:r>
              <w:t>Leverage ratio exposure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26,566,890.2</w:t>
            </w:r>
          </w:p>
        </w:tc>
      </w:tr>
    </w:tbl>
    <w:p/>
    <w:p>
      <w:r>
        <w:rPr>
          <w:b w:val="0"/>
          <w:i/>
        </w:rPr>
        <w:t>Check: the rows add to the leverage ratio exposure. Passed.</w:t>
      </w:r>
    </w:p>
    <w:p>
      <w:pPr>
        <w:pStyle w:val="Title"/>
      </w:pPr>
      <w:r>
        <w:t>Table DF-18: Leverage Ratio Common Disclosure Template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74-76. Data status: complete.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t>On-balance sheet items, excluding derivatives and SFTs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22,334,576.7</w:t>
            </w:r>
          </w:p>
        </w:tc>
      </w:tr>
      <w:tr>
        <w:tc>
          <w:tcPr>
            <w:tcW w:type="dxa" w:w="4320"/>
          </w:tcPr>
          <w:p>
            <w:r>
              <w:t>Asset amounts deducted in determining Tier 1 capital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-150,520.1</w:t>
            </w:r>
          </w:p>
        </w:tc>
      </w:tr>
      <w:tr>
        <w:tc>
          <w:tcPr>
            <w:tcW w:type="dxa" w:w="4320"/>
          </w:tcPr>
          <w:p>
            <w:r>
              <w:t>Total on-balance sheet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22,184,056.6</w:t>
            </w:r>
          </w:p>
        </w:tc>
      </w:tr>
      <w:tr>
        <w:tc>
          <w:tcPr>
            <w:tcW w:type="dxa" w:w="4320"/>
          </w:tcPr>
          <w:p>
            <w:r>
              <w:t>Total derivative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910,490.3</w:t>
            </w:r>
          </w:p>
        </w:tc>
      </w:tr>
      <w:tr>
        <w:tc>
          <w:tcPr>
            <w:tcW w:type="dxa" w:w="4320"/>
          </w:tcPr>
          <w:p>
            <w:r>
              <w:t>Total securities financing transaction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41,036.5</w:t>
            </w:r>
          </w:p>
        </w:tc>
      </w:tr>
      <w:tr>
        <w:tc>
          <w:tcPr>
            <w:tcW w:type="dxa" w:w="4320"/>
          </w:tcPr>
          <w:p>
            <w:r>
              <w:t>Off-balance sheet items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3,431,306.8</w:t>
            </w:r>
          </w:p>
        </w:tc>
      </w:tr>
      <w:tr>
        <w:tc>
          <w:tcPr>
            <w:tcW w:type="dxa" w:w="4320"/>
          </w:tcPr>
          <w:p>
            <w:r>
              <w:t>Total exposures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26,566,890.2</w:t>
            </w:r>
          </w:p>
        </w:tc>
      </w:tr>
      <w:tr>
        <w:tc>
          <w:tcPr>
            <w:tcW w:type="dxa" w:w="4320"/>
          </w:tcPr>
          <w:p>
            <w:r>
              <w:t>Tier 1 capital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2,756,153.3</w:t>
            </w:r>
          </w:p>
        </w:tc>
      </w:tr>
      <w:tr>
        <w:tc>
          <w:tcPr>
            <w:tcW w:type="dxa" w:w="4320"/>
          </w:tcPr>
          <w:p>
            <w:r>
              <w:t>Basel III leverage ratio, computed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10.37%</w:t>
            </w:r>
          </w:p>
        </w:tc>
      </w:tr>
      <w:tr>
        <w:tc>
          <w:tcPr>
            <w:tcW w:type="dxa" w:w="4320"/>
          </w:tcPr>
          <w:p>
            <w:r>
              <w:t>Basel III leverage ratio, published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10.37%</w:t>
            </w:r>
          </w:p>
        </w:tc>
      </w:tr>
      <w:tr>
        <w:tc>
          <w:tcPr>
            <w:tcW w:type="dxa" w:w="4320"/>
          </w:tcPr>
          <w:p>
            <w:r>
              <w:t>RBI minimum, D-SIB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4.00%</w:t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