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DF-1: Scope of Application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1-8. Data status: partial.</w:t>
      </w:r>
    </w:p>
    <w:p>
      <w:r>
        <w:rPr>
          <w:b/>
          <w:i w:val="0"/>
        </w:rPr>
        <w:t>Group entities named in the disclosure: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Entity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Consolidation treatment</w:t>
            </w:r>
          </w:p>
        </w:tc>
      </w:tr>
      <w:tr>
        <w:tc>
          <w:tcPr>
            <w:tcW w:type="dxa" w:w="4320"/>
          </w:tcPr>
          <w:p>
            <w:r>
              <w:t>ICICI Bank UK PLC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see PDF pages 1-8</w:t>
            </w:r>
          </w:p>
        </w:tc>
      </w:tr>
      <w:tr>
        <w:tc>
          <w:tcPr>
            <w:tcW w:type="dxa" w:w="4320"/>
          </w:tcPr>
          <w:p>
            <w:r>
              <w:t>ICICI Bank Canada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see PDF pages 1-8</w:t>
            </w:r>
          </w:p>
        </w:tc>
      </w:tr>
      <w:tr>
        <w:tc>
          <w:tcPr>
            <w:tcW w:type="dxa" w:w="4320"/>
          </w:tcPr>
          <w:p>
            <w:r>
              <w:t>ICICI Prudential Life Insurance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see PDF pages 1-8</w:t>
            </w:r>
          </w:p>
        </w:tc>
      </w:tr>
      <w:tr>
        <w:tc>
          <w:tcPr>
            <w:tcW w:type="dxa" w:w="4320"/>
          </w:tcPr>
          <w:p>
            <w:r>
              <w:t>ICICI Lombard General Insurance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see PDF pages 1-8</w:t>
            </w:r>
          </w:p>
        </w:tc>
      </w:tr>
      <w:tr>
        <w:tc>
          <w:tcPr>
            <w:tcW w:type="dxa" w:w="4320"/>
          </w:tcPr>
          <w:p>
            <w:r>
              <w:t>ICICI Venture Funds Management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see PDF pages 1-8</w:t>
            </w:r>
          </w:p>
        </w:tc>
      </w:tr>
      <w:tr>
        <w:tc>
          <w:tcPr>
            <w:tcW w:type="dxa" w:w="4320"/>
          </w:tcPr>
          <w:p>
            <w:r>
              <w:t>ICICI Home Finance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see PDF pages 1-8</w:t>
            </w:r>
          </w:p>
        </w:tc>
      </w:tr>
    </w:tbl>
    <w:p/>
    <w:p>
      <w:r>
        <w:rPr>
          <w:b w:val="0"/>
          <w:i/>
        </w:rPr>
        <w:t>Entity names as they appear on pages 2-3 and 12. Consolidation treatment per entity (full / pro-rata / deducted) is not in this file; read it from the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