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DF-2: Capital Adequacy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9-12. Data status: complete.</w:t>
      </w:r>
    </w:p>
    <w:p>
      <w:r>
        <w:rPr>
          <w:b w:val="0"/>
          <w:i w:val="0"/>
        </w:rPr>
        <w:t>The Bank is a Domestic Systemically Important Bank. Minimum total capital ratio including the 2.5% capital conservation buffer and the 0.2% D-SIB surcharge is 11.70% of risk weighted assets.</w:t>
      </w:r>
    </w:p>
    <w:p>
      <w:r>
        <w:rPr>
          <w:b/>
          <w:i w:val="0"/>
        </w:rPr>
        <w:t>Capital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Capital required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Risk weighted assets</w:t>
            </w:r>
          </w:p>
        </w:tc>
      </w:tr>
      <w:tr>
        <w:tc>
          <w:tcPr>
            <w:tcW w:type="dxa" w:w="2880"/>
          </w:tcPr>
          <w:p>
            <w:r>
              <w:t>(b) Credit risk: standardised approach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1,747,501.0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</w:p>
        </w:tc>
      </w:tr>
      <w:tr>
        <w:tc>
          <w:tcPr>
            <w:tcW w:type="dxa" w:w="2880"/>
          </w:tcPr>
          <w:p>
            <w:r>
              <w:t xml:space="preserve">      of which securitisation exposures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6,220.4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</w:p>
        </w:tc>
      </w:tr>
      <w:tr>
        <w:tc>
          <w:tcPr>
            <w:tcW w:type="dxa" w:w="2880"/>
          </w:tcPr>
          <w:p>
            <w:r>
              <w:t xml:space="preserve">      Credit risk total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1,753,721.4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14,989,071.8</w:t>
            </w:r>
          </w:p>
        </w:tc>
      </w:tr>
      <w:tr>
        <w:tc>
          <w:tcPr>
            <w:tcW w:type="dxa" w:w="2880"/>
          </w:tcPr>
          <w:p>
            <w:r>
              <w:t>(c) Market risk: standardised duration approach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93,032.1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795,146.2</w:t>
            </w:r>
          </w:p>
        </w:tc>
      </w:tr>
      <w:tr>
        <w:tc>
          <w:tcPr>
            <w:tcW w:type="dxa" w:w="2880"/>
          </w:tcPr>
          <w:p>
            <w:r>
              <w:t>(d) Operational risk: basic indicator approach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193,394.3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1,652,942.7</w:t>
            </w:r>
          </w:p>
        </w:tc>
      </w:tr>
      <w:tr>
        <w:tc>
          <w:tcPr>
            <w:tcW w:type="dxa" w:w="2880"/>
          </w:tcPr>
          <w:p>
            <w:r>
              <w:t>Total capital requirement (b + c + d)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2,040,147.8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17,437,160.9</w:t>
            </w:r>
          </w:p>
        </w:tc>
      </w:tr>
    </w:tbl>
    <w:p/>
    <w:p>
      <w:r>
        <w:rPr>
          <w:b/>
          <w:i w:val="0"/>
        </w:rPr>
        <w:t>Capital ratios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Ratio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Computed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Published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RBI minimum incl. buffers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Headroom</w:t>
            </w:r>
          </w:p>
        </w:tc>
      </w:tr>
      <w:tr>
        <w:tc>
          <w:tcPr>
            <w:tcW w:type="dxa" w:w="1728"/>
          </w:tcPr>
          <w:p>
            <w:r>
              <w:t>CET1 ratio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15.81%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15.81%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8.20%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7.61 pp</w:t>
            </w:r>
          </w:p>
        </w:tc>
      </w:tr>
      <w:tr>
        <w:tc>
          <w:tcPr>
            <w:tcW w:type="dxa" w:w="1728"/>
          </w:tcPr>
          <w:p>
            <w:r>
              <w:t>Tier 1 ratio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15.81%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15.81%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9.70%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6.11 pp</w:t>
            </w:r>
          </w:p>
        </w:tc>
      </w:tr>
      <w:tr>
        <w:tc>
          <w:tcPr>
            <w:tcW w:type="dxa" w:w="1728"/>
          </w:tcPr>
          <w:p>
            <w:r>
              <w:t>Total capital ratio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16.41%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16.41%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11.70%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4.71 pp</w:t>
            </w:r>
          </w:p>
        </w:tc>
      </w:tr>
    </w:tbl>
    <w:p/>
    <w:p>
      <w:r>
        <w:rPr>
          <w:b/>
          <w:i w:val="0"/>
        </w:rPr>
        <w:t>Composition of capital funds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Common Equity Tier 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2,756,153.3</w:t>
            </w:r>
          </w:p>
        </w:tc>
      </w:tr>
      <w:tr>
        <w:tc>
          <w:tcPr>
            <w:tcW w:type="dxa" w:w="4320"/>
          </w:tcPr>
          <w:p>
            <w:r>
              <w:t>Additional Tier 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Tier 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2,756,153.3</w:t>
            </w:r>
          </w:p>
        </w:tc>
      </w:tr>
      <w:tr>
        <w:tc>
          <w:tcPr>
            <w:tcW w:type="dxa" w:w="4320"/>
          </w:tcPr>
          <w:p>
            <w:r>
              <w:t>Tier 2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104,588.8</w:t>
            </w:r>
          </w:p>
        </w:tc>
      </w:tr>
      <w:tr>
        <w:tc>
          <w:tcPr>
            <w:tcW w:type="dxa" w:w="4320"/>
          </w:tcPr>
          <w:p>
            <w:r>
              <w:t>Total capital funds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2,860,742.1</w:t>
            </w:r>
          </w:p>
        </w:tc>
      </w:tr>
      <w:tr>
        <w:tc>
          <w:tcPr>
            <w:tcW w:type="dxa" w:w="4320"/>
          </w:tcPr>
          <w:p>
            <w:r>
              <w:t>Total risk weighted assets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17,437,160.9</w:t>
            </w:r>
          </w:p>
        </w:tc>
      </w:tr>
    </w:tbl>
    <w:p/>
    <w:p>
      <w:r>
        <w:rPr>
          <w:b w:val="0"/>
          <w:i w:val="0"/>
        </w:rPr>
        <w:t>Subsidiary ratios as published: ICICI Bank UK PLC CET1 19.57% / total 22.60%; ICICI Bank Canada CET1 17.96% / total 18.45%; standalone bank CET1 15.94% / total 16.55%.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