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DF-3: Credit Risk: General Disclosures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13-26. Data status: complete.</w:t>
      </w:r>
    </w:p>
    <w:p>
      <w:r>
        <w:rPr>
          <w:b/>
          <w:i w:val="0"/>
        </w:rPr>
        <w:t>Non-performing assets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Sub-standard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97,931.2</w:t>
            </w:r>
          </w:p>
        </w:tc>
      </w:tr>
      <w:tr>
        <w:tc>
          <w:tcPr>
            <w:tcW w:type="dxa" w:w="4320"/>
          </w:tcPr>
          <w:p>
            <w:r>
              <w:t>Doubtful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77,263.1</w:t>
            </w:r>
          </w:p>
        </w:tc>
      </w:tr>
      <w:tr>
        <w:tc>
          <w:tcPr>
            <w:tcW w:type="dxa" w:w="4320"/>
          </w:tcPr>
          <w:p>
            <w:r>
              <w:t>Loss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68,115.8</w:t>
            </w:r>
          </w:p>
        </w:tc>
      </w:tr>
      <w:tr>
        <w:tc>
          <w:tcPr>
            <w:tcW w:type="dxa" w:w="4320"/>
          </w:tcPr>
          <w:p>
            <w:r>
              <w:t>Gross NPAs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243,310.1</w:t>
            </w:r>
          </w:p>
        </w:tc>
      </w:tr>
      <w:tr>
        <w:tc>
          <w:tcPr>
            <w:tcW w:type="dxa" w:w="4320"/>
          </w:tcPr>
          <w:p>
            <w:r>
              <w:t>Net NPAs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61,554.0</w:t>
            </w:r>
          </w:p>
        </w:tc>
      </w:tr>
      <w:tr>
        <w:tc>
          <w:tcPr>
            <w:tcW w:type="dxa" w:w="4320"/>
          </w:tcPr>
          <w:p>
            <w:r>
              <w:t>Gross NPA ratio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1.68%</w:t>
            </w:r>
          </w:p>
        </w:tc>
      </w:tr>
      <w:tr>
        <w:tc>
          <w:tcPr>
            <w:tcW w:type="dxa" w:w="4320"/>
          </w:tcPr>
          <w:p>
            <w:r>
              <w:t>Net NPA ratio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0.43%</w:t>
            </w:r>
          </w:p>
        </w:tc>
      </w:tr>
    </w:tbl>
    <w:p/>
    <w:p>
      <w:r>
        <w:rPr>
          <w:b/>
          <w:i w:val="0"/>
        </w:rPr>
        <w:t>Movement of gross NPAs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Opening balance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279,608.2</w:t>
            </w:r>
          </w:p>
        </w:tc>
      </w:tr>
      <w:tr>
        <w:tc>
          <w:tcPr>
            <w:tcW w:type="dxa" w:w="4320"/>
          </w:tcPr>
          <w:p>
            <w:r>
              <w:t>Additions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209,758.6</w:t>
            </w:r>
          </w:p>
        </w:tc>
      </w:tr>
      <w:tr>
        <w:tc>
          <w:tcPr>
            <w:tcW w:type="dxa" w:w="4320"/>
          </w:tcPr>
          <w:p>
            <w:r>
              <w:t>Reductions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-246,056.7</w:t>
            </w:r>
          </w:p>
        </w:tc>
      </w:tr>
      <w:tr>
        <w:tc>
          <w:tcPr>
            <w:tcW w:type="dxa" w:w="4320"/>
          </w:tcPr>
          <w:p>
            <w:r>
              <w:t>Closing balance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243,310.1</w:t>
            </w:r>
          </w:p>
        </w:tc>
      </w:tr>
    </w:tbl>
    <w:p/>
    <w:p>
      <w:r>
        <w:rPr>
          <w:b/>
          <w:i w:val="0"/>
        </w:rPr>
        <w:t>Provisions and non-performing investments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Specific provisions, opening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222,692.2</w:t>
            </w:r>
          </w:p>
        </w:tc>
      </w:tr>
      <w:tr>
        <w:tc>
          <w:tcPr>
            <w:tcW w:type="dxa" w:w="4320"/>
          </w:tcPr>
          <w:p>
            <w:r>
              <w:t>Specific provisions, closing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182,656.4</w:t>
            </w:r>
          </w:p>
        </w:tc>
      </w:tr>
      <w:tr>
        <w:tc>
          <w:tcPr>
            <w:tcW w:type="dxa" w:w="4320"/>
          </w:tcPr>
          <w:p>
            <w:r>
              <w:t>General provisions, closing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67,581.2</w:t>
            </w:r>
          </w:p>
        </w:tc>
      </w:tr>
      <w:tr>
        <w:tc>
          <w:tcPr>
            <w:tcW w:type="dxa" w:w="4320"/>
          </w:tcPr>
          <w:p>
            <w:r>
              <w:t>Gross NPIs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32,155.6</w:t>
            </w:r>
          </w:p>
        </w:tc>
      </w:tr>
      <w:tr>
        <w:tc>
          <w:tcPr>
            <w:tcW w:type="dxa" w:w="4320"/>
          </w:tcPr>
          <w:p>
            <w:r>
              <w:t>Provisions for NPIs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-31,259.9</w:t>
            </w:r>
          </w:p>
        </w:tc>
      </w:tr>
      <w:tr>
        <w:tc>
          <w:tcPr>
            <w:tcW w:type="dxa" w:w="4320"/>
          </w:tcPr>
          <w:p>
            <w:r>
              <w:t>Net NPIs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895.7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