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DF-4: Credit Risk: Portfolios Subject to the Standardised Approach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27-28. Data status: complete.</w:t>
      </w:r>
    </w:p>
    <w:p>
      <w:r>
        <w:rPr>
          <w:b/>
          <w:i w:val="0"/>
        </w:rPr>
        <w:t>Credit exposures by risk weight, after credit risk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 weight bucket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Exposure</w:t>
            </w:r>
          </w:p>
        </w:tc>
      </w:tr>
      <w:tr>
        <w:tc>
          <w:tcPr>
            <w:tcW w:type="dxa" w:w="4320"/>
          </w:tcPr>
          <w:p>
            <w:r>
              <w:t>Less than 100%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16,620,007.6</w:t>
            </w:r>
          </w:p>
        </w:tc>
      </w:tr>
      <w:tr>
        <w:tc>
          <w:tcPr>
            <w:tcW w:type="dxa" w:w="4320"/>
          </w:tcPr>
          <w:p>
            <w:r>
              <w:t>100%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7,531,996.0</w:t>
            </w:r>
          </w:p>
        </w:tc>
      </w:tr>
      <w:tr>
        <w:tc>
          <w:tcPr>
            <w:tcW w:type="dxa" w:w="4320"/>
          </w:tcPr>
          <w:p>
            <w:r>
              <w:t>More than 100%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7,761,643.2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31,913,646.8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