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DF-6: Securitisation Exposures: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32-38. Data status: partial.</w:t>
      </w:r>
    </w:p>
    <w:p>
      <w:r>
        <w:rPr>
          <w:b/>
          <w:i w:val="0"/>
        </w:rPr>
        <w:t>Capital required for securitisation exposures under the standardised approach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Capital required, securitisation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6,220.4</w:t>
            </w:r>
          </w:p>
        </w:tc>
      </w:tr>
    </w:tbl>
    <w:p/>
    <w:p>
      <w:r>
        <w:rPr>
          <w:b w:val="0"/>
          <w:i/>
        </w:rPr>
        <w:t>The exposure-level breakdown on pages 32-38 is not in bank_data.json.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