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DF-7: Market Risk in Trading Book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39-42. Data status: complete.</w:t>
      </w:r>
    </w:p>
    <w:p>
      <w:r>
        <w:rPr>
          <w:b w:val="0"/>
          <w:i w:val="0"/>
        </w:rPr>
        <w:t>Approach: Standardised duration approach.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Capital required</w:t>
            </w:r>
          </w:p>
        </w:tc>
      </w:tr>
      <w:tr>
        <w:tc>
          <w:tcPr>
            <w:tcW w:type="dxa" w:w="4320"/>
          </w:tcPr>
          <w:p>
            <w:r>
              <w:t>Interest rate risk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84,672.3</w:t>
            </w:r>
          </w:p>
        </w:tc>
      </w:tr>
      <w:tr>
        <w:tc>
          <w:tcPr>
            <w:tcW w:type="dxa" w:w="4320"/>
          </w:tcPr>
          <w:p>
            <w:r>
              <w:t>Foreign exchange risk, including gold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3,892.0</w:t>
            </w:r>
          </w:p>
        </w:tc>
      </w:tr>
      <w:tr>
        <w:tc>
          <w:tcPr>
            <w:tcW w:type="dxa" w:w="4320"/>
          </w:tcPr>
          <w:p>
            <w:r>
              <w:t>Equity position risk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4,467.8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93,032.1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