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DF-9: Interest Rate Risk in the Banking Book (IRRBB)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47-54. Data status: complete.</w:t>
      </w:r>
    </w:p>
    <w:p>
      <w:r>
        <w:rPr>
          <w:b w:val="0"/>
          <w:i w:val="0"/>
        </w:rPr>
        <w:t>Impact of a 100 bps downward parallel shift in interest rates. Impact of a 100 bps downward parallel shift; the upward shift is the mirror image (p51).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Currency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Earnings (NII) impact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Economic value (EVE) impact</w:t>
            </w:r>
          </w:p>
        </w:tc>
      </w:tr>
      <w:tr>
        <w:tc>
          <w:tcPr>
            <w:tcW w:type="dxa" w:w="2880"/>
          </w:tcPr>
          <w:p>
            <w:r>
              <w:t>INR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-41,450.2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56,963.2</w:t>
            </w:r>
          </w:p>
        </w:tc>
      </w:tr>
      <w:tr>
        <w:tc>
          <w:tcPr>
            <w:tcW w:type="dxa" w:w="2880"/>
          </w:tcPr>
          <w:p>
            <w:r>
              <w:t>USD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-2,749.5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-1,386.1</w:t>
            </w:r>
          </w:p>
        </w:tc>
      </w:tr>
      <w:tr>
        <w:tc>
          <w:tcPr>
            <w:tcW w:type="dxa" w:w="2880"/>
          </w:tcPr>
          <w:p>
            <w:r>
              <w:t>Others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-1,130.7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-337.5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-45,330.4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55,239.6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