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DF-11: Composition of Capital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DF-11. The disclosure text and figures must be taken from the bank's PDF, pages separate annexure,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