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DF-13: Main Features of Regulatory Capital Instruments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separate annexure. Data status: not_in_data.</w:t>
      </w:r>
    </w:p>
    <w:p>
      <w:r>
        <w:rPr>
          <w:b w:val="0"/>
          <w:i/>
        </w:rPr>
        <w:t>This table is not populated. bank_data.json carries no figures for DF-13. The disclosure text and figures must be taken from the bank's PDF, pages separate annexure, before this file can be filed.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