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Table DF-15: Disclosure Requirements for Remuneration</w:t>
      </w:r>
    </w:p>
    <w:p>
      <w:r>
        <w:rPr>
          <w:b/>
        </w:rPr>
        <w:t>ICICI Bank Limited (consolidated)  |  31 March 2025  |  INR million</w:t>
      </w:r>
    </w:p>
    <w:p>
      <w:r>
        <w:rPr>
          <w:i/>
          <w:sz w:val="18"/>
        </w:rPr>
        <w:t>Source: ICICI Bank, Basel III Pillar 3 Disclosures at March 31, 2025 (76 pages), pages 64-72. Data status: not_in_data.</w:t>
      </w:r>
    </w:p>
    <w:p>
      <w:r>
        <w:rPr>
          <w:b w:val="0"/>
          <w:i/>
        </w:rPr>
        <w:t>This table is not populated. bank_data.json carries no figures for DF-15. The disclosure text and figures must be taken from the bank's PDF, pages 64-72, before this file can be filed.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