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DF-16: Equities: Disclosure for Banking Book Positions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73. Data status: complete.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Book value of banking-book equity investments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122,720.1</w:t>
            </w:r>
          </w:p>
        </w:tc>
      </w:tr>
      <w:tr>
        <w:tc>
          <w:tcPr>
            <w:tcW w:type="dxa" w:w="4320"/>
          </w:tcPr>
          <w:p>
            <w:r>
              <w:t>Market value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937,399.8</w:t>
            </w:r>
          </w:p>
        </w:tc>
      </w:tr>
      <w:tr>
        <w:tc>
          <w:tcPr>
            <w:tcW w:type="dxa" w:w="4320"/>
          </w:tcPr>
          <w:p>
            <w:r>
              <w:t>Realised gain from sale in the period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Unrealised gain or loss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19,500.1</w:t>
            </w:r>
          </w:p>
        </w:tc>
      </w:tr>
      <w:tr>
        <w:tc>
          <w:tcPr>
            <w:tcW w:type="dxa" w:w="4320"/>
          </w:tcPr>
          <w:p>
            <w:r>
              <w:t>Latent revaluation gain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795,179.6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