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DF-17: Summary Comparison of Accounting Assets and Leverage Ratio Exposure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74. Data status: complete.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Total consolidated assets as per published financial statements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26,422,414.0</w:t>
            </w:r>
          </w:p>
        </w:tc>
      </w:tr>
      <w:tr>
        <w:tc>
          <w:tcPr>
            <w:tcW w:type="dxa" w:w="4320"/>
          </w:tcPr>
          <w:p>
            <w:r>
              <w:t>Adjustment for investments in banking, financial, insurance or commercial entities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-79,383.1</w:t>
            </w:r>
          </w:p>
        </w:tc>
      </w:tr>
      <w:tr>
        <w:tc>
          <w:tcPr>
            <w:tcW w:type="dxa" w:w="4320"/>
          </w:tcPr>
          <w:p>
            <w:r>
              <w:t>Adjustment for fiduciary assets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Adjustments for derivative financial instruments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631,804.2</w:t>
            </w:r>
          </w:p>
        </w:tc>
      </w:tr>
      <w:tr>
        <w:tc>
          <w:tcPr>
            <w:tcW w:type="dxa" w:w="4320"/>
          </w:tcPr>
          <w:p>
            <w:r>
              <w:t>Adjustment for securities financing transactions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4,203.1</w:t>
            </w:r>
          </w:p>
        </w:tc>
      </w:tr>
      <w:tr>
        <w:tc>
          <w:tcPr>
            <w:tcW w:type="dxa" w:w="4320"/>
          </w:tcPr>
          <w:p>
            <w:r>
              <w:t>Adjustment for off-balance sheet items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3,431,306.8</w:t>
            </w:r>
          </w:p>
        </w:tc>
      </w:tr>
      <w:tr>
        <w:tc>
          <w:tcPr>
            <w:tcW w:type="dxa" w:w="4320"/>
          </w:tcPr>
          <w:p>
            <w:r>
              <w:t>Other adjustments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-3,843,454.8</w:t>
            </w:r>
          </w:p>
        </w:tc>
      </w:tr>
      <w:tr>
        <w:tc>
          <w:tcPr>
            <w:tcW w:type="dxa" w:w="4320"/>
          </w:tcPr>
          <w:p>
            <w:r>
              <w:t>Leverage ratio exposure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26,566,890.2</w:t>
            </w:r>
          </w:p>
        </w:tc>
      </w:tr>
    </w:tbl>
    <w:p/>
    <w:p>
      <w:r>
        <w:rPr>
          <w:b w:val="0"/>
          <w:i/>
        </w:rPr>
        <w:t>Check: the rows add to the leverage ratio exposure. Passed.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