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Appendix: LCR and NSFR (not an RBI DF table; disclosed elsewhere by the bank)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n/a. Data status: ILLUSTRATIVE inputs.</w:t>
      </w:r>
    </w:p>
    <w:p>
      <w:r>
        <w:rPr>
          <w:b w:val="0"/>
          <w:i/>
        </w:rPr>
        <w:t>NOT the bank's figures. Teaching inputs chosen to give an LCR and NSFR of 125%.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High quality liquid assets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4,500,000.0</w:t>
            </w:r>
          </w:p>
        </w:tc>
      </w:tr>
      <w:tr>
        <w:tc>
          <w:tcPr>
            <w:tcW w:type="dxa" w:w="4320"/>
          </w:tcPr>
          <w:p>
            <w:r>
              <w:t>Net cash outflows over 30 days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3,600,000.0</w:t>
            </w:r>
          </w:p>
        </w:tc>
      </w:tr>
      <w:tr>
        <w:tc>
          <w:tcPr>
            <w:tcW w:type="dxa" w:w="4320"/>
          </w:tcPr>
          <w:p>
            <w:r>
              <w:t>Liquidity Coverage Ratio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125.00%</w:t>
            </w:r>
          </w:p>
        </w:tc>
      </w:tr>
      <w:tr>
        <w:tc>
          <w:tcPr>
            <w:tcW w:type="dxa" w:w="4320"/>
          </w:tcPr>
          <w:p>
            <w:r>
              <w:t>Available stable funding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18,000,000.0</w:t>
            </w:r>
          </w:p>
        </w:tc>
      </w:tr>
      <w:tr>
        <w:tc>
          <w:tcPr>
            <w:tcW w:type="dxa" w:w="4320"/>
          </w:tcPr>
          <w:p>
            <w:r>
              <w:t>Required stable funding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14,400,000.0</w:t>
            </w:r>
          </w:p>
        </w:tc>
      </w:tr>
      <w:tr>
        <w:tc>
          <w:tcPr>
            <w:tcW w:type="dxa" w:w="4320"/>
          </w:tcPr>
          <w:p>
            <w:r>
              <w:t>Net Stable Funding Ratio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125.00%</w:t>
            </w:r>
          </w:p>
        </w:tc>
      </w:tr>
      <w:tr>
        <w:tc>
          <w:tcPr>
            <w:tcW w:type="dxa" w:w="4320"/>
          </w:tcPr>
          <w:p>
            <w:r>
              <w:t>RBI minimum for each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100.00%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