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2.svg" ContentType="image/svg+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ACA7" w14:textId="77777777" w:rsidR="00517C4F" w:rsidRDefault="00517C4F" w:rsidP="00785FBA">
      <w:pPr>
        <w:rPr>
          <w:color w:val="173845"/>
        </w:rPr>
      </w:pPr>
    </w:p>
    <w:p w14:paraId="6C586E7D" w14:textId="77777777" w:rsidR="000F1FD4" w:rsidRDefault="00EB74F2" w:rsidP="00785FBA">
      <w:pPr>
        <w:rPr>
          <w:color w:val="173845"/>
        </w:rPr>
        <w:sectPr w:rsidR="000F1FD4" w:rsidSect="00A264FD">
          <w:headerReference w:type="even" r:id="rId11"/>
          <w:headerReference w:type="default" r:id="rId12"/>
          <w:footerReference w:type="even" r:id="rId13"/>
          <w:footerReference w:type="default" r:id="rId14"/>
          <w:headerReference w:type="first" r:id="rId15"/>
          <w:footerReference w:type="first" r:id="rId16"/>
          <w:pgSz w:w="11906" w:h="16838" w:code="9"/>
          <w:pgMar w:top="677" w:right="994" w:bottom="1282" w:left="994" w:header="562" w:footer="397" w:gutter="0"/>
          <w:cols w:space="708"/>
          <w:titlePg/>
          <w:docGrid w:linePitch="360"/>
        </w:sectPr>
      </w:pPr>
      <w:r>
        <w:rPr>
          <w:noProof/>
          <w:lang w:eastAsia="en-GB"/>
        </w:rPr>
        <mc:AlternateContent>
          <mc:Choice Requires="wps">
            <w:drawing>
              <wp:anchor distT="0" distB="0" distL="114300" distR="114300" simplePos="0" relativeHeight="251652096" behindDoc="0" locked="0" layoutInCell="1" allowOverlap="1" wp14:anchorId="60E8383E" wp14:editId="47C28701">
                <wp:simplePos x="0" y="0"/>
                <wp:positionH relativeFrom="column">
                  <wp:posOffset>-92710</wp:posOffset>
                </wp:positionH>
                <wp:positionV relativeFrom="paragraph">
                  <wp:posOffset>4704080</wp:posOffset>
                </wp:positionV>
                <wp:extent cx="6353810" cy="0"/>
                <wp:effectExtent l="0" t="0" r="0" b="0"/>
                <wp:wrapNone/>
                <wp:docPr id="295" name="Straight Connector 295"/>
                <wp:cNvGraphicFramePr/>
                <a:graphic xmlns:a="http://schemas.openxmlformats.org/drawingml/2006/main">
                  <a:graphicData uri="http://schemas.microsoft.com/office/word/2010/wordprocessingShape">
                    <wps:wsp>
                      <wps:cNvCnPr/>
                      <wps:spPr>
                        <a:xfrm>
                          <a:off x="0" y="0"/>
                          <a:ext cx="635381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E93C2E" id="Straight Connector 295" o:spid="_x0000_s1026" style="position:absolute;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pt,370.4pt" to="493pt,3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" strokecolor="white [3212]" strokeweight=".5pt">
                <v:stroke joinstyle="miter"/>
              </v:line>
            </w:pict>
          </mc:Fallback>
        </mc:AlternateContent>
      </w:r>
      <w:r>
        <w:rPr>
          <w:noProof/>
          <w:lang w:eastAsia="en-GB"/>
        </w:rPr>
        <mc:AlternateContent>
          <mc:Choice Requires="wps">
            <w:drawing>
              <wp:anchor distT="0" distB="0" distL="182880" distR="182880" simplePos="0" relativeHeight="251651072" behindDoc="0" locked="0" layoutInCell="1" allowOverlap="1" wp14:anchorId="0CC1FB19" wp14:editId="08CA975F">
                <wp:simplePos x="0" y="0"/>
                <wp:positionH relativeFrom="margin">
                  <wp:posOffset>-100330</wp:posOffset>
                </wp:positionH>
                <wp:positionV relativeFrom="page">
                  <wp:posOffset>4966269</wp:posOffset>
                </wp:positionV>
                <wp:extent cx="6355080" cy="871220"/>
                <wp:effectExtent l="0" t="0" r="7620" b="8255"/>
                <wp:wrapSquare wrapText="bothSides"/>
                <wp:docPr id="32"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5080" cy="871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6761F0E" w14:textId="77777777" w:rsidR="00150C03" w:rsidRPr="00842D24" w:rsidRDefault="00000000" w:rsidP="00150C03">
                            <w:pPr>
                              <w:pStyle w:val="NoSpacing"/>
                              <w:spacing w:before="40" w:after="200" w:line="216" w:lineRule="auto"/>
                              <w:rPr>
                                <w:rStyle w:val="HeaderChar"/>
                                <w:rFonts w:ascii="Arial" w:hAnsi="Arial" w:cs="Arial"/>
                                <w:color w:val="FFFFFF" w:themeColor="background1"/>
                                <w:sz w:val="68"/>
                                <w:szCs w:val="68"/>
                              </w:rPr>
                            </w:pPr>
                            <w:sdt>
                              <w:sdtPr>
                                <w:rPr>
                                  <w:rStyle w:val="HeaderChar"/>
                                  <w:rFonts w:ascii="Arial" w:eastAsiaTheme="majorEastAsia" w:hAnsi="Arial" w:cs="Arial"/>
                                  <w:b/>
                                  <w:color w:val="FFFFFF" w:themeColor="background1"/>
                                  <w:spacing w:val="-10"/>
                                  <w:kern w:val="28"/>
                                  <w:sz w:val="68"/>
                                  <w:szCs w:val="68"/>
                                </w:rPr>
                                <w:alias w:val="Title"/>
                                <w:tag w:val=""/>
                                <w:id w:val="1849745393"/>
                                <w:dataBinding w:prefixMappings="xmlns:ns0='http://purl.org/dc/elements/1.1/' xmlns:ns1='http://schemas.openxmlformats.org/package/2006/metadata/core-properties' " w:xpath="/ns1:coreProperties[1]/ns0:title[1]" w:storeItemID="{6C3C8BC8-F283-45AE-878A-BAB7291924A1}"/>
                                <w:text/>
                              </w:sdtPr>
                              <w:sdtContent>
                                <w:r w:rsidR="00E4779D" w:rsidRPr="00E4779D">
                                  <w:rPr>
                                    <w:rStyle w:val="HeaderChar"/>
                                    <w:rFonts w:ascii="Arial" w:eastAsiaTheme="majorEastAsia" w:hAnsi="Arial" w:cs="Arial"/>
                                    <w:b/>
                                    <w:color w:val="FFFFFF" w:themeColor="background1"/>
                                    <w:spacing w:val="-10"/>
                                    <w:kern w:val="28"/>
                                    <w:sz w:val="68"/>
                                    <w:szCs w:val="68"/>
                                  </w:rPr>
                                  <w:t>DSN Fabric MCP Server</w:t>
                                </w:r>
                              </w:sdtContent>
                            </w:sdt>
                          </w:p>
                          <w:p w14:paraId="4C920D50" w14:textId="77777777" w:rsidR="00150C03" w:rsidRPr="00842D24" w:rsidRDefault="00150C03" w:rsidP="00150C03">
                            <w:pPr>
                              <w:pStyle w:val="NoSpacing"/>
                              <w:spacing w:before="40" w:after="40"/>
                              <w:rPr>
                                <w:color w:val="FFFFFF" w:themeColor="background1"/>
                                <w:sz w:val="44"/>
                                <w:szCs w:val="44"/>
                              </w:rPr>
                            </w:pPr>
                            <w:r w:rsidRPr="00842D24">
                              <w:rPr>
                                <w:rFonts w:ascii="Arial" w:hAnsi="Arial" w:cs="Arial"/>
                                <w:color w:val="FFFFFF" w:themeColor="background1"/>
                                <w:sz w:val="44"/>
                                <w:szCs w:val="44"/>
                                <w:lang w:val="en-GB"/>
                              </w:rPr>
                              <w:t>Solution overview, technical handover and deployment guide</w:t>
                            </w:r>
                          </w:p>
                        </w:txbxContent>
                      </wps:txbx>
                      <wps:bodyPr rot="0" vert="horz" wrap="square" lIns="0" tIns="0" rIns="0" bIns="0" anchor="t" anchorCtr="0" upright="1">
                        <a:spAutoFit/>
                      </wps:bodyPr>
                    </wps:wsp>
                  </a:graphicData>
                </a:graphic>
                <wp14:sizeRelH relativeFrom="margin">
                  <wp14:pctWidth>0</wp14:pctWidth>
                </wp14:sizeRelH>
                <wp14:sizeRelV relativeFrom="page">
                  <wp14:pctHeight>35000</wp14:pctHeight>
                </wp14:sizeRelV>
              </wp:anchor>
            </w:drawing>
          </mc:Choice>
          <mc:Fallback>
            <w:pict>
              <v:shapetype w14:anchorId="0CC1FB19" id="_x0000_t202" coordsize="21600,21600" o:spt="202" path="m,l,21600r21600,l21600,xe">
                <v:stroke joinstyle="miter"/>
                <v:path gradientshapeok="t" o:connecttype="rect"/>
              </v:shapetype>
              <v:shape id="Text Box 131" o:spid="_x0000_s1026" type="#_x0000_t202" style="position:absolute;margin-left:-7.9pt;margin-top:391.05pt;width:500.4pt;height:68.6pt;z-index:251651072;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" filled="f" stroked="f" strokeweight=".5pt">
                <v:textbox style="mso-fit-shape-to-text:t" inset="0,0,0,0">
                  <w:txbxContent>
                    <w:p w14:paraId="16761F0E" w14:textId="77777777" w:rsidR="00150C03" w:rsidRPr="00842D24" w:rsidRDefault="00000000" w:rsidP="00150C03">
                      <w:pPr>
                        <w:pStyle w:val="NoSpacing"/>
                        <w:spacing w:before="40" w:after="200" w:line="216" w:lineRule="auto"/>
                        <w:rPr>
                          <w:rStyle w:val="HeaderChar"/>
                          <w:rFonts w:ascii="Arial" w:hAnsi="Arial" w:cs="Arial"/>
                          <w:color w:val="FFFFFF" w:themeColor="background1"/>
                          <w:sz w:val="68"/>
                          <w:szCs w:val="68"/>
                        </w:rPr>
                      </w:pPr>
                      <w:sdt>
                        <w:sdtPr>
                          <w:rPr>
                            <w:rStyle w:val="HeaderChar"/>
                            <w:rFonts w:ascii="Arial" w:eastAsiaTheme="majorEastAsia" w:hAnsi="Arial" w:cs="Arial"/>
                            <w:b/>
                            <w:color w:val="FFFFFF" w:themeColor="background1"/>
                            <w:spacing w:val="-10"/>
                            <w:kern w:val="28"/>
                            <w:sz w:val="68"/>
                            <w:szCs w:val="68"/>
                          </w:rPr>
                          <w:alias w:val="Title"/>
                          <w:tag w:val=""/>
                          <w:id w:val="1849745393"/>
                          <w:dataBinding w:prefixMappings="xmlns:ns0='http://purl.org/dc/elements/1.1/' xmlns:ns1='http://schemas.openxmlformats.org/package/2006/metadata/core-properties' " w:xpath="/ns1:coreProperties[1]/ns0:title[1]" w:storeItemID="{6C3C8BC8-F283-45AE-878A-BAB7291924A1}"/>
                          <w:text/>
                        </w:sdtPr>
                        <w:sdtContent>
                          <w:r w:rsidR="00E4779D" w:rsidRPr="00E4779D">
                            <w:rPr>
                              <w:rStyle w:val="HeaderChar"/>
                              <w:rFonts w:ascii="Arial" w:eastAsiaTheme="majorEastAsia" w:hAnsi="Arial" w:cs="Arial"/>
                              <w:b/>
                              <w:color w:val="FFFFFF" w:themeColor="background1"/>
                              <w:spacing w:val="-10"/>
                              <w:kern w:val="28"/>
                              <w:sz w:val="68"/>
                              <w:szCs w:val="68"/>
                            </w:rPr>
                            <w:t>DSN Fabric MCP Server</w:t>
                          </w:r>
                        </w:sdtContent>
                      </w:sdt>
                    </w:p>
                    <w:p w14:paraId="4C920D50" w14:textId="77777777" w:rsidR="00150C03" w:rsidRPr="00842D24" w:rsidRDefault="00150C03" w:rsidP="00150C03">
                      <w:pPr>
                        <w:pStyle w:val="NoSpacing"/>
                        <w:spacing w:before="40" w:after="40"/>
                        <w:rPr>
                          <w:color w:val="FFFFFF" w:themeColor="background1"/>
                          <w:sz w:val="44"/>
                          <w:szCs w:val="44"/>
                        </w:rPr>
                      </w:pPr>
                      <w:r w:rsidRPr="00842D24">
                        <w:rPr>
                          <w:rFonts w:ascii="Arial" w:hAnsi="Arial" w:cs="Arial"/>
                          <w:color w:val="FFFFFF" w:themeColor="background1"/>
                          <w:sz w:val="44"/>
                          <w:szCs w:val="44"/>
                          <w:lang w:val="en-GB"/>
                        </w:rPr>
                        <w:t>Solution overview, technical handover and deployment guide</w:t>
                      </w:r>
                    </w:p>
                  </w:txbxContent>
                </v:textbox>
                <w10:wrap type="square" anchorx="margin" anchory="page"/>
              </v:shape>
            </w:pict>
          </mc:Fallback>
        </mc:AlternateContent>
      </w:r>
    </w:p>
    <w:p>
      <w:r>
        <w:rPr>
          <w:b/>
          <w:color w:val="19105B"/>
          <w:sz w:val="24"/>
        </w:rPr>
        <w:t>Document control</w:t>
      </w:r>
    </w:p>
    <w:tbl>
      <w:tblPr>
        <w:tblStyle w:val="Style1"/>
        <w:tblLook w:firstColumn="1" w:firstRow="1" w:lastColumn="0" w:lastRow="0" w:noHBand="0" w:noVBand="1" w:val="04A0"/>
        <w:tblW w:w="9917" w:type="dxa"/>
        <w:tblCellMar>
          <w:top w:w="50" w:type="dxa"/>
          <w:left w:w="90" w:type="dxa"/>
          <w:bottom w:w="50" w:type="dxa"/>
          <w:right w:w="90" w:type="dxa"/>
        </w:tblCellMar>
        <w:tblLook w:val="04A0" w:firstRow="1" w:lastRow="0" w:firstColumn="0" w:lastColumn="0" w:noHBand="0" w:noVBand="1"/>
      </w:tblPr>
      <w:tblGrid>
        <w:gridCol w:w="2288"/>
        <w:gridCol w:w="7629"/>
      </w:tblGrid>
      <w:tr>
        <w:trPr>
          <w:tblHeader w:val="true"/>
          <w:trHeight w:val="397"/>
          <w:cantSplit w:val="true"/>
        </w:trPr>
        <w:tc>
          <w:tcPr>
            <w:tcW w:type="dxa" w:w="4959"/>
            <w:tcW w:w="2288" w:type="dxa"/>
          </w:tcPr>
          <w:p>
            <w:pPr>
              <w:spacing w:after="0" w:before="0"/>
            </w:pPr>
            <w:r>
              <w:rPr>
                <w:b/>
                <w:color w:val="FFFFFF"/>
                <w:sz w:val="17"/>
              </w:rPr>
              <w:t>Item</w:t>
            </w:r>
          </w:p>
        </w:tc>
        <w:tc>
          <w:tcPr>
            <w:tcW w:type="dxa" w:w="4959"/>
            <w:tcW w:w="7629" w:type="dxa"/>
          </w:tcPr>
          <w:p>
            <w:pPr>
              <w:spacing w:after="0" w:before="0"/>
            </w:pPr>
            <w:r>
              <w:rPr>
                <w:b/>
                <w:color w:val="FFFFFF"/>
                <w:sz w:val="17"/>
              </w:rPr>
              <w:t>Detail</w:t>
            </w:r>
          </w:p>
        </w:tc>
      </w:tr>
      <w:tr>
        <w:trPr>
          <w:cantSplit w:val="true"/>
        </w:trPr>
        <w:tc>
          <w:tcPr>
            <w:tcW w:type="dxa" w:w="4959"/>
            <w:tcW w:w="2288" w:type="dxa"/>
          </w:tcPr>
          <w:p>
            <w:pPr>
              <w:spacing w:after="0" w:before="0"/>
            </w:pPr>
            <w:r>
              <w:rPr>
                <w:b/>
                <w:sz w:val="17"/>
              </w:rPr>
              <w:t>Document</w:t>
            </w:r>
          </w:p>
        </w:tc>
        <w:tc>
          <w:tcPr>
            <w:tcW w:type="dxa" w:w="4959"/>
            <w:tcW w:w="7629" w:type="dxa"/>
          </w:tcPr>
          <w:p>
            <w:pPr>
              <w:spacing w:after="0" w:before="0"/>
            </w:pPr>
            <w:r>
              <w:rPr>
                <w:sz w:val="17"/>
              </w:rPr>
              <w:t>DSN Fabric MCP Server: solution overview, technical handover and deployment guide</w:t>
            </w:r>
          </w:p>
        </w:tc>
      </w:tr>
      <w:tr>
        <w:trPr>
          <w:cantSplit w:val="true"/>
        </w:trPr>
        <w:tc>
          <w:tcPr>
            <w:tcW w:type="dxa" w:w="4959"/>
            <w:tcW w:w="2288" w:type="dxa"/>
          </w:tcPr>
          <w:p>
            <w:pPr>
              <w:spacing w:after="0" w:before="0"/>
            </w:pPr>
            <w:r>
              <w:rPr>
                <w:b/>
                <w:sz w:val="17"/>
              </w:rPr>
              <w:t>Version</w:t>
            </w:r>
          </w:p>
        </w:tc>
        <w:tc>
          <w:tcPr>
            <w:tcW w:type="dxa" w:w="4959"/>
            <w:tcW w:w="7629" w:type="dxa"/>
          </w:tcPr>
          <w:p>
            <w:pPr>
              <w:spacing w:after="0" w:before="0"/>
            </w:pPr>
            <w:r>
              <w:rPr>
                <w:sz w:val="17"/>
              </w:rPr>
              <w:t>1.0 (first issue)</w:t>
            </w:r>
          </w:p>
        </w:tc>
      </w:tr>
      <w:tr>
        <w:trPr>
          <w:cantSplit w:val="true"/>
        </w:trPr>
        <w:tc>
          <w:tcPr>
            <w:tcW w:type="dxa" w:w="4959"/>
            <w:tcW w:w="2288" w:type="dxa"/>
          </w:tcPr>
          <w:p>
            <w:pPr>
              <w:spacing w:after="0" w:before="0"/>
            </w:pPr>
            <w:r>
              <w:rPr>
                <w:b/>
                <w:sz w:val="17"/>
              </w:rPr>
              <w:t>Date</w:t>
            </w:r>
          </w:p>
        </w:tc>
        <w:tc>
          <w:tcPr>
            <w:tcW w:type="dxa" w:w="4959"/>
            <w:tcW w:w="7629" w:type="dxa"/>
          </w:tcPr>
          <w:p>
            <w:pPr>
              <w:spacing w:after="0" w:before="0"/>
            </w:pPr>
            <w:r>
              <w:rPr>
                <w:sz w:val="17"/>
              </w:rPr>
              <w:t>9 October 2026</w:t>
            </w:r>
          </w:p>
        </w:tc>
      </w:tr>
      <w:tr>
        <w:trPr>
          <w:cantSplit w:val="true"/>
        </w:trPr>
        <w:tc>
          <w:tcPr>
            <w:tcW w:type="dxa" w:w="4959"/>
            <w:tcW w:w="2288" w:type="dxa"/>
          </w:tcPr>
          <w:p>
            <w:pPr>
              <w:spacing w:after="0" w:before="0"/>
            </w:pPr>
            <w:r>
              <w:rPr>
                <w:b/>
                <w:sz w:val="17"/>
              </w:rPr>
              <w:t>Prepared by</w:t>
            </w:r>
          </w:p>
        </w:tc>
        <w:tc>
          <w:tcPr>
            <w:tcW w:type="dxa" w:w="4959"/>
            <w:tcW w:w="7629" w:type="dxa"/>
          </w:tcPr>
          <w:p>
            <w:pPr>
              <w:spacing w:after="0" w:before="0"/>
            </w:pPr>
            <w:r>
              <w:rPr>
                <w:sz w:val="17"/>
              </w:rPr>
              <w:t>JMAN Group</w:t>
            </w:r>
          </w:p>
        </w:tc>
      </w:tr>
      <w:tr>
        <w:trPr>
          <w:cantSplit w:val="true"/>
        </w:trPr>
        <w:tc>
          <w:tcPr>
            <w:tcW w:type="dxa" w:w="4959"/>
            <w:tcW w:w="2288" w:type="dxa"/>
          </w:tcPr>
          <w:p>
            <w:pPr>
              <w:spacing w:after="0" w:before="0"/>
            </w:pPr>
            <w:r>
              <w:rPr>
                <w:b/>
                <w:sz w:val="17"/>
              </w:rPr>
              <w:t>Status</w:t>
            </w:r>
          </w:p>
        </w:tc>
        <w:tc>
          <w:tcPr>
            <w:tcW w:type="dxa" w:w="4959"/>
            <w:tcW w:w="7629" w:type="dxa"/>
          </w:tcPr>
          <w:p>
            <w:pPr>
              <w:spacing w:after="0" w:before="0"/>
            </w:pPr>
            <w:r>
              <w:rPr>
                <w:sz w:val="17"/>
              </w:rPr>
              <w:t>Draft for review</w:t>
            </w:r>
          </w:p>
        </w:tc>
      </w:tr>
      <w:tr>
        <w:trPr>
          <w:cantSplit w:val="true"/>
        </w:trPr>
        <w:tc>
          <w:tcPr>
            <w:tcW w:type="dxa" w:w="4959"/>
            <w:tcW w:w="2288" w:type="dxa"/>
          </w:tcPr>
          <w:p>
            <w:pPr>
              <w:spacing w:after="0" w:before="0"/>
            </w:pPr>
            <w:r>
              <w:rPr>
                <w:b/>
                <w:sz w:val="17"/>
              </w:rPr>
              <w:t>Code baseline</w:t>
            </w:r>
          </w:p>
        </w:tc>
        <w:tc>
          <w:tcPr>
            <w:tcW w:type="dxa" w:w="4959"/>
            <w:tcW w:w="7629" w:type="dxa"/>
          </w:tcPr>
          <w:p>
            <w:pPr>
              <w:spacing w:after="0" w:before="0"/>
            </w:pPr>
            <w:r>
              <w:rPr>
                <w:sz w:val="17"/>
              </w:rPr>
              <w:t xml:space="preserve">Repository </w:t>
            </w:r>
            <w:r>
              <w:rPr>
                <w:rFonts w:ascii="Consolas" w:hAnsi="Consolas"/>
                <w:color w:val="3411A3"/>
                <w:sz w:val="16"/>
              </w:rPr>
              <w:t>dsn-fabric-mcp_server</w:t>
            </w:r>
            <w:r>
              <w:rPr>
                <w:sz w:val="17"/>
              </w:rPr>
              <w:t xml:space="preserve">, branch </w:t>
            </w:r>
            <w:r>
              <w:rPr>
                <w:rFonts w:ascii="Consolas" w:hAnsi="Consolas"/>
                <w:color w:val="3411A3"/>
                <w:sz w:val="16"/>
              </w:rPr>
              <w:t>main</w:t>
            </w:r>
            <w:r>
              <w:rPr>
                <w:sz w:val="17"/>
              </w:rPr>
              <w:t xml:space="preserve">, commit </w:t>
            </w:r>
            <w:r>
              <w:rPr>
                <w:rFonts w:ascii="Consolas" w:hAnsi="Consolas"/>
                <w:color w:val="3411A3"/>
                <w:sz w:val="16"/>
              </w:rPr>
              <w:t>4105bad</w:t>
            </w:r>
          </w:p>
        </w:tc>
      </w:tr>
      <w:tr>
        <w:trPr>
          <w:cantSplit w:val="true"/>
        </w:trPr>
        <w:tc>
          <w:tcPr>
            <w:tcW w:type="dxa" w:w="4959"/>
            <w:tcW w:w="2288" w:type="dxa"/>
          </w:tcPr>
          <w:p>
            <w:pPr>
              <w:spacing w:after="0" w:before="0"/>
            </w:pPr>
            <w:r>
              <w:rPr>
                <w:b/>
                <w:sz w:val="17"/>
              </w:rPr>
              <w:t>Business rule version</w:t>
            </w:r>
          </w:p>
        </w:tc>
        <w:tc>
          <w:tcPr>
            <w:tcW w:type="dxa" w:w="4959"/>
            <w:tcW w:w="7629" w:type="dxa"/>
          </w:tcPr>
          <w:p>
            <w:pPr>
              <w:spacing w:after="0" w:before="0"/>
            </w:pPr>
            <w:r>
              <w:rPr>
                <w:rFonts w:ascii="Consolas" w:hAnsi="Consolas"/>
                <w:color w:val="3411A3"/>
                <w:sz w:val="16"/>
              </w:rPr>
              <w:t>DSN_FABRIC_2026-08-10_V1</w:t>
            </w:r>
            <w:r>
              <w:rPr>
                <w:sz w:val="17"/>
              </w:rPr>
              <w:t xml:space="preserve"> (see </w:t>
            </w:r>
            <w:r>
              <w:rPr>
                <w:rFonts w:ascii="Consolas" w:hAnsi="Consolas"/>
                <w:color w:val="3411A3"/>
                <w:sz w:val="16"/>
              </w:rPr>
              <w:t>business_rules.py</w:t>
            </w:r>
            <w:r>
              <w:rPr>
                <w:sz w:val="17"/>
              </w:rPr>
              <w:t>)</w:t>
            </w:r>
          </w:p>
        </w:tc>
      </w:tr>
      <w:tr>
        <w:trPr>
          <w:cantSplit w:val="true"/>
        </w:trPr>
        <w:tc>
          <w:tcPr>
            <w:tcW w:type="dxa" w:w="4959"/>
            <w:tcW w:w="2288" w:type="dxa"/>
          </w:tcPr>
          <w:p>
            <w:pPr>
              <w:spacing w:after="0" w:before="0"/>
            </w:pPr>
            <w:r>
              <w:rPr>
                <w:b/>
                <w:sz w:val="17"/>
              </w:rPr>
              <w:t>Audience</w:t>
            </w:r>
          </w:p>
        </w:tc>
        <w:tc>
          <w:tcPr>
            <w:tcW w:type="dxa" w:w="4959"/>
            <w:tcW w:w="7629" w:type="dxa"/>
          </w:tcPr>
          <w:p>
            <w:pPr>
              <w:spacing w:after="0" w:before="0"/>
            </w:pPr>
            <w:r>
              <w:rPr>
                <w:sz w:val="17"/>
              </w:rPr>
              <w:t>Engineers who will maintain or extend the server</w:t>
            </w:r>
          </w:p>
          <w:p>
            <w:pPr>
              <w:spacing w:after="0" w:before="40"/>
            </w:pPr>
            <w:r>
              <w:rPr>
                <w:sz w:val="17"/>
              </w:rPr>
              <w:t>Platform / infrastructure teams who will deploy it</w:t>
            </w:r>
          </w:p>
          <w:p>
            <w:pPr>
              <w:spacing w:after="0" w:before="40"/>
            </w:pPr>
            <w:r>
              <w:rPr>
                <w:sz w:val="17"/>
              </w:rPr>
              <w:t>Analytics leads who own the DSN reconciliation rules</w:t>
            </w:r>
          </w:p>
        </w:tc>
      </w:tr>
    </w:tbl>
    <w:p>
      <w:pPr>
        <w:spacing w:after="80"/>
      </w:pPr>
    </w:p>
    <w:p>
      <w:pPr>
        <w:keepNext/>
        <w:spacing w:before="160" w:after="80"/>
      </w:pPr>
      <w:r>
        <w:rPr>
          <w:b/>
          <w:color w:val="3411A3"/>
          <w:sz w:val="18"/>
        </w:rPr>
        <w:t xml:space="preserve">Table 1: </w:t>
      </w:r>
      <w:r>
        <w:rPr>
          <w:color w:val="3411A3"/>
          <w:sz w:val="18"/>
        </w:rPr>
        <w:t>Revision history</w:t>
      </w:r>
    </w:p>
    <w:tbl>
      <w:tblPr>
        <w:tblStyle w:val="Style1"/>
        <w:tblLook w:firstColumn="1" w:firstRow="1" w:lastColumn="0" w:lastRow="0" w:noHBand="0" w:noVBand="1" w:val="04A0"/>
        <w:tblW w:w="9917" w:type="dxa"/>
        <w:tblCellMar>
          <w:top w:w="50" w:type="dxa"/>
          <w:left w:w="90" w:type="dxa"/>
          <w:bottom w:w="50" w:type="dxa"/>
          <w:right w:w="90" w:type="dxa"/>
        </w:tblCellMar>
        <w:tblLook w:val="04A0" w:firstRow="1" w:lastRow="0" w:firstColumn="0" w:lastColumn="0" w:noHBand="0" w:noVBand="1"/>
      </w:tblPr>
      <w:tblGrid>
        <w:gridCol w:w="1322"/>
        <w:gridCol w:w="1818"/>
        <w:gridCol w:w="6777"/>
      </w:tblGrid>
      <w:tr>
        <w:trPr>
          <w:tblHeader w:val="true"/>
          <w:trHeight w:val="397"/>
          <w:cantSplit w:val="true"/>
        </w:trPr>
        <w:tc>
          <w:tcPr>
            <w:tcW w:type="dxa" w:w="3306"/>
            <w:tcW w:w="1322" w:type="dxa"/>
          </w:tcPr>
          <w:p>
            <w:pPr>
              <w:spacing w:after="0" w:before="0"/>
            </w:pPr>
            <w:r>
              <w:rPr>
                <w:b/>
                <w:color w:val="FFFFFF"/>
                <w:sz w:val="17"/>
              </w:rPr>
              <w:t>Version</w:t>
            </w:r>
          </w:p>
        </w:tc>
        <w:tc>
          <w:tcPr>
            <w:tcW w:type="dxa" w:w="3306"/>
            <w:tcW w:w="1818" w:type="dxa"/>
          </w:tcPr>
          <w:p>
            <w:pPr>
              <w:spacing w:after="0" w:before="0"/>
            </w:pPr>
            <w:r>
              <w:rPr>
                <w:b/>
                <w:color w:val="FFFFFF"/>
                <w:sz w:val="17"/>
              </w:rPr>
              <w:t>Date</w:t>
            </w:r>
          </w:p>
        </w:tc>
        <w:tc>
          <w:tcPr>
            <w:tcW w:type="dxa" w:w="3306"/>
            <w:tcW w:w="6777" w:type="dxa"/>
          </w:tcPr>
          <w:p>
            <w:pPr>
              <w:spacing w:after="0" w:before="0"/>
            </w:pPr>
            <w:r>
              <w:rPr>
                <w:b/>
                <w:color w:val="FFFFFF"/>
                <w:sz w:val="17"/>
              </w:rPr>
              <w:t>Change</w:t>
            </w:r>
          </w:p>
        </w:tc>
      </w:tr>
      <w:tr>
        <w:trPr>
          <w:cantSplit w:val="true"/>
        </w:trPr>
        <w:tc>
          <w:tcPr>
            <w:tcW w:type="dxa" w:w="3306"/>
            <w:tcW w:w="1322" w:type="dxa"/>
          </w:tcPr>
          <w:p>
            <w:pPr>
              <w:spacing w:after="0" w:before="0"/>
            </w:pPr>
            <w:r>
              <w:rPr>
                <w:sz w:val="17"/>
              </w:rPr>
              <w:t>1.0</w:t>
            </w:r>
          </w:p>
        </w:tc>
        <w:tc>
          <w:tcPr>
            <w:tcW w:type="dxa" w:w="3306"/>
            <w:tcW w:w="1818" w:type="dxa"/>
          </w:tcPr>
          <w:p>
            <w:pPr>
              <w:spacing w:after="0" w:before="0"/>
            </w:pPr>
            <w:r>
              <w:rPr>
                <w:sz w:val="17"/>
              </w:rPr>
              <w:t>09 Oct 2026</w:t>
            </w:r>
          </w:p>
        </w:tc>
        <w:tc>
          <w:tcPr>
            <w:tcW w:type="dxa" w:w="3306"/>
            <w:tcW w:w="6777" w:type="dxa"/>
          </w:tcPr>
          <w:p>
            <w:pPr>
              <w:spacing w:after="0" w:before="0"/>
            </w:pPr>
            <w:r>
              <w:rPr>
                <w:sz w:val="17"/>
              </w:rPr>
              <w:t>First issue, written from a full review of the code at commit 4105bad.</w:t>
            </w:r>
          </w:p>
        </w:tc>
      </w:tr>
    </w:tbl>
    <w:p>
      <w:pPr>
        <w:spacing w:after="80"/>
      </w:pPr>
    </w:p>
    <w:p>
      <w:pPr>
        <w:pStyle w:val="TOCHeading"/>
      </w:pPr>
      <w:r>
        <w:t>Contents</w:t>
      </w:r>
    </w:p>
    <w:p>
      <w:r>
        <w:fldChar w:fldCharType="begin"/>
      </w:r>
      <w:r>
        <w:instrText xml:space="preserve"> TOC \o "1-2" \h \z \u </w:instrText>
      </w:r>
      <w:r>
        <w:fldChar w:fldCharType="separate"/>
      </w:r>
      <w:r>
        <w:t>Right-click and choose Update Field to build the table of contents.</w:t>
      </w:r>
      <w:r>
        <w:fldChar w:fldCharType="end"/>
      </w:r>
    </w:p>
    <w:p>
      <w:pPr>
        <w:pStyle w:val="Heading1"/>
        <w:pageBreakBefore/>
      </w:pPr>
      <w:r>
        <w:t>Overview</w:t>
      </w:r>
    </w:p>
    <w:p>
      <w:pPr>
        <w:pStyle w:val="Heading2"/>
      </w:pPr>
      <w:r>
        <w:t>Purpose of this document</w:t>
      </w:r>
    </w:p>
    <w:p>
      <w:r>
        <w:t>This document hands over the DSN Fabric MCP server. It covers what the solution does and why it exists, how the code is organised, how to install and configure it, how to run and support it, and what to watch out for. Section 7 is a dedicated guide for teams moving the server from analysts' laptops to a shared, centrally hosted server.</w:t>
      </w:r>
    </w:p>
    <w:p>
      <w:r>
        <w:t>Everything in this document was checked against the code. Where a statement is a recommendation or a proposed change rather than current behaviour, it is labelled as such.</w:t>
      </w:r>
    </w:p>
    <w:p>
      <w:pPr>
        <w:pStyle w:val="Heading2"/>
      </w:pPr>
      <w:r>
        <w:t>What the solution does</w:t>
      </w:r>
    </w:p>
    <w:p>
      <w:r>
        <w:t xml:space="preserve">The DSN Fabric MCP server is a Python service that lets Claude answer DSN business questions directly from the Microsoft Fabric data warehouse. It uses the Model Context Protocol (MCP), the open standard Claude uses to call external tools. An analyst asks a question in plain English, for example </w:t>
      </w:r>
      <w:r>
        <w:rPr>
          <w:i/>
        </w:rPr>
        <w:t>"core title transactions for Morgan Auto Group in June 2026 by agency"</w:t>
      </w:r>
      <w:r>
        <w:t>. Claude picks the matching approved report, and the server runs reconciliation-grade SQL against Fabric. It returns a short preview to Claude and keeps the full result on disk so it can be paged through or exported to Excel.</w:t>
      </w:r>
    </w:p>
    <w:p>
      <w:pPr>
        <w:keepNext/>
        <w:spacing w:before="160" w:after="80"/>
      </w:pPr>
      <w:r>
        <w:rPr>
          <w:b/>
          <w:color w:val="3411A3"/>
          <w:sz w:val="18"/>
        </w:rPr>
        <w:t xml:space="preserve">Table 2: </w:t>
      </w:r>
      <w:r>
        <w:rPr>
          <w:color w:val="3411A3"/>
          <w:sz w:val="18"/>
        </w:rPr>
        <w:t>Solution capabilities</w:t>
      </w:r>
    </w:p>
    <w:tbl>
      <w:tblPr>
        <w:tblStyle w:val="Style1"/>
        <w:tblLook w:firstColumn="1" w:firstRow="1" w:lastColumn="0" w:lastRow="0" w:noHBand="0" w:noVBand="1" w:val="04A0"/>
        <w:tblW w:w="9917" w:type="dxa"/>
        <w:tblCellMar>
          <w:top w:w="50" w:type="dxa"/>
          <w:left w:w="90" w:type="dxa"/>
          <w:bottom w:w="50" w:type="dxa"/>
          <w:right w:w="90" w:type="dxa"/>
        </w:tblCellMar>
        <w:tblLook w:val="04A0" w:firstRow="1" w:lastRow="0" w:firstColumn="0" w:lastColumn="0" w:noHBand="0" w:noVBand="1"/>
      </w:tblPr>
      <w:tblGrid>
        <w:gridCol w:w="2644"/>
        <w:gridCol w:w="7273"/>
      </w:tblGrid>
      <w:tr>
        <w:trPr>
          <w:tblHeader w:val="true"/>
          <w:trHeight w:val="397"/>
          <w:cantSplit w:val="true"/>
        </w:trPr>
        <w:tc>
          <w:tcPr>
            <w:tcW w:type="dxa" w:w="4959"/>
            <w:tcW w:w="2644" w:type="dxa"/>
          </w:tcPr>
          <w:p>
            <w:pPr>
              <w:spacing w:after="0" w:before="0"/>
            </w:pPr>
            <w:r>
              <w:rPr>
                <w:b/>
                <w:color w:val="FFFFFF"/>
                <w:sz w:val="17"/>
              </w:rPr>
              <w:t>Capability</w:t>
            </w:r>
          </w:p>
        </w:tc>
        <w:tc>
          <w:tcPr>
            <w:tcW w:type="dxa" w:w="4959"/>
            <w:tcW w:w="7273" w:type="dxa"/>
          </w:tcPr>
          <w:p>
            <w:pPr>
              <w:spacing w:after="0" w:before="0"/>
            </w:pPr>
            <w:r>
              <w:rPr>
                <w:b/>
                <w:color w:val="FFFFFF"/>
                <w:sz w:val="17"/>
              </w:rPr>
              <w:t>What it gives the business</w:t>
            </w:r>
          </w:p>
        </w:tc>
      </w:tr>
      <w:tr>
        <w:trPr>
          <w:cantSplit w:val="true"/>
        </w:trPr>
        <w:tc>
          <w:tcPr>
            <w:tcW w:type="dxa" w:w="4959"/>
            <w:tcW w:w="2644" w:type="dxa"/>
          </w:tcPr>
          <w:p>
            <w:pPr>
              <w:spacing w:after="0" w:before="0"/>
            </w:pPr>
            <w:r>
              <w:rPr>
                <w:sz w:val="17"/>
              </w:rPr>
              <w:t>Approved reports (</w:t>
            </w:r>
            <w:r>
              <w:rPr>
                <w:rFonts w:ascii="Consolas" w:hAnsi="Consolas"/>
                <w:color w:val="3411A3"/>
                <w:sz w:val="16"/>
              </w:rPr>
              <w:t>dsn_query</w:t>
            </w:r>
            <w:r>
              <w:rPr>
                <w:sz w:val="17"/>
              </w:rPr>
              <w:t>)</w:t>
            </w:r>
          </w:p>
        </w:tc>
        <w:tc>
          <w:tcPr>
            <w:tcW w:type="dxa" w:w="4959"/>
            <w:tcW w:w="7273" w:type="dxa"/>
          </w:tcPr>
          <w:p>
            <w:pPr>
              <w:spacing w:after="0" w:before="0"/>
            </w:pPr>
            <w:r>
              <w:rPr>
                <w:sz w:val="17"/>
              </w:rPr>
              <w:t>Seven standard DSN workflows (core transactions, parent-customer detail, dealer-service summary, aggregate summary, reference summary, EOMV retail and MVD), always calculated the same way.</w:t>
            </w:r>
          </w:p>
        </w:tc>
      </w:tr>
      <w:tr>
        <w:trPr>
          <w:cantSplit w:val="true"/>
        </w:trPr>
        <w:tc>
          <w:tcPr>
            <w:tcW w:type="dxa" w:w="4959"/>
            <w:tcW w:w="2644" w:type="dxa"/>
          </w:tcPr>
          <w:p>
            <w:pPr>
              <w:spacing w:after="0" w:before="0"/>
            </w:pPr>
            <w:r>
              <w:rPr>
                <w:sz w:val="17"/>
              </w:rPr>
              <w:t>Targeted discovery (</w:t>
            </w:r>
            <w:r>
              <w:rPr>
                <w:rFonts w:ascii="Consolas" w:hAnsi="Consolas"/>
                <w:color w:val="3411A3"/>
                <w:sz w:val="16"/>
              </w:rPr>
              <w:t>dsn_catalog</w:t>
            </w:r>
            <w:r>
              <w:rPr>
                <w:sz w:val="17"/>
              </w:rPr>
              <w:t>)</w:t>
            </w:r>
          </w:p>
        </w:tc>
        <w:tc>
          <w:tcPr>
            <w:tcW w:type="dxa" w:w="4959"/>
            <w:tcW w:w="7273" w:type="dxa"/>
          </w:tcPr>
          <w:p>
            <w:pPr>
              <w:spacing w:after="0" w:before="0"/>
            </w:pPr>
            <w:r>
              <w:rPr>
                <w:sz w:val="17"/>
              </w:rPr>
              <w:t>Look up exact agency codes, stored parent-customer names, tables, columns and methodology without loading the whole schema into Claude's context.</w:t>
            </w:r>
          </w:p>
        </w:tc>
      </w:tr>
      <w:tr>
        <w:trPr>
          <w:cantSplit w:val="true"/>
        </w:trPr>
        <w:tc>
          <w:tcPr>
            <w:tcW w:type="dxa" w:w="4959"/>
            <w:tcW w:w="2644" w:type="dxa"/>
          </w:tcPr>
          <w:p>
            <w:pPr>
              <w:spacing w:after="0" w:before="0"/>
            </w:pPr>
            <w:r>
              <w:rPr>
                <w:sz w:val="17"/>
              </w:rPr>
              <w:t>Large-result handling (</w:t>
            </w:r>
            <w:r>
              <w:rPr>
                <w:rFonts w:ascii="Consolas" w:hAnsi="Consolas"/>
                <w:color w:val="3411A3"/>
                <w:sz w:val="16"/>
              </w:rPr>
              <w:t>dsn_result</w:t>
            </w:r>
            <w:r>
              <w:rPr>
                <w:sz w:val="17"/>
              </w:rPr>
              <w:t>)</w:t>
            </w:r>
          </w:p>
        </w:tc>
        <w:tc>
          <w:tcPr>
            <w:tcW w:type="dxa" w:w="4959"/>
            <w:tcW w:w="7273" w:type="dxa"/>
          </w:tcPr>
          <w:p>
            <w:pPr>
              <w:spacing w:after="0" w:before="0"/>
            </w:pPr>
            <w:r>
              <w:rPr>
                <w:sz w:val="17"/>
              </w:rPr>
              <w:t>Results of up to 250,000 rows are cached locally. Claude sees a bounded preview, and users can page through the rest or export everything to Excel.</w:t>
            </w:r>
          </w:p>
        </w:tc>
      </w:tr>
      <w:tr>
        <w:trPr>
          <w:cantSplit w:val="true"/>
        </w:trPr>
        <w:tc>
          <w:tcPr>
            <w:tcW w:type="dxa" w:w="4959"/>
            <w:tcW w:w="2644" w:type="dxa"/>
          </w:tcPr>
          <w:p>
            <w:pPr>
              <w:spacing w:after="0" w:before="0"/>
            </w:pPr>
            <w:r>
              <w:rPr>
                <w:sz w:val="17"/>
              </w:rPr>
              <w:t>Excel with provenance</w:t>
            </w:r>
          </w:p>
        </w:tc>
        <w:tc>
          <w:tcPr>
            <w:tcW w:type="dxa" w:w="4959"/>
            <w:tcW w:w="7273" w:type="dxa"/>
          </w:tcPr>
          <w:p>
            <w:pPr>
              <w:spacing w:after="0" w:before="0"/>
            </w:pPr>
            <w:r>
              <w:rPr>
                <w:sz w:val="17"/>
              </w:rPr>
              <w:t xml:space="preserve">Each export includes a </w:t>
            </w:r>
            <w:r>
              <w:rPr>
                <w:rFonts w:ascii="Consolas" w:hAnsi="Consolas"/>
                <w:color w:val="3411A3"/>
                <w:sz w:val="16"/>
              </w:rPr>
              <w:t>_pull_info</w:t>
            </w:r>
            <w:r>
              <w:rPr>
                <w:sz w:val="17"/>
              </w:rPr>
              <w:t xml:space="preserve"> sheet listing the report, scope, methodology, business rule version, warnings, row counts and query hashes.</w:t>
            </w:r>
          </w:p>
        </w:tc>
      </w:tr>
      <w:tr>
        <w:trPr>
          <w:cantSplit w:val="true"/>
        </w:trPr>
        <w:tc>
          <w:tcPr>
            <w:tcW w:type="dxa" w:w="4959"/>
            <w:tcW w:w="2644" w:type="dxa"/>
          </w:tcPr>
          <w:p>
            <w:pPr>
              <w:spacing w:after="0" w:before="0"/>
            </w:pPr>
            <w:r>
              <w:rPr>
                <w:sz w:val="17"/>
              </w:rPr>
              <w:t>Bounded ad-hoc SQL</w:t>
            </w:r>
          </w:p>
        </w:tc>
        <w:tc>
          <w:tcPr>
            <w:tcW w:type="dxa" w:w="4959"/>
            <w:tcW w:w="7273" w:type="dxa"/>
          </w:tcPr>
          <w:p>
            <w:pPr>
              <w:spacing w:after="0" w:before="0"/>
            </w:pPr>
            <w:r>
              <w:rPr>
                <w:sz w:val="17"/>
              </w:rPr>
              <w:t>A single read-only SELECT, used as a last resort when no approved report fits. The number of rows returned is capped.</w:t>
            </w:r>
          </w:p>
        </w:tc>
      </w:tr>
      <w:tr>
        <w:trPr>
          <w:cantSplit w:val="true"/>
        </w:trPr>
        <w:tc>
          <w:tcPr>
            <w:tcW w:type="dxa" w:w="4959"/>
            <w:tcW w:w="2644" w:type="dxa"/>
          </w:tcPr>
          <w:p>
            <w:pPr>
              <w:spacing w:after="0" w:before="0"/>
            </w:pPr>
            <w:r>
              <w:rPr>
                <w:sz w:val="17"/>
              </w:rPr>
              <w:t>Health check</w:t>
            </w:r>
          </w:p>
        </w:tc>
        <w:tc>
          <w:tcPr>
            <w:tcW w:type="dxa" w:w="4959"/>
            <w:tcW w:w="7273" w:type="dxa"/>
          </w:tcPr>
          <w:p>
            <w:pPr>
              <w:spacing w:after="0" w:before="0"/>
            </w:pPr>
            <w:r>
              <w:rPr>
                <w:sz w:val="17"/>
              </w:rPr>
              <w:t>Confirms the configuration, the Service Principal sign-in and the warehouse connection. It never returns secrets.</w:t>
            </w:r>
          </w:p>
        </w:tc>
      </w:tr>
    </w:tbl>
    <w:p>
      <w:pPr>
        <w:spacing w:after="80"/>
      </w:pPr>
    </w:p>
    <w:p>
      <w:pPr>
        <w:pStyle w:val="Heading2"/>
      </w:pPr>
      <w:r>
        <w:t>Why it exists</w:t>
      </w:r>
    </w:p>
    <w:p>
      <w:r>
        <w:t xml:space="preserve">The original proof of concept gave Claude two generic tools: </w:t>
      </w:r>
      <w:r>
        <w:rPr>
          <w:rFonts w:ascii="Consolas" w:hAnsi="Consolas"/>
          <w:color w:val="3411A3"/>
          <w:sz w:val="18"/>
        </w:rPr>
        <w:t>get_schema()</w:t>
      </w:r>
      <w:r>
        <w:t xml:space="preserve"> and an unrestricted </w:t>
      </w:r>
      <w:r>
        <w:rPr>
          <w:rFonts w:ascii="Consolas" w:hAnsi="Consolas"/>
          <w:color w:val="3411A3"/>
          <w:sz w:val="18"/>
        </w:rPr>
        <w:t>execute_sql(sql)</w:t>
      </w:r>
      <w:r>
        <w:t>. That proved the connection to Fabric worked, but it left Claude to work out DSN reconciliation rules from the schema every time. Two runs of the same question could produce different numbers. The main causes were:</w:t>
      </w:r>
    </w:p>
    <w:p>
      <w:pPr>
        <w:pStyle w:val="Bullet"/>
      </w:pPr>
      <w:r>
        <w:rPr>
          <w:b/>
        </w:rPr>
        <w:t>Fan-out.</w:t>
      </w:r>
      <w:r>
        <w:t xml:space="preserve"> The Fabric fact table can repeat one business transaction across several service rows, so counting fact rows overstates transaction counts and summing revenue across dimension joins overstates revenue.</w:t>
      </w:r>
    </w:p>
    <w:p>
      <w:pPr>
        <w:pStyle w:val="Bullet"/>
      </w:pPr>
      <w:r>
        <w:rPr>
          <w:b/>
        </w:rPr>
        <w:t>Business definitions.</w:t>
      </w:r>
      <w:r>
        <w:t xml:space="preserve"> A </w:t>
      </w:r>
      <w:r>
        <w:rPr>
          <w:i/>
        </w:rPr>
        <w:t>core</w:t>
      </w:r>
      <w:r>
        <w:t xml:space="preserve"> transaction means all EFS transactions plus non-EFS transactions with one of four title sub-services. A model will not infer that from column names.</w:t>
      </w:r>
    </w:p>
    <w:p>
      <w:pPr>
        <w:pStyle w:val="Bullet"/>
      </w:pPr>
      <w:r>
        <w:rPr>
          <w:b/>
        </w:rPr>
        <w:t>Date semantics.</w:t>
      </w:r>
      <w:r>
        <w:t xml:space="preserve"> Every reconciled number uses an inclusive start date and an exclusive end date. Writing </w:t>
      </w:r>
      <w:r>
        <w:rPr>
          <w:rFonts w:ascii="Consolas" w:hAnsi="Consolas"/>
          <w:color w:val="3411A3"/>
          <w:sz w:val="18"/>
        </w:rPr>
        <w:t>BETWEEN</w:t>
      </w:r>
      <w:r>
        <w:t xml:space="preserve"> or an end-of-month date by hand causes small but real differences.</w:t>
      </w:r>
    </w:p>
    <w:p>
      <w:pPr>
        <w:pStyle w:val="Bullet"/>
      </w:pPr>
      <w:r>
        <w:rPr>
          <w:b/>
        </w:rPr>
        <w:t>Scope rules.</w:t>
      </w:r>
      <w:r>
        <w:t xml:space="preserve"> Reference and aggregate summaries rely on agreed source keep-lists and entity exclusion lists.</w:t>
      </w:r>
    </w:p>
    <w:p>
      <w:r>
        <w:t xml:space="preserve">This build applies one rule throughout: </w:t>
      </w:r>
      <w:r>
        <w:rPr>
          <w:b/>
        </w:rPr>
        <w:t>Claude decides WHAT analysis is needed, and the MCP server decides HOW it is calculated.</w:t>
      </w:r>
      <w:r>
        <w:t xml:space="preserve"> The business rules and SQL live in version-controlled server code. Each result records the </w:t>
      </w:r>
      <w:r>
        <w:rPr>
          <w:rFonts w:ascii="Consolas" w:hAnsi="Consolas"/>
          <w:color w:val="3411A3"/>
          <w:sz w:val="18"/>
        </w:rPr>
        <w:t>BUSINESS_RULE_VERSION</w:t>
      </w:r>
      <w:r>
        <w:t xml:space="preserve"> that produced it, so a number shown in a meeting can be traced back to the exact rules and SQL behind it.</w:t>
      </w:r>
    </w:p>
    <w:p>
      <w:pPr>
        <w:pStyle w:val="Heading2"/>
      </w:pPr>
      <w:r>
        <w:t>Architecture</w:t>
      </w:r>
    </w:p>
    <w:p>
      <w:pPr>
        <w:keepNext/>
        <w:spacing w:before="120"/>
        <w:jc w:val="center"/>
      </w:pPr>
      <w:r>
        <w:drawing>
          <wp:inline xmlns:a="http://schemas.openxmlformats.org/drawingml/2006/main" xmlns:pic="http://schemas.openxmlformats.org/drawingml/2006/picture">
            <wp:extent cx="5416219" cy="5174210"/>
            <wp:docPr id="296" name="Picture 296"/>
            <wp:cNvGraphicFramePr>
              <a:graphicFrameLocks noChangeAspect="1"/>
            </wp:cNvGraphicFramePr>
            <a:graphic>
              <a:graphicData uri="http://schemas.openxmlformats.org/drawingml/2006/picture">
                <pic:pic>
                  <pic:nvPicPr>
                    <pic:cNvPr id="0" name="arch_current.png"/>
                    <pic:cNvPicPr/>
                  </pic:nvPicPr>
                  <pic:blipFill>
                    <a:blip r:embed="rId26"/>
                    <a:stretch>
                      <a:fillRect/>
                    </a:stretch>
                  </pic:blipFill>
                  <pic:spPr>
                    <a:xfrm>
                      <a:off x="0" y="0"/>
                      <a:ext cx="5416219" cy="5174210"/>
                    </a:xfrm>
                    <a:prstGeom prst="rect"/>
                  </pic:spPr>
                </pic:pic>
              </a:graphicData>
            </a:graphic>
          </wp:inline>
        </w:drawing>
      </w:r>
    </w:p>
    <w:p>
      <w:pPr>
        <w:keepNext w:val="0"/>
        <w:spacing w:before="40" w:after="240"/>
        <w:jc w:val="center"/>
      </w:pPr>
      <w:r>
        <w:rPr>
          <w:b/>
          <w:color w:val="3411A3"/>
          <w:sz w:val="18"/>
        </w:rPr>
        <w:t xml:space="preserve">Figure 1: </w:t>
      </w:r>
      <w:r>
        <w:rPr>
          <w:color w:val="3411A3"/>
          <w:sz w:val="18"/>
        </w:rPr>
        <w:t>Current architecture (local, per-user deployment over stdio)</w:t>
      </w:r>
    </w:p>
    <w:p>
      <w:r>
        <w:t>Today the server runs as a local child process of Claude Desktop on each analyst's machine and talks to Claude over stdio. Each layer has a single job:</w:t>
      </w:r>
    </w:p>
    <w:p>
      <w:pPr>
        <w:keepNext/>
        <w:spacing w:before="160" w:after="80"/>
      </w:pPr>
      <w:r>
        <w:rPr>
          <w:b/>
          <w:color w:val="3411A3"/>
          <w:sz w:val="18"/>
        </w:rPr>
        <w:t xml:space="preserve">Table 3: </w:t>
      </w:r>
      <w:r>
        <w:rPr>
          <w:color w:val="3411A3"/>
          <w:sz w:val="18"/>
        </w:rPr>
        <w:t>Architecture layers</w:t>
      </w:r>
    </w:p>
    <w:tbl>
      <w:tblPr>
        <w:tblStyle w:val="Style1"/>
        <w:tblLook w:firstColumn="1" w:firstRow="1" w:lastColumn="0" w:lastRow="0" w:noHBand="0" w:noVBand="1" w:val="04A0"/>
        <w:tblW w:w="9917" w:type="dxa"/>
        <w:tblCellMar>
          <w:top w:w="50" w:type="dxa"/>
          <w:left w:w="90" w:type="dxa"/>
          <w:bottom w:w="50" w:type="dxa"/>
          <w:right w:w="90" w:type="dxa"/>
        </w:tblCellMar>
        <w:tblLook w:val="04A0" w:firstRow="1" w:lastRow="0" w:firstColumn="0" w:lastColumn="0" w:noHBand="0" w:noVBand="1"/>
      </w:tblPr>
      <w:tblGrid>
        <w:gridCol w:w="1983"/>
        <w:gridCol w:w="2899"/>
        <w:gridCol w:w="5035"/>
      </w:tblGrid>
      <w:tr>
        <w:trPr>
          <w:tblHeader w:val="true"/>
          <w:trHeight w:val="397"/>
          <w:cantSplit w:val="true"/>
        </w:trPr>
        <w:tc>
          <w:tcPr>
            <w:tcW w:type="dxa" w:w="3306"/>
            <w:tcW w:w="1983" w:type="dxa"/>
          </w:tcPr>
          <w:p>
            <w:pPr>
              <w:spacing w:after="0" w:before="0"/>
            </w:pPr>
            <w:r>
              <w:rPr>
                <w:b/>
                <w:color w:val="FFFFFF"/>
                <w:sz w:val="17"/>
              </w:rPr>
              <w:t>Layer</w:t>
            </w:r>
          </w:p>
        </w:tc>
        <w:tc>
          <w:tcPr>
            <w:tcW w:type="dxa" w:w="3306"/>
            <w:tcW w:w="2899" w:type="dxa"/>
          </w:tcPr>
          <w:p>
            <w:pPr>
              <w:spacing w:after="0" w:before="0"/>
            </w:pPr>
            <w:r>
              <w:rPr>
                <w:b/>
                <w:color w:val="FFFFFF"/>
                <w:sz w:val="17"/>
              </w:rPr>
              <w:t>Modules</w:t>
            </w:r>
          </w:p>
        </w:tc>
        <w:tc>
          <w:tcPr>
            <w:tcW w:type="dxa" w:w="3306"/>
            <w:tcW w:w="5035" w:type="dxa"/>
          </w:tcPr>
          <w:p>
            <w:pPr>
              <w:spacing w:after="0" w:before="0"/>
            </w:pPr>
            <w:r>
              <w:rPr>
                <w:b/>
                <w:color w:val="FFFFFF"/>
                <w:sz w:val="17"/>
              </w:rPr>
              <w:t>Responsibility</w:t>
            </w:r>
          </w:p>
        </w:tc>
      </w:tr>
      <w:tr>
        <w:trPr>
          <w:cantSplit w:val="true"/>
        </w:trPr>
        <w:tc>
          <w:tcPr>
            <w:tcW w:type="dxa" w:w="3306"/>
            <w:tcW w:w="1983" w:type="dxa"/>
          </w:tcPr>
          <w:p>
            <w:pPr>
              <w:spacing w:after="0" w:before="0"/>
            </w:pPr>
            <w:r>
              <w:rPr>
                <w:sz w:val="17"/>
              </w:rPr>
              <w:t>MCP interface</w:t>
            </w:r>
          </w:p>
        </w:tc>
        <w:tc>
          <w:tcPr>
            <w:tcW w:type="dxa" w:w="3306"/>
            <w:tcW w:w="2899" w:type="dxa"/>
          </w:tcPr>
          <w:p>
            <w:pPr>
              <w:spacing w:after="0" w:before="0"/>
            </w:pPr>
            <w:r>
              <w:rPr>
                <w:rFonts w:ascii="Consolas" w:hAnsi="Consolas"/>
                <w:color w:val="3411A3"/>
                <w:sz w:val="16"/>
              </w:rPr>
              <w:t>server.py</w:t>
            </w:r>
            <w:r>
              <w:rPr>
                <w:sz w:val="17"/>
              </w:rPr>
              <w:t xml:space="preserve">, </w:t>
            </w:r>
            <w:r>
              <w:rPr>
                <w:rFonts w:ascii="Consolas" w:hAnsi="Consolas"/>
                <w:color w:val="3411A3"/>
                <w:sz w:val="16"/>
              </w:rPr>
              <w:t>models.py</w:t>
            </w:r>
          </w:p>
        </w:tc>
        <w:tc>
          <w:tcPr>
            <w:tcW w:type="dxa" w:w="3306"/>
            <w:tcW w:w="5035" w:type="dxa"/>
          </w:tcPr>
          <w:p>
            <w:pPr>
              <w:spacing w:after="0" w:before="0"/>
            </w:pPr>
            <w:r>
              <w:rPr>
                <w:sz w:val="17"/>
              </w:rPr>
              <w:t>Registers five tools, validates typed inputs with Pydantic, and converts internal errors into tool errors Claude can read.</w:t>
            </w:r>
          </w:p>
        </w:tc>
      </w:tr>
      <w:tr>
        <w:trPr>
          <w:cantSplit w:val="true"/>
        </w:trPr>
        <w:tc>
          <w:tcPr>
            <w:tcW w:type="dxa" w:w="3306"/>
            <w:tcW w:w="1983" w:type="dxa"/>
          </w:tcPr>
          <w:p>
            <w:pPr>
              <w:spacing w:after="0" w:before="0"/>
            </w:pPr>
            <w:r>
              <w:rPr>
                <w:sz w:val="17"/>
              </w:rPr>
              <w:t>Query planning</w:t>
            </w:r>
          </w:p>
        </w:tc>
        <w:tc>
          <w:tcPr>
            <w:tcW w:type="dxa" w:w="3306"/>
            <w:tcW w:w="2899" w:type="dxa"/>
          </w:tcPr>
          <w:p>
            <w:pPr>
              <w:spacing w:after="0" w:before="0"/>
            </w:pPr>
            <w:r>
              <w:rPr>
                <w:rFonts w:ascii="Consolas" w:hAnsi="Consolas"/>
                <w:color w:val="3411A3"/>
                <w:sz w:val="16"/>
              </w:rPr>
              <w:t>query_builder.py</w:t>
            </w:r>
            <w:r>
              <w:rPr>
                <w:sz w:val="17"/>
              </w:rPr>
              <w:t xml:space="preserve">, </w:t>
            </w:r>
            <w:r>
              <w:rPr>
                <w:rFonts w:ascii="Consolas" w:hAnsi="Consolas"/>
                <w:color w:val="3411A3"/>
                <w:sz w:val="16"/>
              </w:rPr>
              <w:t>business_rules.py</w:t>
            </w:r>
            <w:r>
              <w:rPr>
                <w:sz w:val="17"/>
              </w:rPr>
              <w:t xml:space="preserve">, </w:t>
            </w:r>
            <w:r>
              <w:rPr>
                <w:rFonts w:ascii="Consolas" w:hAnsi="Consolas"/>
                <w:color w:val="3411A3"/>
                <w:sz w:val="16"/>
              </w:rPr>
              <w:t>queries/*.sql</w:t>
            </w:r>
          </w:p>
        </w:tc>
        <w:tc>
          <w:tcPr>
            <w:tcW w:type="dxa" w:w="3306"/>
            <w:tcW w:w="5035" w:type="dxa"/>
          </w:tcPr>
          <w:p>
            <w:pPr>
              <w:spacing w:after="0" w:before="0"/>
            </w:pPr>
            <w:r>
              <w:rPr>
                <w:sz w:val="17"/>
              </w:rPr>
              <w:t>Works out the date window, checks report options, builds parameterised SQL from server-owned templates, and attaches the methodology text and rule version.</w:t>
            </w:r>
          </w:p>
        </w:tc>
      </w:tr>
      <w:tr>
        <w:trPr>
          <w:cantSplit w:val="true"/>
        </w:trPr>
        <w:tc>
          <w:tcPr>
            <w:tcW w:type="dxa" w:w="3306"/>
            <w:tcW w:w="1983" w:type="dxa"/>
          </w:tcPr>
          <w:p>
            <w:pPr>
              <w:spacing w:after="0" w:before="0"/>
            </w:pPr>
            <w:r>
              <w:rPr>
                <w:sz w:val="17"/>
              </w:rPr>
              <w:t>Execution and results</w:t>
            </w:r>
          </w:p>
        </w:tc>
        <w:tc>
          <w:tcPr>
            <w:tcW w:type="dxa" w:w="3306"/>
            <w:tcW w:w="2899" w:type="dxa"/>
          </w:tcPr>
          <w:p>
            <w:pPr>
              <w:spacing w:after="0" w:before="0"/>
            </w:pPr>
            <w:r>
              <w:rPr>
                <w:rFonts w:ascii="Consolas" w:hAnsi="Consolas"/>
                <w:color w:val="3411A3"/>
                <w:sz w:val="16"/>
              </w:rPr>
              <w:t>query_service.py</w:t>
            </w:r>
            <w:r>
              <w:rPr>
                <w:sz w:val="17"/>
              </w:rPr>
              <w:t xml:space="preserve">, </w:t>
            </w:r>
            <w:r>
              <w:rPr>
                <w:rFonts w:ascii="Consolas" w:hAnsi="Consolas"/>
                <w:color w:val="3411A3"/>
                <w:sz w:val="16"/>
              </w:rPr>
              <w:t>result_store.py</w:t>
            </w:r>
            <w:r>
              <w:rPr>
                <w:sz w:val="17"/>
              </w:rPr>
              <w:t xml:space="preserve">, </w:t>
            </w:r>
            <w:r>
              <w:rPr>
                <w:rFonts w:ascii="Consolas" w:hAnsi="Consolas"/>
                <w:color w:val="3411A3"/>
                <w:sz w:val="16"/>
              </w:rPr>
              <w:t>exporter.py</w:t>
            </w:r>
          </w:p>
        </w:tc>
        <w:tc>
          <w:tcPr>
            <w:tcW w:type="dxa" w:w="3306"/>
            <w:tcW w:w="5035" w:type="dxa"/>
          </w:tcPr>
          <w:p>
            <w:pPr>
              <w:spacing w:after="0" w:before="0"/>
            </w:pPr>
            <w:r>
              <w:rPr>
                <w:sz w:val="17"/>
              </w:rPr>
              <w:t>Runs each dataset, streams rows into a JSONL cache on disk, builds the preview, and writes XLSX exports with provenance.</w:t>
            </w:r>
          </w:p>
        </w:tc>
      </w:tr>
      <w:tr>
        <w:trPr>
          <w:cantSplit w:val="true"/>
        </w:trPr>
        <w:tc>
          <w:tcPr>
            <w:tcW w:type="dxa" w:w="3306"/>
            <w:tcW w:w="1983" w:type="dxa"/>
          </w:tcPr>
          <w:p>
            <w:pPr>
              <w:spacing w:after="0" w:before="0"/>
            </w:pPr>
            <w:r>
              <w:rPr>
                <w:sz w:val="17"/>
              </w:rPr>
              <w:t>Data access</w:t>
            </w:r>
          </w:p>
        </w:tc>
        <w:tc>
          <w:tcPr>
            <w:tcW w:type="dxa" w:w="3306"/>
            <w:tcW w:w="2899" w:type="dxa"/>
          </w:tcPr>
          <w:p>
            <w:pPr>
              <w:spacing w:after="0" w:before="0"/>
            </w:pPr>
            <w:r>
              <w:rPr>
                <w:rFonts w:ascii="Consolas" w:hAnsi="Consolas"/>
                <w:color w:val="3411A3"/>
                <w:sz w:val="16"/>
              </w:rPr>
              <w:t>fabric_client.py</w:t>
            </w:r>
            <w:r>
              <w:rPr>
                <w:sz w:val="17"/>
              </w:rPr>
              <w:t xml:space="preserve">, </w:t>
            </w:r>
            <w:r>
              <w:rPr>
                <w:rFonts w:ascii="Consolas" w:hAnsi="Consolas"/>
                <w:color w:val="3411A3"/>
                <w:sz w:val="16"/>
              </w:rPr>
              <w:t>config.py</w:t>
            </w:r>
          </w:p>
        </w:tc>
        <w:tc>
          <w:tcPr>
            <w:tcW w:type="dxa" w:w="3306"/>
            <w:tcW w:w="5035" w:type="dxa"/>
          </w:tcPr>
          <w:p>
            <w:pPr>
              <w:spacing w:after="0" w:before="0"/>
            </w:pPr>
            <w:r>
              <w:rPr>
                <w:sz w:val="17"/>
              </w:rPr>
              <w:t>Gets and caches an Entra ID token, connects through ODBC Driver 18 with token authentication, and streams results in batches.</w:t>
            </w:r>
          </w:p>
        </w:tc>
      </w:tr>
      <w:tr>
        <w:trPr>
          <w:cantSplit w:val="true"/>
        </w:trPr>
        <w:tc>
          <w:tcPr>
            <w:tcW w:type="dxa" w:w="3306"/>
            <w:tcW w:w="1983" w:type="dxa"/>
          </w:tcPr>
          <w:p>
            <w:pPr>
              <w:spacing w:after="0" w:before="0"/>
            </w:pPr>
            <w:r>
              <w:rPr>
                <w:sz w:val="17"/>
              </w:rPr>
              <w:t>Discovery and guardrails</w:t>
            </w:r>
          </w:p>
        </w:tc>
        <w:tc>
          <w:tcPr>
            <w:tcW w:type="dxa" w:w="3306"/>
            <w:tcW w:w="2899" w:type="dxa"/>
          </w:tcPr>
          <w:p>
            <w:pPr>
              <w:spacing w:after="0" w:before="0"/>
            </w:pPr>
            <w:r>
              <w:rPr>
                <w:rFonts w:ascii="Consolas" w:hAnsi="Consolas"/>
                <w:color w:val="3411A3"/>
                <w:sz w:val="16"/>
              </w:rPr>
              <w:t>catalog_service.py</w:t>
            </w:r>
            <w:r>
              <w:rPr>
                <w:sz w:val="17"/>
              </w:rPr>
              <w:t xml:space="preserve">, </w:t>
            </w:r>
            <w:r>
              <w:rPr>
                <w:rFonts w:ascii="Consolas" w:hAnsi="Consolas"/>
                <w:color w:val="3411A3"/>
                <w:sz w:val="16"/>
              </w:rPr>
              <w:t>sql_validator.py</w:t>
            </w:r>
          </w:p>
        </w:tc>
        <w:tc>
          <w:tcPr>
            <w:tcW w:type="dxa" w:w="3306"/>
            <w:tcW w:w="5035" w:type="dxa"/>
          </w:tcPr>
          <w:p>
            <w:pPr>
              <w:spacing w:after="0" w:before="0"/>
            </w:pPr>
            <w:r>
              <w:rPr>
                <w:sz w:val="17"/>
              </w:rPr>
              <w:t>Runs targeted catalog look-ups and checks ad-hoc SQL as an extra safeguard.</w:t>
            </w:r>
          </w:p>
        </w:tc>
      </w:tr>
      <w:tr>
        <w:trPr>
          <w:cantSplit w:val="true"/>
        </w:trPr>
        <w:tc>
          <w:tcPr>
            <w:tcW w:type="dxa" w:w="3306"/>
            <w:tcW w:w="1983" w:type="dxa"/>
          </w:tcPr>
          <w:p>
            <w:pPr>
              <w:spacing w:after="0" w:before="0"/>
            </w:pPr>
            <w:r>
              <w:rPr>
                <w:sz w:val="17"/>
              </w:rPr>
              <w:t>Guidance (optional)</w:t>
            </w:r>
          </w:p>
        </w:tc>
        <w:tc>
          <w:tcPr>
            <w:tcW w:type="dxa" w:w="3306"/>
            <w:tcW w:w="2899" w:type="dxa"/>
          </w:tcPr>
          <w:p>
            <w:pPr>
              <w:spacing w:after="0" w:before="0"/>
            </w:pPr>
            <w:r>
              <w:rPr>
                <w:rFonts w:ascii="Consolas" w:hAnsi="Consolas"/>
                <w:color w:val="3411A3"/>
                <w:sz w:val="16"/>
              </w:rPr>
              <w:t>skill/dsn-fabric-analytics/</w:t>
            </w:r>
          </w:p>
        </w:tc>
        <w:tc>
          <w:tcPr>
            <w:tcW w:type="dxa" w:w="3306"/>
            <w:tcW w:w="5035" w:type="dxa"/>
          </w:tcPr>
          <w:p>
            <w:pPr>
              <w:spacing w:after="0" w:before="0"/>
            </w:pPr>
            <w:r>
              <w:rPr>
                <w:sz w:val="17"/>
              </w:rPr>
              <w:t>A Claude skill that tells Claude which tool to use and how to read DSN terms. It contains no SQL.</w:t>
            </w:r>
          </w:p>
        </w:tc>
      </w:tr>
    </w:tbl>
    <w:p>
      <w:pPr>
        <w:spacing w:after="80"/>
      </w:pPr>
    </w:p>
    <w:p>
      <w:pPr>
        <w:pStyle w:val="Heading3"/>
      </w:pPr>
      <w:r>
        <w:t>Key design decisions</w:t>
      </w:r>
    </w:p>
    <w:p>
      <w:pPr>
        <w:pStyle w:val="Bullet"/>
      </w:pPr>
      <w:r>
        <w:rPr>
          <w:b/>
        </w:rPr>
        <w:t>The server owns the methodology.</w:t>
      </w:r>
      <w:r>
        <w:t xml:space="preserve"> SQL lives in </w:t>
      </w:r>
      <w:r>
        <w:rPr>
          <w:rFonts w:ascii="Consolas" w:hAnsi="Consolas"/>
          <w:color w:val="3411A3"/>
          <w:sz w:val="18"/>
        </w:rPr>
        <w:t>queries/*.sql</w:t>
      </w:r>
      <w:r>
        <w:t xml:space="preserve"> and rule lists live in </w:t>
      </w:r>
      <w:r>
        <w:rPr>
          <w:rFonts w:ascii="Consolas" w:hAnsi="Consolas"/>
          <w:color w:val="3411A3"/>
          <w:sz w:val="18"/>
        </w:rPr>
        <w:t>business_rules.py</w:t>
      </w:r>
      <w:r>
        <w:t>. The skill only explains them.</w:t>
      </w:r>
    </w:p>
    <w:p>
      <w:pPr>
        <w:pStyle w:val="Bullet"/>
      </w:pPr>
      <w:r>
        <w:rPr>
          <w:b/>
        </w:rPr>
        <w:t>Every user value is a bound parameter.</w:t>
      </w:r>
      <w:r>
        <w:t xml:space="preserve"> Template tokens such as </w:t>
      </w:r>
      <w:r>
        <w:rPr>
          <w:rFonts w:ascii="Consolas" w:hAnsi="Consolas"/>
          <w:color w:val="3411A3"/>
          <w:sz w:val="18"/>
        </w:rPr>
        <w:t>{{FILTERS}}</w:t>
      </w:r>
      <w:r>
        <w:t xml:space="preserve"> are filled only with server-generated SQL fragments. Agency codes, dates and names are always passed as </w:t>
      </w:r>
      <w:r>
        <w:rPr>
          <w:rFonts w:ascii="Consolas" w:hAnsi="Consolas"/>
          <w:color w:val="3411A3"/>
          <w:sz w:val="18"/>
        </w:rPr>
        <w:t>?</w:t>
      </w:r>
      <w:r>
        <w:t xml:space="preserve"> parameters.</w:t>
      </w:r>
    </w:p>
    <w:p>
      <w:pPr>
        <w:pStyle w:val="Bullet"/>
      </w:pPr>
      <w:r>
        <w:rPr>
          <w:b/>
        </w:rPr>
        <w:t>Claude cannot choose the target.</w:t>
      </w:r>
      <w:r>
        <w:t xml:space="preserve"> Endpoints, databases and credentials come only from server configuration and are never tool parameters.</w:t>
      </w:r>
    </w:p>
    <w:p>
      <w:pPr>
        <w:pStyle w:val="Bullet"/>
      </w:pPr>
      <w:r>
        <w:rPr>
          <w:b/>
        </w:rPr>
        <w:t>The preview is separate from the full result.</w:t>
      </w:r>
      <w:r>
        <w:t xml:space="preserve"> Claude receives at most 500 preview rows, while the complete result (up to </w:t>
      </w:r>
      <w:r>
        <w:rPr>
          <w:rFonts w:ascii="Consolas" w:hAnsi="Consolas"/>
          <w:color w:val="3411A3"/>
          <w:sz w:val="18"/>
        </w:rPr>
        <w:t>FABRIC_MAX_RESULT_ROWS</w:t>
      </w:r>
      <w:r>
        <w:t>) is cached locally for paging and export.</w:t>
      </w:r>
    </w:p>
    <w:p>
      <w:pPr>
        <w:pStyle w:val="Bullet"/>
      </w:pPr>
      <w:r>
        <w:rPr>
          <w:b/>
        </w:rPr>
        <w:t>Fabric permissions are the real security boundary.</w:t>
      </w:r>
      <w:r>
        <w:t xml:space="preserve"> The SQL validator is an extra safeguard only. The Service Principal should have read-only access to the schemas the server needs.</w:t>
      </w:r>
    </w:p>
    <w:p>
      <w:pPr>
        <w:pStyle w:val="Bullet"/>
      </w:pPr>
      <w:r>
        <w:rPr>
          <w:b/>
        </w:rPr>
        <w:t>Failed runs leave nothing behind.</w:t>
      </w:r>
      <w:r>
        <w:t xml:space="preserve"> If any dataset fails, the partial cache for that query is deleted.</w:t>
      </w:r>
    </w:p>
    <w:p>
      <w:pPr>
        <w:pStyle w:val="Heading2"/>
      </w:pPr>
      <w:r>
        <w:t>Data sources</w:t>
      </w:r>
    </w:p>
    <w:p>
      <w:pPr>
        <w:keepNext/>
        <w:spacing w:before="160" w:after="80"/>
      </w:pPr>
      <w:r>
        <w:rPr>
          <w:b/>
          <w:color w:val="3411A3"/>
          <w:sz w:val="18"/>
        </w:rPr>
        <w:t xml:space="preserve">Table 4: </w:t>
      </w:r>
      <w:r>
        <w:rPr>
          <w:color w:val="3411A3"/>
          <w:sz w:val="18"/>
        </w:rPr>
        <w:t>Fabric objects read by the server</w:t>
      </w:r>
    </w:p>
    <w:tbl>
      <w:tblPr>
        <w:tblStyle w:val="Style1"/>
        <w:tblLook w:firstColumn="1" w:firstRow="1" w:lastColumn="0" w:lastRow="0" w:noHBand="0" w:noVBand="1" w:val="04A0"/>
        <w:tblW w:w="9916" w:type="dxa"/>
        <w:tblCellMar>
          <w:top w:w="50" w:type="dxa"/>
          <w:left w:w="90" w:type="dxa"/>
          <w:bottom w:w="50" w:type="dxa"/>
          <w:right w:w="90" w:type="dxa"/>
        </w:tblCellMar>
        <w:tblLook w:val="04A0" w:firstRow="1" w:lastRow="0" w:firstColumn="0" w:lastColumn="0" w:noHBand="0" w:noVBand="1"/>
      </w:tblPr>
      <w:tblGrid>
        <w:gridCol w:w="2593"/>
        <w:gridCol w:w="4424"/>
        <w:gridCol w:w="2899"/>
      </w:tblGrid>
      <w:tr>
        <w:trPr>
          <w:tblHeader w:val="true"/>
          <w:trHeight w:val="397"/>
          <w:cantSplit w:val="true"/>
        </w:trPr>
        <w:tc>
          <w:tcPr>
            <w:tcW w:type="dxa" w:w="3306"/>
            <w:tcW w:w="2593" w:type="dxa"/>
          </w:tcPr>
          <w:p>
            <w:pPr>
              <w:spacing w:after="0" w:before="0"/>
            </w:pPr>
            <w:r>
              <w:rPr>
                <w:b/>
                <w:color w:val="FFFFFF"/>
                <w:sz w:val="17"/>
              </w:rPr>
              <w:t>Fabric item</w:t>
            </w:r>
          </w:p>
        </w:tc>
        <w:tc>
          <w:tcPr>
            <w:tcW w:type="dxa" w:w="3306"/>
            <w:tcW w:w="4424" w:type="dxa"/>
          </w:tcPr>
          <w:p>
            <w:pPr>
              <w:spacing w:after="0" w:before="0"/>
            </w:pPr>
            <w:r>
              <w:rPr>
                <w:b/>
                <w:color w:val="FFFFFF"/>
                <w:sz w:val="17"/>
              </w:rPr>
              <w:t>Object</w:t>
            </w:r>
          </w:p>
        </w:tc>
        <w:tc>
          <w:tcPr>
            <w:tcW w:type="dxa" w:w="3306"/>
            <w:tcW w:w="2899" w:type="dxa"/>
          </w:tcPr>
          <w:p>
            <w:pPr>
              <w:spacing w:after="0" w:before="0"/>
            </w:pPr>
            <w:r>
              <w:rPr>
                <w:b/>
                <w:color w:val="FFFFFF"/>
                <w:sz w:val="17"/>
              </w:rPr>
              <w:t>Used by</w:t>
            </w:r>
          </w:p>
        </w:tc>
      </w:tr>
      <w:tr>
        <w:trPr>
          <w:cantSplit w:val="true"/>
        </w:trPr>
        <w:tc>
          <w:tcPr>
            <w:tcW w:type="dxa" w:w="3306"/>
            <w:tcW w:w="2593" w:type="dxa"/>
          </w:tcPr>
          <w:p>
            <w:pPr>
              <w:spacing w:after="0" w:before="0"/>
            </w:pPr>
            <w:r>
              <w:rPr>
                <w:rFonts w:ascii="Consolas" w:hAnsi="Consolas"/>
                <w:color w:val="3411A3"/>
                <w:sz w:val="16"/>
              </w:rPr>
              <w:t>dwh_report</w:t>
            </w:r>
            <w:r>
              <w:rPr>
                <w:sz w:val="17"/>
              </w:rPr>
              <w:t xml:space="preserve"> (warehouse)</w:t>
            </w:r>
          </w:p>
        </w:tc>
        <w:tc>
          <w:tcPr>
            <w:tcW w:type="dxa" w:w="3306"/>
            <w:tcW w:w="4424" w:type="dxa"/>
          </w:tcPr>
          <w:p>
            <w:pPr>
              <w:spacing w:after="0" w:before="0"/>
            </w:pPr>
            <w:r>
              <w:rPr>
                <w:rFonts w:ascii="Consolas" w:hAnsi="Consolas"/>
                <w:color w:val="3411A3"/>
                <w:sz w:val="16"/>
              </w:rPr>
              <w:t>datamart.fact_transaction</w:t>
            </w:r>
          </w:p>
        </w:tc>
        <w:tc>
          <w:tcPr>
            <w:tcW w:type="dxa" w:w="3306"/>
            <w:tcW w:w="2899" w:type="dxa"/>
          </w:tcPr>
          <w:p>
            <w:pPr>
              <w:spacing w:after="0" w:before="0"/>
            </w:pPr>
            <w:r>
              <w:rPr>
                <w:sz w:val="17"/>
              </w:rPr>
              <w:t>All reports except MVD</w:t>
            </w:r>
          </w:p>
        </w:tc>
      </w:tr>
      <w:tr>
        <w:trPr>
          <w:cantSplit w:val="true"/>
        </w:trPr>
        <w:tc>
          <w:tcPr>
            <w:tcW w:type="dxa" w:w="3306"/>
            <w:tcW w:w="2593" w:type="dxa"/>
          </w:tcPr>
          <w:p>
            <w:pPr>
              <w:spacing w:after="0" w:before="0"/>
            </w:pPr>
          </w:p>
        </w:tc>
        <w:tc>
          <w:tcPr>
            <w:tcW w:type="dxa" w:w="3306"/>
            <w:tcW w:w="4424" w:type="dxa"/>
          </w:tcPr>
          <w:p>
            <w:pPr>
              <w:spacing w:after="0" w:before="0"/>
            </w:pPr>
            <w:r>
              <w:rPr>
                <w:rFonts w:ascii="Consolas" w:hAnsi="Consolas"/>
                <w:color w:val="3411A3"/>
                <w:sz w:val="16"/>
              </w:rPr>
              <w:t>datamart.dim_entity</w:t>
            </w:r>
            <w:r>
              <w:rPr>
                <w:sz w:val="17"/>
              </w:rPr>
              <w:t xml:space="preserve"> (agency_code, entity_name, parent_entity_name)</w:t>
            </w:r>
          </w:p>
        </w:tc>
        <w:tc>
          <w:tcPr>
            <w:tcW w:type="dxa" w:w="3306"/>
            <w:tcW w:w="2899" w:type="dxa"/>
          </w:tcPr>
          <w:p>
            <w:pPr>
              <w:spacing w:after="0" w:before="0"/>
            </w:pPr>
            <w:r>
              <w:rPr>
                <w:sz w:val="17"/>
              </w:rPr>
              <w:t xml:space="preserve">All warehouse reports; </w:t>
            </w:r>
            <w:r>
              <w:rPr>
                <w:rFonts w:ascii="Consolas" w:hAnsi="Consolas"/>
                <w:color w:val="3411A3"/>
                <w:sz w:val="16"/>
              </w:rPr>
              <w:t>list_agencies</w:t>
            </w:r>
          </w:p>
        </w:tc>
      </w:tr>
      <w:tr>
        <w:trPr>
          <w:cantSplit w:val="true"/>
        </w:trPr>
        <w:tc>
          <w:tcPr>
            <w:tcW w:type="dxa" w:w="3306"/>
            <w:tcW w:w="2593" w:type="dxa"/>
          </w:tcPr>
          <w:p>
            <w:pPr>
              <w:spacing w:after="0" w:before="0"/>
            </w:pPr>
          </w:p>
        </w:tc>
        <w:tc>
          <w:tcPr>
            <w:tcW w:type="dxa" w:w="3306"/>
            <w:tcW w:w="4424" w:type="dxa"/>
          </w:tcPr>
          <w:p>
            <w:pPr>
              <w:spacing w:after="0" w:before="0"/>
            </w:pPr>
            <w:r>
              <w:rPr>
                <w:rFonts w:ascii="Consolas" w:hAnsi="Consolas"/>
                <w:color w:val="3411A3"/>
                <w:sz w:val="16"/>
              </w:rPr>
              <w:t>datamart.dim_service</w:t>
            </w:r>
            <w:r>
              <w:rPr>
                <w:sz w:val="17"/>
              </w:rPr>
              <w:t xml:space="preserve"> (service_name, sub_service_name)</w:t>
            </w:r>
          </w:p>
        </w:tc>
        <w:tc>
          <w:tcPr>
            <w:tcW w:type="dxa" w:w="3306"/>
            <w:tcW w:w="2899" w:type="dxa"/>
          </w:tcPr>
          <w:p>
            <w:pPr>
              <w:spacing w:after="0" w:before="0"/>
            </w:pPr>
            <w:r>
              <w:rPr>
                <w:sz w:val="17"/>
              </w:rPr>
              <w:t>core, parent detail, dealer-service, EOMV</w:t>
            </w:r>
          </w:p>
        </w:tc>
      </w:tr>
      <w:tr>
        <w:trPr>
          <w:cantSplit w:val="true"/>
        </w:trPr>
        <w:tc>
          <w:tcPr>
            <w:tcW w:type="dxa" w:w="3306"/>
            <w:tcW w:w="2593" w:type="dxa"/>
          </w:tcPr>
          <w:p>
            <w:pPr>
              <w:spacing w:after="0" w:before="0"/>
            </w:pPr>
          </w:p>
        </w:tc>
        <w:tc>
          <w:tcPr>
            <w:tcW w:type="dxa" w:w="3306"/>
            <w:tcW w:w="4424" w:type="dxa"/>
          </w:tcPr>
          <w:p>
            <w:pPr>
              <w:spacing w:after="0" w:before="0"/>
            </w:pPr>
            <w:r>
              <w:rPr>
                <w:rFonts w:ascii="Consolas" w:hAnsi="Consolas"/>
                <w:color w:val="3411A3"/>
                <w:sz w:val="16"/>
              </w:rPr>
              <w:t>datamart.dim_customer</w:t>
            </w:r>
            <w:r>
              <w:rPr>
                <w:sz w:val="17"/>
              </w:rPr>
              <w:t xml:space="preserve"> (customer_name, licence number, parent_customer_name)</w:t>
            </w:r>
          </w:p>
        </w:tc>
        <w:tc>
          <w:tcPr>
            <w:tcW w:type="dxa" w:w="3306"/>
            <w:tcW w:w="2899" w:type="dxa"/>
          </w:tcPr>
          <w:p>
            <w:pPr>
              <w:spacing w:after="0" w:before="0"/>
            </w:pPr>
            <w:r>
              <w:rPr>
                <w:sz w:val="17"/>
              </w:rPr>
              <w:t>core, parent detail, dealer-service</w:t>
            </w:r>
          </w:p>
        </w:tc>
      </w:tr>
      <w:tr>
        <w:trPr>
          <w:cantSplit w:val="true"/>
        </w:trPr>
        <w:tc>
          <w:tcPr>
            <w:tcW w:type="dxa" w:w="3306"/>
            <w:tcW w:w="2593" w:type="dxa"/>
          </w:tcPr>
          <w:p>
            <w:pPr>
              <w:spacing w:after="0" w:before="0"/>
            </w:pPr>
          </w:p>
        </w:tc>
        <w:tc>
          <w:tcPr>
            <w:tcW w:type="dxa" w:w="3306"/>
            <w:tcW w:w="4424" w:type="dxa"/>
          </w:tcPr>
          <w:p>
            <w:pPr>
              <w:spacing w:after="0" w:before="0"/>
            </w:pPr>
            <w:r>
              <w:rPr>
                <w:rFonts w:ascii="Consolas" w:hAnsi="Consolas"/>
                <w:color w:val="3411A3"/>
                <w:sz w:val="16"/>
              </w:rPr>
              <w:t>datamart.dim_parent_customer</w:t>
            </w:r>
          </w:p>
        </w:tc>
        <w:tc>
          <w:tcPr>
            <w:tcW w:type="dxa" w:w="3306"/>
            <w:tcW w:w="2899" w:type="dxa"/>
          </w:tcPr>
          <w:p>
            <w:pPr>
              <w:spacing w:after="0" w:before="0"/>
            </w:pPr>
            <w:r>
              <w:rPr>
                <w:sz w:val="17"/>
              </w:rPr>
              <w:t xml:space="preserve">core, parent detail; </w:t>
            </w:r>
            <w:r>
              <w:rPr>
                <w:rFonts w:ascii="Consolas" w:hAnsi="Consolas"/>
                <w:color w:val="3411A3"/>
                <w:sz w:val="16"/>
              </w:rPr>
              <w:t>list_parent_customers</w:t>
            </w:r>
          </w:p>
        </w:tc>
      </w:tr>
      <w:tr>
        <w:trPr>
          <w:cantSplit w:val="true"/>
        </w:trPr>
        <w:tc>
          <w:tcPr>
            <w:tcW w:type="dxa" w:w="3306"/>
            <w:tcW w:w="2593" w:type="dxa"/>
          </w:tcPr>
          <w:p>
            <w:pPr>
              <w:spacing w:after="0" w:before="0"/>
            </w:pPr>
          </w:p>
        </w:tc>
        <w:tc>
          <w:tcPr>
            <w:tcW w:type="dxa" w:w="3306"/>
            <w:tcW w:w="4424" w:type="dxa"/>
          </w:tcPr>
          <w:p>
            <w:pPr>
              <w:spacing w:after="0" w:before="0"/>
            </w:pPr>
            <w:r>
              <w:rPr>
                <w:rFonts w:ascii="Consolas" w:hAnsi="Consolas"/>
                <w:color w:val="3411A3"/>
                <w:sz w:val="16"/>
              </w:rPr>
              <w:t>datamart.dim_vehicle</w:t>
            </w:r>
          </w:p>
        </w:tc>
        <w:tc>
          <w:tcPr>
            <w:tcW w:type="dxa" w:w="3306"/>
            <w:tcW w:w="2899" w:type="dxa"/>
          </w:tcPr>
          <w:p>
            <w:pPr>
              <w:spacing w:after="0" w:before="0"/>
            </w:pPr>
            <w:r>
              <w:rPr>
                <w:sz w:val="17"/>
              </w:rPr>
              <w:t>parent detail</w:t>
            </w:r>
          </w:p>
        </w:tc>
      </w:tr>
      <w:tr>
        <w:trPr>
          <w:cantSplit w:val="true"/>
        </w:trPr>
        <w:tc>
          <w:tcPr>
            <w:tcW w:type="dxa" w:w="3306"/>
            <w:tcW w:w="2593" w:type="dxa"/>
          </w:tcPr>
          <w:p>
            <w:pPr>
              <w:spacing w:after="0" w:before="0"/>
            </w:pPr>
            <w:r>
              <w:rPr>
                <w:rFonts w:ascii="Consolas" w:hAnsi="Consolas"/>
                <w:color w:val="3411A3"/>
                <w:sz w:val="16"/>
              </w:rPr>
              <w:t>lh_transform</w:t>
            </w:r>
            <w:r>
              <w:rPr>
                <w:sz w:val="17"/>
              </w:rPr>
              <w:t xml:space="preserve"> (lakehouse SQL endpoint, optional)</w:t>
            </w:r>
          </w:p>
        </w:tc>
        <w:tc>
          <w:tcPr>
            <w:tcW w:type="dxa" w:w="3306"/>
            <w:tcW w:w="4424" w:type="dxa"/>
          </w:tcPr>
          <w:p>
            <w:pPr>
              <w:spacing w:after="0" w:before="0"/>
            </w:pPr>
            <w:r>
              <w:rPr>
                <w:rFonts w:ascii="Consolas" w:hAnsi="Consolas"/>
                <w:color w:val="3411A3"/>
                <w:sz w:val="16"/>
              </w:rPr>
              <w:t>mvd.transaction</w:t>
            </w:r>
          </w:p>
        </w:tc>
        <w:tc>
          <w:tcPr>
            <w:tcW w:type="dxa" w:w="3306"/>
            <w:tcW w:w="2899" w:type="dxa"/>
          </w:tcPr>
          <w:p>
            <w:pPr>
              <w:spacing w:after="0" w:before="0"/>
            </w:pPr>
            <w:r>
              <w:rPr>
                <w:rFonts w:ascii="Consolas" w:hAnsi="Consolas"/>
                <w:color w:val="3411A3"/>
                <w:sz w:val="16"/>
              </w:rPr>
              <w:t>mvd</w:t>
            </w:r>
            <w:r>
              <w:rPr>
                <w:sz w:val="17"/>
              </w:rPr>
              <w:t xml:space="preserve"> report only</w:t>
            </w:r>
          </w:p>
        </w:tc>
      </w:tr>
    </w:tbl>
    <w:p>
      <w:pPr>
        <w:spacing w:after="80"/>
      </w:pPr>
    </w:p>
    <w:p>
      <w:pPr>
        <w:pStyle w:val="Heading1"/>
        <w:pageBreakBefore/>
      </w:pPr>
      <w:r>
        <w:t>Codebase</w:t>
      </w:r>
    </w:p>
    <w:p>
      <w:pPr>
        <w:pStyle w:val="Heading2"/>
      </w:pPr>
      <w:r>
        <w:t>Repository structure</w:t>
      </w:r>
    </w:p>
    <w:p>
      <w:r>
        <w:t>The repository is flat and small: about 1,900 lines of Python, nine SQL templates and five test modules.</w:t>
      </w:r>
    </w:p>
    <w:p>
      <w:pPr>
        <w:keepNext/>
        <w:spacing w:before="160" w:after="80"/>
      </w:pPr>
      <w:r>
        <w:rPr>
          <w:b/>
          <w:color w:val="3411A3"/>
          <w:sz w:val="18"/>
        </w:rPr>
        <w:t xml:space="preserve">Table 5: </w:t>
      </w:r>
      <w:r>
        <w:rPr>
          <w:color w:val="3411A3"/>
          <w:sz w:val="18"/>
        </w:rPr>
        <w:t>Repository contents</w:t>
      </w:r>
    </w:p>
    <w:tbl>
      <w:tblPr>
        <w:tblStyle w:val="Style1"/>
        <w:tblLook w:firstColumn="1" w:firstRow="1" w:lastColumn="0" w:lastRow="0" w:noHBand="0" w:noVBand="1" w:val="04A0"/>
        <w:tblW w:w="9917" w:type="dxa"/>
        <w:tblCellMar>
          <w:top w:w="50" w:type="dxa"/>
          <w:left w:w="90" w:type="dxa"/>
          <w:bottom w:w="50" w:type="dxa"/>
          <w:right w:w="90" w:type="dxa"/>
        </w:tblCellMar>
        <w:tblLook w:val="04A0" w:firstRow="1" w:lastRow="0" w:firstColumn="0" w:lastColumn="0" w:noHBand="0" w:noVBand="1"/>
      </w:tblPr>
      <w:tblGrid>
        <w:gridCol w:w="2899"/>
        <w:gridCol w:w="7018"/>
      </w:tblGrid>
      <w:tr>
        <w:trPr>
          <w:tblHeader w:val="true"/>
          <w:trHeight w:val="397"/>
          <w:cantSplit w:val="true"/>
        </w:trPr>
        <w:tc>
          <w:tcPr>
            <w:tcW w:type="dxa" w:w="4959"/>
            <w:tcW w:w="2899" w:type="dxa"/>
          </w:tcPr>
          <w:p>
            <w:pPr>
              <w:spacing w:after="0" w:before="0"/>
            </w:pPr>
            <w:r>
              <w:rPr>
                <w:b/>
                <w:color w:val="FFFFFF"/>
                <w:sz w:val="17"/>
              </w:rPr>
              <w:t>Path</w:t>
            </w:r>
          </w:p>
        </w:tc>
        <w:tc>
          <w:tcPr>
            <w:tcW w:type="dxa" w:w="4959"/>
            <w:tcW w:w="7018" w:type="dxa"/>
          </w:tcPr>
          <w:p>
            <w:pPr>
              <w:spacing w:after="0" w:before="0"/>
            </w:pPr>
            <w:r>
              <w:rPr>
                <w:b/>
                <w:color w:val="FFFFFF"/>
                <w:sz w:val="17"/>
              </w:rPr>
              <w:t>Purpose</w:t>
            </w:r>
          </w:p>
        </w:tc>
      </w:tr>
      <w:tr>
        <w:trPr>
          <w:cantSplit w:val="true"/>
        </w:trPr>
        <w:tc>
          <w:tcPr>
            <w:tcW w:type="dxa" w:w="4959"/>
            <w:tcW w:w="2899" w:type="dxa"/>
          </w:tcPr>
          <w:p>
            <w:pPr>
              <w:spacing w:after="0" w:before="0"/>
            </w:pPr>
            <w:r>
              <w:rPr>
                <w:rFonts w:ascii="Consolas" w:hAnsi="Consolas"/>
                <w:color w:val="3411A3"/>
                <w:sz w:val="16"/>
              </w:rPr>
              <w:t>server.py</w:t>
            </w:r>
          </w:p>
        </w:tc>
        <w:tc>
          <w:tcPr>
            <w:tcW w:type="dxa" w:w="4959"/>
            <w:tcW w:w="7018" w:type="dxa"/>
          </w:tcPr>
          <w:p>
            <w:pPr>
              <w:spacing w:after="0" w:before="0"/>
            </w:pPr>
            <w:r>
              <w:rPr>
                <w:sz w:val="17"/>
              </w:rPr>
              <w:t xml:space="preserve">Entry point. Creates the </w:t>
            </w:r>
            <w:r>
              <w:rPr>
                <w:rFonts w:ascii="Consolas" w:hAnsi="Consolas"/>
                <w:color w:val="3411A3"/>
                <w:sz w:val="16"/>
              </w:rPr>
              <w:t>MCPServer</w:t>
            </w:r>
            <w:r>
              <w:rPr>
                <w:sz w:val="17"/>
              </w:rPr>
              <w:t>, registers the five tools and starts the stdio transport. Services are created lazily on the first tool call.</w:t>
            </w:r>
          </w:p>
        </w:tc>
      </w:tr>
      <w:tr>
        <w:trPr>
          <w:cantSplit w:val="true"/>
        </w:trPr>
        <w:tc>
          <w:tcPr>
            <w:tcW w:type="dxa" w:w="4959"/>
            <w:tcW w:w="2899" w:type="dxa"/>
          </w:tcPr>
          <w:p>
            <w:pPr>
              <w:spacing w:after="0" w:before="0"/>
            </w:pPr>
            <w:r>
              <w:rPr>
                <w:rFonts w:ascii="Consolas" w:hAnsi="Consolas"/>
                <w:color w:val="3411A3"/>
                <w:sz w:val="16"/>
              </w:rPr>
              <w:t>config.py</w:t>
            </w:r>
          </w:p>
        </w:tc>
        <w:tc>
          <w:tcPr>
            <w:tcW w:type="dxa" w:w="4959"/>
            <w:tcW w:w="7018" w:type="dxa"/>
          </w:tcPr>
          <w:p>
            <w:pPr>
              <w:spacing w:after="0" w:before="0"/>
            </w:pPr>
            <w:r>
              <w:rPr>
                <w:sz w:val="17"/>
              </w:rPr>
              <w:t xml:space="preserve">Loads </w:t>
            </w:r>
            <w:r>
              <w:rPr>
                <w:rFonts w:ascii="Consolas" w:hAnsi="Consolas"/>
                <w:color w:val="3411A3"/>
                <w:sz w:val="16"/>
              </w:rPr>
              <w:t>.env</w:t>
            </w:r>
            <w:r>
              <w:rPr>
                <w:sz w:val="17"/>
              </w:rPr>
              <w:t xml:space="preserve"> from the project folder and validates required and optional settings. Error messages name a missing variable but never show its value.</w:t>
            </w:r>
          </w:p>
        </w:tc>
      </w:tr>
      <w:tr>
        <w:trPr>
          <w:cantSplit w:val="true"/>
        </w:trPr>
        <w:tc>
          <w:tcPr>
            <w:tcW w:type="dxa" w:w="4959"/>
            <w:tcW w:w="2899" w:type="dxa"/>
          </w:tcPr>
          <w:p>
            <w:pPr>
              <w:spacing w:after="0" w:before="0"/>
            </w:pPr>
            <w:r>
              <w:rPr>
                <w:rFonts w:ascii="Consolas" w:hAnsi="Consolas"/>
                <w:color w:val="3411A3"/>
                <w:sz w:val="16"/>
              </w:rPr>
              <w:t>fabric_client.py</w:t>
            </w:r>
          </w:p>
        </w:tc>
        <w:tc>
          <w:tcPr>
            <w:tcW w:type="dxa" w:w="4959"/>
            <w:tcW w:w="7018" w:type="dxa"/>
          </w:tcPr>
          <w:p>
            <w:pPr>
              <w:spacing w:after="0" w:before="0"/>
            </w:pPr>
            <w:r>
              <w:rPr>
                <w:sz w:val="17"/>
              </w:rPr>
              <w:t xml:space="preserve">Entra ID Service Principal token (refreshed 120 s before expiry), ODBC Driver 18 connection, batched streaming with an accurate truncation check, and </w:t>
            </w:r>
            <w:r>
              <w:rPr>
                <w:rFonts w:ascii="Consolas" w:hAnsi="Consolas"/>
                <w:color w:val="3411A3"/>
                <w:sz w:val="16"/>
              </w:rPr>
              <w:t>health_check</w:t>
            </w:r>
            <w:r>
              <w:rPr>
                <w:sz w:val="17"/>
              </w:rPr>
              <w:t>.</w:t>
            </w:r>
          </w:p>
        </w:tc>
      </w:tr>
      <w:tr>
        <w:trPr>
          <w:cantSplit w:val="true"/>
        </w:trPr>
        <w:tc>
          <w:tcPr>
            <w:tcW w:type="dxa" w:w="4959"/>
            <w:tcW w:w="2899" w:type="dxa"/>
          </w:tcPr>
          <w:p>
            <w:pPr>
              <w:spacing w:after="0" w:before="0"/>
            </w:pPr>
            <w:r>
              <w:rPr>
                <w:rFonts w:ascii="Consolas" w:hAnsi="Consolas"/>
                <w:color w:val="3411A3"/>
                <w:sz w:val="16"/>
              </w:rPr>
              <w:t>models.py</w:t>
            </w:r>
          </w:p>
        </w:tc>
        <w:tc>
          <w:tcPr>
            <w:tcW w:type="dxa" w:w="4959"/>
            <w:tcW w:w="7018" w:type="dxa"/>
          </w:tcPr>
          <w:p>
            <w:pPr>
              <w:spacing w:after="0" w:before="0"/>
            </w:pPr>
            <w:r>
              <w:rPr>
                <w:sz w:val="17"/>
              </w:rPr>
              <w:t>Pydantic request and response models and enums. Cross-field date checks live here.</w:t>
            </w:r>
          </w:p>
        </w:tc>
      </w:tr>
      <w:tr>
        <w:trPr>
          <w:cantSplit w:val="true"/>
        </w:trPr>
        <w:tc>
          <w:tcPr>
            <w:tcW w:type="dxa" w:w="4959"/>
            <w:tcW w:w="2899" w:type="dxa"/>
          </w:tcPr>
          <w:p>
            <w:pPr>
              <w:spacing w:after="0" w:before="0"/>
            </w:pPr>
            <w:r>
              <w:rPr>
                <w:rFonts w:ascii="Consolas" w:hAnsi="Consolas"/>
                <w:color w:val="3411A3"/>
                <w:sz w:val="16"/>
              </w:rPr>
              <w:t>business_rules.py</w:t>
            </w:r>
          </w:p>
        </w:tc>
        <w:tc>
          <w:tcPr>
            <w:tcW w:type="dxa" w:w="4959"/>
            <w:tcW w:w="7018" w:type="dxa"/>
          </w:tcPr>
          <w:p>
            <w:pPr>
              <w:spacing w:after="0" w:before="0"/>
            </w:pPr>
            <w:r>
              <w:rPr>
                <w:rFonts w:ascii="Consolas" w:hAnsi="Consolas"/>
                <w:color w:val="3411A3"/>
                <w:sz w:val="16"/>
              </w:rPr>
              <w:t>BUSINESS_RULE_VERSION</w:t>
            </w:r>
            <w:r>
              <w:rPr>
                <w:sz w:val="17"/>
              </w:rPr>
              <w:t>, the core sub-service list, reference keep and exclude lists, aggregate exclusions, the report catalogue and methodology text.</w:t>
            </w:r>
          </w:p>
        </w:tc>
      </w:tr>
      <w:tr>
        <w:trPr>
          <w:cantSplit w:val="true"/>
        </w:trPr>
        <w:tc>
          <w:tcPr>
            <w:tcW w:type="dxa" w:w="4959"/>
            <w:tcW w:w="2899" w:type="dxa"/>
          </w:tcPr>
          <w:p>
            <w:pPr>
              <w:spacing w:after="0" w:before="0"/>
            </w:pPr>
            <w:r>
              <w:rPr>
                <w:rFonts w:ascii="Consolas" w:hAnsi="Consolas"/>
                <w:color w:val="3411A3"/>
                <w:sz w:val="16"/>
              </w:rPr>
              <w:t>query_builder.py</w:t>
            </w:r>
          </w:p>
        </w:tc>
        <w:tc>
          <w:tcPr>
            <w:tcW w:type="dxa" w:w="4959"/>
            <w:tcW w:w="7018" w:type="dxa"/>
          </w:tcPr>
          <w:p>
            <w:pPr>
              <w:spacing w:after="0" w:before="0"/>
            </w:pPr>
            <w:r>
              <w:rPr>
                <w:sz w:val="17"/>
              </w:rPr>
              <w:t xml:space="preserve">Pure functions that turn a </w:t>
            </w:r>
            <w:r>
              <w:rPr>
                <w:rFonts w:ascii="Consolas" w:hAnsi="Consolas"/>
                <w:color w:val="3411A3"/>
                <w:sz w:val="16"/>
              </w:rPr>
              <w:t>QueryRequest</w:t>
            </w:r>
            <w:r>
              <w:rPr>
                <w:sz w:val="17"/>
              </w:rPr>
              <w:t xml:space="preserve"> into a </w:t>
            </w:r>
            <w:r>
              <w:rPr>
                <w:rFonts w:ascii="Consolas" w:hAnsi="Consolas"/>
                <w:color w:val="3411A3"/>
                <w:sz w:val="16"/>
              </w:rPr>
              <w:t>QueryPlan</w:t>
            </w:r>
            <w:r>
              <w:rPr>
                <w:sz w:val="17"/>
              </w:rPr>
              <w:t xml:space="preserve"> of parameterised datasets with SHA-256 query hashes.</w:t>
            </w:r>
          </w:p>
        </w:tc>
      </w:tr>
      <w:tr>
        <w:trPr>
          <w:cantSplit w:val="true"/>
        </w:trPr>
        <w:tc>
          <w:tcPr>
            <w:tcW w:type="dxa" w:w="4959"/>
            <w:tcW w:w="2899" w:type="dxa"/>
          </w:tcPr>
          <w:p>
            <w:pPr>
              <w:spacing w:after="0" w:before="0"/>
            </w:pPr>
            <w:r>
              <w:rPr>
                <w:rFonts w:ascii="Consolas" w:hAnsi="Consolas"/>
                <w:color w:val="3411A3"/>
                <w:sz w:val="16"/>
              </w:rPr>
              <w:t>query_service.py</w:t>
            </w:r>
          </w:p>
        </w:tc>
        <w:tc>
          <w:tcPr>
            <w:tcW w:type="dxa" w:w="4959"/>
            <w:tcW w:w="7018" w:type="dxa"/>
          </w:tcPr>
          <w:p>
            <w:pPr>
              <w:spacing w:after="0" w:before="0"/>
            </w:pPr>
            <w:r>
              <w:rPr>
                <w:sz w:val="17"/>
              </w:rPr>
              <w:t>Runs a plan, streams rows into the cache, builds the preview, adds warnings and optionally exports.</w:t>
            </w:r>
          </w:p>
        </w:tc>
      </w:tr>
      <w:tr>
        <w:trPr>
          <w:cantSplit w:val="true"/>
        </w:trPr>
        <w:tc>
          <w:tcPr>
            <w:tcW w:type="dxa" w:w="4959"/>
            <w:tcW w:w="2899" w:type="dxa"/>
          </w:tcPr>
          <w:p>
            <w:pPr>
              <w:spacing w:after="0" w:before="0"/>
            </w:pPr>
            <w:r>
              <w:rPr>
                <w:rFonts w:ascii="Consolas" w:hAnsi="Consolas"/>
                <w:color w:val="3411A3"/>
                <w:sz w:val="16"/>
              </w:rPr>
              <w:t>catalog_service.py</w:t>
            </w:r>
          </w:p>
        </w:tc>
        <w:tc>
          <w:tcPr>
            <w:tcW w:type="dxa" w:w="4959"/>
            <w:tcW w:w="7018" w:type="dxa"/>
          </w:tcPr>
          <w:p>
            <w:pPr>
              <w:spacing w:after="0" w:before="0"/>
            </w:pPr>
            <w:r>
              <w:rPr>
                <w:sz w:val="17"/>
              </w:rPr>
              <w:t>The seven catalog actions (reports, methodology, agencies, parent customers, tables, describe table, search columns).</w:t>
            </w:r>
          </w:p>
        </w:tc>
      </w:tr>
      <w:tr>
        <w:trPr>
          <w:cantSplit w:val="true"/>
        </w:trPr>
        <w:tc>
          <w:tcPr>
            <w:tcW w:type="dxa" w:w="4959"/>
            <w:tcW w:w="2899" w:type="dxa"/>
          </w:tcPr>
          <w:p>
            <w:pPr>
              <w:spacing w:after="0" w:before="0"/>
            </w:pPr>
            <w:r>
              <w:rPr>
                <w:rFonts w:ascii="Consolas" w:hAnsi="Consolas"/>
                <w:color w:val="3411A3"/>
                <w:sz w:val="16"/>
              </w:rPr>
              <w:t>result_store.py</w:t>
            </w:r>
          </w:p>
        </w:tc>
        <w:tc>
          <w:tcPr>
            <w:tcW w:type="dxa" w:w="4959"/>
            <w:tcW w:w="7018" w:type="dxa"/>
          </w:tcPr>
          <w:p>
            <w:pPr>
              <w:spacing w:after="0" w:before="0"/>
            </w:pPr>
            <w:r>
              <w:rPr>
                <w:sz w:val="17"/>
              </w:rPr>
              <w:t xml:space="preserve">Disk cache under </w:t>
            </w:r>
            <w:r>
              <w:rPr>
                <w:rFonts w:ascii="Consolas" w:hAnsi="Consolas"/>
                <w:color w:val="3411A3"/>
                <w:sz w:val="16"/>
              </w:rPr>
              <w:t>runtime/results/&lt;query_id&gt;/</w:t>
            </w:r>
            <w:r>
              <w:rPr>
                <w:sz w:val="17"/>
              </w:rPr>
              <w:t xml:space="preserve"> holding </w:t>
            </w:r>
            <w:r>
              <w:rPr>
                <w:rFonts w:ascii="Consolas" w:hAnsi="Consolas"/>
                <w:color w:val="3411A3"/>
                <w:sz w:val="16"/>
              </w:rPr>
              <w:t>meta.json</w:t>
            </w:r>
            <w:r>
              <w:rPr>
                <w:sz w:val="17"/>
              </w:rPr>
              <w:t xml:space="preserve"> and one JSONL file per dataset, with TTL clean-up.</w:t>
            </w:r>
          </w:p>
        </w:tc>
      </w:tr>
      <w:tr>
        <w:trPr>
          <w:cantSplit w:val="true"/>
        </w:trPr>
        <w:tc>
          <w:tcPr>
            <w:tcW w:type="dxa" w:w="4959"/>
            <w:tcW w:w="2899" w:type="dxa"/>
          </w:tcPr>
          <w:p>
            <w:pPr>
              <w:spacing w:after="0" w:before="0"/>
            </w:pPr>
            <w:r>
              <w:rPr>
                <w:rFonts w:ascii="Consolas" w:hAnsi="Consolas"/>
                <w:color w:val="3411A3"/>
                <w:sz w:val="16"/>
              </w:rPr>
              <w:t>exporter.py</w:t>
            </w:r>
          </w:p>
        </w:tc>
        <w:tc>
          <w:tcPr>
            <w:tcW w:type="dxa" w:w="4959"/>
            <w:tcW w:w="7018" w:type="dxa"/>
          </w:tcPr>
          <w:p>
            <w:pPr>
              <w:spacing w:after="0" w:before="0"/>
            </w:pPr>
            <w:r>
              <w:rPr>
                <w:sz w:val="17"/>
              </w:rPr>
              <w:t xml:space="preserve">Writes a cached result to </w:t>
            </w:r>
            <w:r>
              <w:rPr>
                <w:rFonts w:ascii="Consolas" w:hAnsi="Consolas"/>
                <w:color w:val="3411A3"/>
                <w:sz w:val="16"/>
              </w:rPr>
              <w:t>.xlsx</w:t>
            </w:r>
            <w:r>
              <w:rPr>
                <w:sz w:val="17"/>
              </w:rPr>
              <w:t xml:space="preserve">: one sheet per dataset plus the </w:t>
            </w:r>
            <w:r>
              <w:rPr>
                <w:rFonts w:ascii="Consolas" w:hAnsi="Consolas"/>
                <w:color w:val="3411A3"/>
                <w:sz w:val="16"/>
              </w:rPr>
              <w:t>_pull_info</w:t>
            </w:r>
            <w:r>
              <w:rPr>
                <w:sz w:val="17"/>
              </w:rPr>
              <w:t xml:space="preserve"> sheet.</w:t>
            </w:r>
          </w:p>
        </w:tc>
      </w:tr>
      <w:tr>
        <w:trPr>
          <w:cantSplit w:val="true"/>
        </w:trPr>
        <w:tc>
          <w:tcPr>
            <w:tcW w:type="dxa" w:w="4959"/>
            <w:tcW w:w="2899" w:type="dxa"/>
          </w:tcPr>
          <w:p>
            <w:pPr>
              <w:spacing w:after="0" w:before="0"/>
            </w:pPr>
            <w:r>
              <w:rPr>
                <w:rFonts w:ascii="Consolas" w:hAnsi="Consolas"/>
                <w:color w:val="3411A3"/>
                <w:sz w:val="16"/>
              </w:rPr>
              <w:t>sql_validator.py</w:t>
            </w:r>
          </w:p>
        </w:tc>
        <w:tc>
          <w:tcPr>
            <w:tcW w:type="dxa" w:w="4959"/>
            <w:tcW w:w="7018" w:type="dxa"/>
          </w:tcPr>
          <w:p>
            <w:pPr>
              <w:spacing w:after="0" w:before="0"/>
            </w:pPr>
            <w:r>
              <w:rPr>
                <w:sz w:val="17"/>
              </w:rPr>
              <w:t>Read-only checks for ad-hoc SQL: a single statement, SELECT/CTE only, forbidden keywords, and a schema allow-list.</w:t>
            </w:r>
          </w:p>
        </w:tc>
      </w:tr>
      <w:tr>
        <w:trPr>
          <w:cantSplit w:val="true"/>
        </w:trPr>
        <w:tc>
          <w:tcPr>
            <w:tcW w:type="dxa" w:w="4959"/>
            <w:tcW w:w="2899" w:type="dxa"/>
          </w:tcPr>
          <w:p>
            <w:pPr>
              <w:spacing w:after="0" w:before="0"/>
            </w:pPr>
            <w:r>
              <w:rPr>
                <w:rFonts w:ascii="Consolas" w:hAnsi="Consolas"/>
                <w:color w:val="3411A3"/>
                <w:sz w:val="16"/>
              </w:rPr>
              <w:t>queries/*.sql</w:t>
            </w:r>
          </w:p>
        </w:tc>
        <w:tc>
          <w:tcPr>
            <w:tcW w:type="dxa" w:w="4959"/>
            <w:tcW w:w="7018" w:type="dxa"/>
          </w:tcPr>
          <w:p>
            <w:pPr>
              <w:spacing w:after="0" w:before="0"/>
            </w:pPr>
            <w:r>
              <w:rPr>
                <w:sz w:val="17"/>
              </w:rPr>
              <w:t>Nine server-owned SQL templates (see Table 9).</w:t>
            </w:r>
          </w:p>
        </w:tc>
      </w:tr>
      <w:tr>
        <w:trPr>
          <w:cantSplit w:val="true"/>
        </w:trPr>
        <w:tc>
          <w:tcPr>
            <w:tcW w:type="dxa" w:w="4959"/>
            <w:tcW w:w="2899" w:type="dxa"/>
          </w:tcPr>
          <w:p>
            <w:pPr>
              <w:spacing w:after="0" w:before="0"/>
            </w:pPr>
            <w:r>
              <w:rPr>
                <w:rFonts w:ascii="Consolas" w:hAnsi="Consolas"/>
                <w:color w:val="3411A3"/>
                <w:sz w:val="16"/>
              </w:rPr>
              <w:t>tests/</w:t>
            </w:r>
          </w:p>
        </w:tc>
        <w:tc>
          <w:tcPr>
            <w:tcW w:type="dxa" w:w="4959"/>
            <w:tcW w:w="7018" w:type="dxa"/>
          </w:tcPr>
          <w:p>
            <w:pPr>
              <w:spacing w:after="0" w:before="0"/>
            </w:pPr>
            <w:r>
              <w:rPr>
                <w:sz w:val="17"/>
              </w:rPr>
              <w:t>Unit tests for config, query builder, result store and validator, plus a manual Fabric integration test.</w:t>
            </w:r>
          </w:p>
        </w:tc>
      </w:tr>
      <w:tr>
        <w:trPr>
          <w:cantSplit w:val="true"/>
        </w:trPr>
        <w:tc>
          <w:tcPr>
            <w:tcW w:type="dxa" w:w="4959"/>
            <w:tcW w:w="2899" w:type="dxa"/>
          </w:tcPr>
          <w:p>
            <w:pPr>
              <w:spacing w:after="0" w:before="0"/>
            </w:pPr>
            <w:r>
              <w:rPr>
                <w:rFonts w:ascii="Consolas" w:hAnsi="Consolas"/>
                <w:color w:val="3411A3"/>
                <w:sz w:val="16"/>
              </w:rPr>
              <w:t>skill/dsn-fabric-analytics/</w:t>
            </w:r>
          </w:p>
        </w:tc>
        <w:tc>
          <w:tcPr>
            <w:tcW w:type="dxa" w:w="4959"/>
            <w:tcW w:w="7018" w:type="dxa"/>
          </w:tcPr>
          <w:p>
            <w:pPr>
              <w:spacing w:after="0" w:before="0"/>
            </w:pPr>
            <w:r>
              <w:rPr>
                <w:sz w:val="17"/>
              </w:rPr>
              <w:t>Claude skill (</w:t>
            </w:r>
            <w:r>
              <w:rPr>
                <w:rFonts w:ascii="Consolas" w:hAnsi="Consolas"/>
                <w:color w:val="3411A3"/>
                <w:sz w:val="16"/>
              </w:rPr>
              <w:t>SKILL.md</w:t>
            </w:r>
            <w:r>
              <w:rPr>
                <w:sz w:val="17"/>
              </w:rPr>
              <w:t xml:space="preserve"> plus </w:t>
            </w:r>
            <w:r>
              <w:rPr>
                <w:rFonts w:ascii="Consolas" w:hAnsi="Consolas"/>
                <w:color w:val="3411A3"/>
                <w:sz w:val="16"/>
              </w:rPr>
              <w:t>references/methodology.md</w:t>
            </w:r>
            <w:r>
              <w:rPr>
                <w:sz w:val="17"/>
              </w:rPr>
              <w:t xml:space="preserve">). A packaged </w:t>
            </w:r>
            <w:r>
              <w:rPr>
                <w:rFonts w:ascii="Consolas" w:hAnsi="Consolas"/>
                <w:color w:val="3411A3"/>
                <w:sz w:val="16"/>
              </w:rPr>
              <w:t>.zip</w:t>
            </w:r>
            <w:r>
              <w:rPr>
                <w:sz w:val="17"/>
              </w:rPr>
              <w:t xml:space="preserve"> sits next to it.</w:t>
            </w:r>
          </w:p>
        </w:tc>
      </w:tr>
      <w:tr>
        <w:trPr>
          <w:cantSplit w:val="true"/>
        </w:trPr>
        <w:tc>
          <w:tcPr>
            <w:tcW w:type="dxa" w:w="4959"/>
            <w:tcW w:w="2899" w:type="dxa"/>
          </w:tcPr>
          <w:p>
            <w:pPr>
              <w:spacing w:after="0" w:before="0"/>
            </w:pPr>
            <w:r>
              <w:rPr>
                <w:rFonts w:ascii="Consolas" w:hAnsi="Consolas"/>
                <w:color w:val="3411A3"/>
                <w:sz w:val="16"/>
              </w:rPr>
              <w:t>.env.example</w:t>
            </w:r>
            <w:r>
              <w:rPr>
                <w:sz w:val="17"/>
              </w:rPr>
              <w:t xml:space="preserve">, </w:t>
            </w:r>
            <w:r>
              <w:rPr>
                <w:rFonts w:ascii="Consolas" w:hAnsi="Consolas"/>
                <w:color w:val="3411A3"/>
                <w:sz w:val="16"/>
              </w:rPr>
              <w:t>claude_desktop_config.example.json</w:t>
            </w:r>
          </w:p>
        </w:tc>
        <w:tc>
          <w:tcPr>
            <w:tcW w:type="dxa" w:w="4959"/>
            <w:tcW w:w="7018" w:type="dxa"/>
          </w:tcPr>
          <w:p>
            <w:pPr>
              <w:spacing w:after="0" w:before="0"/>
            </w:pPr>
            <w:r>
              <w:rPr>
                <w:sz w:val="17"/>
              </w:rPr>
              <w:t xml:space="preserve">Configuration templates. The real </w:t>
            </w:r>
            <w:r>
              <w:rPr>
                <w:rFonts w:ascii="Consolas" w:hAnsi="Consolas"/>
                <w:color w:val="3411A3"/>
                <w:sz w:val="16"/>
              </w:rPr>
              <w:t>.env</w:t>
            </w:r>
            <w:r>
              <w:rPr>
                <w:sz w:val="17"/>
              </w:rPr>
              <w:t xml:space="preserve"> is git-ignored.</w:t>
            </w:r>
          </w:p>
        </w:tc>
      </w:tr>
    </w:tbl>
    <w:p>
      <w:pPr>
        <w:spacing w:after="80"/>
      </w:pPr>
    </w:p>
    <w:p>
      <w:pPr>
        <w:pStyle w:val="Heading2"/>
      </w:pPr>
      <w:r>
        <w:t>MCP tools</w:t>
      </w:r>
    </w:p>
    <w:p>
      <w:pPr>
        <w:keepNext/>
        <w:spacing w:before="160" w:after="80"/>
      </w:pPr>
      <w:r>
        <w:rPr>
          <w:b/>
          <w:color w:val="3411A3"/>
          <w:sz w:val="18"/>
        </w:rPr>
        <w:t xml:space="preserve">Table 6: </w:t>
      </w:r>
      <w:r>
        <w:rPr>
          <w:color w:val="3411A3"/>
          <w:sz w:val="18"/>
        </w:rPr>
        <w:t>MCP tools exposed to Claude</w:t>
      </w:r>
    </w:p>
    <w:tbl>
      <w:tblPr>
        <w:tblStyle w:val="Style1"/>
        <w:tblLook w:firstColumn="1" w:firstRow="1" w:lastColumn="0" w:lastRow="0" w:noHBand="0" w:noVBand="1" w:val="04A0"/>
        <w:tblW w:w="9916" w:type="dxa"/>
        <w:tblCellMar>
          <w:top w:w="50" w:type="dxa"/>
          <w:left w:w="90" w:type="dxa"/>
          <w:bottom w:w="50" w:type="dxa"/>
          <w:right w:w="90" w:type="dxa"/>
        </w:tblCellMar>
        <w:tblLook w:val="04A0" w:firstRow="1" w:lastRow="0" w:firstColumn="0" w:lastColumn="0" w:noHBand="0" w:noVBand="1"/>
      </w:tblPr>
      <w:tblGrid>
        <w:gridCol w:w="1907"/>
        <w:gridCol w:w="1983"/>
        <w:gridCol w:w="3509"/>
        <w:gridCol w:w="2517"/>
      </w:tblGrid>
      <w:tr>
        <w:trPr>
          <w:tblHeader w:val="true"/>
          <w:trHeight w:val="397"/>
          <w:cantSplit w:val="true"/>
        </w:trPr>
        <w:tc>
          <w:tcPr>
            <w:tcW w:type="dxa" w:w="2479"/>
            <w:tcW w:w="1907" w:type="dxa"/>
          </w:tcPr>
          <w:p>
            <w:pPr>
              <w:spacing w:after="0" w:before="0"/>
            </w:pPr>
            <w:r>
              <w:rPr>
                <w:b/>
                <w:color w:val="FFFFFF"/>
                <w:sz w:val="16"/>
              </w:rPr>
              <w:t>Tool</w:t>
            </w:r>
          </w:p>
        </w:tc>
        <w:tc>
          <w:tcPr>
            <w:tcW w:type="dxa" w:w="2479"/>
            <w:tcW w:w="1983" w:type="dxa"/>
          </w:tcPr>
          <w:p>
            <w:pPr>
              <w:spacing w:after="0" w:before="0"/>
            </w:pPr>
            <w:r>
              <w:rPr>
                <w:b/>
                <w:color w:val="FFFFFF"/>
                <w:sz w:val="16"/>
              </w:rPr>
              <w:t>Purpose</w:t>
            </w:r>
          </w:p>
        </w:tc>
        <w:tc>
          <w:tcPr>
            <w:tcW w:type="dxa" w:w="2479"/>
            <w:tcW w:w="3509" w:type="dxa"/>
          </w:tcPr>
          <w:p>
            <w:pPr>
              <w:spacing w:after="0" w:before="0"/>
            </w:pPr>
            <w:r>
              <w:rPr>
                <w:b/>
                <w:color w:val="FFFFFF"/>
                <w:sz w:val="16"/>
              </w:rPr>
              <w:t>Key inputs</w:t>
            </w:r>
          </w:p>
        </w:tc>
        <w:tc>
          <w:tcPr>
            <w:tcW w:type="dxa" w:w="2479"/>
            <w:tcW w:w="2517" w:type="dxa"/>
          </w:tcPr>
          <w:p>
            <w:pPr>
              <w:spacing w:after="0" w:before="0"/>
            </w:pPr>
            <w:r>
              <w:rPr>
                <w:b/>
                <w:color w:val="FFFFFF"/>
                <w:sz w:val="16"/>
              </w:rPr>
              <w:t>Returns</w:t>
            </w:r>
          </w:p>
        </w:tc>
      </w:tr>
      <w:tr>
        <w:trPr>
          <w:cantSplit w:val="true"/>
        </w:trPr>
        <w:tc>
          <w:tcPr>
            <w:tcW w:type="dxa" w:w="2479"/>
            <w:tcW w:w="1907" w:type="dxa"/>
          </w:tcPr>
          <w:p>
            <w:pPr>
              <w:spacing w:after="0" w:before="0"/>
            </w:pPr>
            <w:r>
              <w:rPr>
                <w:rFonts w:ascii="Consolas" w:hAnsi="Consolas"/>
                <w:color w:val="3411A3"/>
                <w:sz w:val="15"/>
              </w:rPr>
              <w:t>dsn_query</w:t>
            </w:r>
          </w:p>
        </w:tc>
        <w:tc>
          <w:tcPr>
            <w:tcW w:type="dxa" w:w="2479"/>
            <w:tcW w:w="1983" w:type="dxa"/>
          </w:tcPr>
          <w:p>
            <w:pPr>
              <w:spacing w:after="0" w:before="0"/>
            </w:pPr>
            <w:r>
              <w:rPr>
                <w:sz w:val="16"/>
              </w:rPr>
              <w:t>Main tool. Runs an approved report.</w:t>
            </w:r>
          </w:p>
        </w:tc>
        <w:tc>
          <w:tcPr>
            <w:tcW w:type="dxa" w:w="2479"/>
            <w:tcW w:w="3509" w:type="dxa"/>
          </w:tcPr>
          <w:p>
            <w:pPr>
              <w:spacing w:after="0" w:before="0"/>
            </w:pPr>
            <w:r>
              <w:rPr>
                <w:rFonts w:ascii="Consolas" w:hAnsi="Consolas"/>
                <w:color w:val="3411A3"/>
                <w:sz w:val="15"/>
              </w:rPr>
              <w:t>report</w:t>
            </w:r>
            <w:r>
              <w:rPr>
                <w:sz w:val="16"/>
              </w:rPr>
              <w:t xml:space="preserve">, </w:t>
            </w:r>
            <w:r>
              <w:rPr>
                <w:rFonts w:ascii="Consolas" w:hAnsi="Consolas"/>
                <w:color w:val="3411A3"/>
                <w:sz w:val="15"/>
              </w:rPr>
              <w:t>year</w:t>
            </w:r>
            <w:r>
              <w:rPr>
                <w:sz w:val="16"/>
              </w:rPr>
              <w:t>/</w:t>
            </w:r>
            <w:r>
              <w:rPr>
                <w:rFonts w:ascii="Consolas" w:hAnsi="Consolas"/>
                <w:color w:val="3411A3"/>
                <w:sz w:val="15"/>
              </w:rPr>
              <w:t>month</w:t>
            </w:r>
            <w:r>
              <w:rPr>
                <w:sz w:val="16"/>
              </w:rPr>
              <w:t>/</w:t>
            </w:r>
            <w:r>
              <w:rPr>
                <w:rFonts w:ascii="Consolas" w:hAnsi="Consolas"/>
                <w:color w:val="3411A3"/>
                <w:sz w:val="15"/>
              </w:rPr>
              <w:t>months</w:t>
            </w:r>
            <w:r>
              <w:rPr>
                <w:sz w:val="16"/>
              </w:rPr>
              <w:t xml:space="preserve"> or </w:t>
            </w:r>
            <w:r>
              <w:rPr>
                <w:rFonts w:ascii="Consolas" w:hAnsi="Consolas"/>
                <w:color w:val="3411A3"/>
                <w:sz w:val="15"/>
              </w:rPr>
              <w:t>from_date</w:t>
            </w:r>
            <w:r>
              <w:rPr>
                <w:sz w:val="16"/>
              </w:rPr>
              <w:t>/</w:t>
            </w:r>
            <w:r>
              <w:rPr>
                <w:rFonts w:ascii="Consolas" w:hAnsi="Consolas"/>
                <w:color w:val="3411A3"/>
                <w:sz w:val="15"/>
              </w:rPr>
              <w:t>to_date</w:t>
            </w:r>
          </w:p>
          <w:p>
            <w:pPr>
              <w:spacing w:after="0" w:before="40"/>
            </w:pPr>
            <w:r>
              <w:rPr>
                <w:rFonts w:ascii="Consolas" w:hAnsi="Consolas"/>
                <w:color w:val="3411A3"/>
                <w:sz w:val="15"/>
              </w:rPr>
              <w:t>agency_codes</w:t>
            </w:r>
            <w:r>
              <w:rPr>
                <w:sz w:val="16"/>
              </w:rPr>
              <w:t xml:space="preserve">, </w:t>
            </w:r>
            <w:r>
              <w:rPr>
                <w:rFonts w:ascii="Consolas" w:hAnsi="Consolas"/>
                <w:color w:val="3411A3"/>
                <w:sz w:val="15"/>
              </w:rPr>
              <w:t>parent_customer</w:t>
            </w:r>
            <w:r>
              <w:rPr>
                <w:sz w:val="16"/>
              </w:rPr>
              <w:t xml:space="preserve">, </w:t>
            </w:r>
            <w:r>
              <w:rPr>
                <w:rFonts w:ascii="Consolas" w:hAnsi="Consolas"/>
                <w:color w:val="3411A3"/>
                <w:sz w:val="15"/>
              </w:rPr>
              <w:t>grain</w:t>
            </w:r>
            <w:r>
              <w:rPr>
                <w:sz w:val="16"/>
              </w:rPr>
              <w:t xml:space="preserve">, </w:t>
            </w:r>
            <w:r>
              <w:rPr>
                <w:rFonts w:ascii="Consolas" w:hAnsi="Consolas"/>
                <w:color w:val="3411A3"/>
                <w:sz w:val="15"/>
              </w:rPr>
              <w:t>include_all</w:t>
            </w:r>
          </w:p>
          <w:p>
            <w:pPr>
              <w:spacing w:after="0" w:before="40"/>
            </w:pPr>
            <w:r>
              <w:rPr>
                <w:rFonts w:ascii="Consolas" w:hAnsi="Consolas"/>
                <w:color w:val="3411A3"/>
                <w:sz w:val="15"/>
              </w:rPr>
              <w:t>result_mode</w:t>
            </w:r>
            <w:r>
              <w:rPr>
                <w:sz w:val="16"/>
              </w:rPr>
              <w:t xml:space="preserve"> (preview | export), </w:t>
            </w:r>
            <w:r>
              <w:rPr>
                <w:rFonts w:ascii="Consolas" w:hAnsi="Consolas"/>
                <w:color w:val="3411A3"/>
                <w:sz w:val="15"/>
              </w:rPr>
              <w:t>preview_rows</w:t>
            </w:r>
            <w:r>
              <w:rPr>
                <w:sz w:val="16"/>
              </w:rPr>
              <w:t xml:space="preserve"> (1-500)</w:t>
            </w:r>
          </w:p>
        </w:tc>
        <w:tc>
          <w:tcPr>
            <w:tcW w:type="dxa" w:w="2479"/>
            <w:tcW w:w="2517" w:type="dxa"/>
          </w:tcPr>
          <w:p>
            <w:pPr>
              <w:spacing w:after="0" w:before="0"/>
            </w:pPr>
            <w:r>
              <w:rPr>
                <w:rFonts w:ascii="Consolas" w:hAnsi="Consolas"/>
                <w:color w:val="3411A3"/>
                <w:sz w:val="15"/>
              </w:rPr>
              <w:t>query_id</w:t>
            </w:r>
            <w:r>
              <w:rPr>
                <w:sz w:val="16"/>
              </w:rPr>
              <w:t>, scope, methodology, rule version, dataset previews, warnings, optional export path</w:t>
            </w:r>
          </w:p>
        </w:tc>
      </w:tr>
      <w:tr>
        <w:trPr>
          <w:cantSplit w:val="true"/>
        </w:trPr>
        <w:tc>
          <w:tcPr>
            <w:tcW w:type="dxa" w:w="2479"/>
            <w:tcW w:w="1907" w:type="dxa"/>
          </w:tcPr>
          <w:p>
            <w:pPr>
              <w:spacing w:after="0" w:before="0"/>
            </w:pPr>
            <w:r>
              <w:rPr>
                <w:rFonts w:ascii="Consolas" w:hAnsi="Consolas"/>
                <w:color w:val="3411A3"/>
                <w:sz w:val="15"/>
              </w:rPr>
              <w:t>dsn_catalog</w:t>
            </w:r>
          </w:p>
        </w:tc>
        <w:tc>
          <w:tcPr>
            <w:tcW w:type="dxa" w:w="2479"/>
            <w:tcW w:w="1983" w:type="dxa"/>
          </w:tcPr>
          <w:p>
            <w:pPr>
              <w:spacing w:after="0" w:before="0"/>
            </w:pPr>
            <w:r>
              <w:rPr>
                <w:sz w:val="16"/>
              </w:rPr>
              <w:t>Targeted discovery</w:t>
            </w:r>
          </w:p>
        </w:tc>
        <w:tc>
          <w:tcPr>
            <w:tcW w:type="dxa" w:w="2479"/>
            <w:tcW w:w="3509" w:type="dxa"/>
          </w:tcPr>
          <w:p>
            <w:pPr>
              <w:spacing w:after="0" w:before="0"/>
            </w:pPr>
            <w:r>
              <w:rPr>
                <w:rFonts w:ascii="Consolas" w:hAnsi="Consolas"/>
                <w:color w:val="3411A3"/>
                <w:sz w:val="15"/>
              </w:rPr>
              <w:t>action</w:t>
            </w:r>
            <w:r>
              <w:rPr>
                <w:sz w:val="16"/>
              </w:rPr>
              <w:t xml:space="preserve">, </w:t>
            </w:r>
            <w:r>
              <w:rPr>
                <w:rFonts w:ascii="Consolas" w:hAnsi="Consolas"/>
                <w:color w:val="3411A3"/>
                <w:sz w:val="15"/>
              </w:rPr>
              <w:t>search</w:t>
            </w:r>
            <w:r>
              <w:rPr>
                <w:sz w:val="16"/>
              </w:rPr>
              <w:t xml:space="preserve">, </w:t>
            </w:r>
            <w:r>
              <w:rPr>
                <w:rFonts w:ascii="Consolas" w:hAnsi="Consolas"/>
                <w:color w:val="3411A3"/>
                <w:sz w:val="15"/>
              </w:rPr>
              <w:t>report</w:t>
            </w:r>
            <w:r>
              <w:rPr>
                <w:sz w:val="16"/>
              </w:rPr>
              <w:t xml:space="preserve">, </w:t>
            </w:r>
            <w:r>
              <w:rPr>
                <w:rFonts w:ascii="Consolas" w:hAnsi="Consolas"/>
                <w:color w:val="3411A3"/>
                <w:sz w:val="15"/>
              </w:rPr>
              <w:t>schema_name</w:t>
            </w:r>
            <w:r>
              <w:rPr>
                <w:sz w:val="16"/>
              </w:rPr>
              <w:t xml:space="preserve">, </w:t>
            </w:r>
            <w:r>
              <w:rPr>
                <w:rFonts w:ascii="Consolas" w:hAnsi="Consolas"/>
                <w:color w:val="3411A3"/>
                <w:sz w:val="15"/>
              </w:rPr>
              <w:t>table_name</w:t>
            </w:r>
            <w:r>
              <w:rPr>
                <w:sz w:val="16"/>
              </w:rPr>
              <w:t xml:space="preserve">, </w:t>
            </w:r>
            <w:r>
              <w:rPr>
                <w:rFonts w:ascii="Consolas" w:hAnsi="Consolas"/>
                <w:color w:val="3411A3"/>
                <w:sz w:val="15"/>
              </w:rPr>
              <w:t>limit</w:t>
            </w:r>
            <w:r>
              <w:rPr>
                <w:sz w:val="16"/>
              </w:rPr>
              <w:t xml:space="preserve"> (max 500)</w:t>
            </w:r>
          </w:p>
        </w:tc>
        <w:tc>
          <w:tcPr>
            <w:tcW w:type="dxa" w:w="2479"/>
            <w:tcW w:w="2517" w:type="dxa"/>
          </w:tcPr>
          <w:p>
            <w:pPr>
              <w:spacing w:after="0" w:before="0"/>
            </w:pPr>
            <w:r>
              <w:rPr>
                <w:sz w:val="16"/>
              </w:rPr>
              <w:t>Columns, rows and a truncation flag</w:t>
            </w:r>
          </w:p>
        </w:tc>
      </w:tr>
      <w:tr>
        <w:trPr>
          <w:cantSplit w:val="true"/>
        </w:trPr>
        <w:tc>
          <w:tcPr>
            <w:tcW w:type="dxa" w:w="2479"/>
            <w:tcW w:w="1907" w:type="dxa"/>
          </w:tcPr>
          <w:p>
            <w:pPr>
              <w:spacing w:after="0" w:before="0"/>
            </w:pPr>
            <w:r>
              <w:rPr>
                <w:rFonts w:ascii="Consolas" w:hAnsi="Consolas"/>
                <w:color w:val="3411A3"/>
                <w:sz w:val="15"/>
              </w:rPr>
              <w:t>dsn_result</w:t>
            </w:r>
          </w:p>
        </w:tc>
        <w:tc>
          <w:tcPr>
            <w:tcW w:type="dxa" w:w="2479"/>
            <w:tcW w:w="1983" w:type="dxa"/>
          </w:tcPr>
          <w:p>
            <w:pPr>
              <w:spacing w:after="0" w:before="0"/>
            </w:pPr>
            <w:r>
              <w:rPr>
                <w:sz w:val="16"/>
              </w:rPr>
              <w:t>Page, inspect or export a cached result</w:t>
            </w:r>
          </w:p>
        </w:tc>
        <w:tc>
          <w:tcPr>
            <w:tcW w:type="dxa" w:w="2479"/>
            <w:tcW w:w="3509" w:type="dxa"/>
          </w:tcPr>
          <w:p>
            <w:pPr>
              <w:spacing w:after="0" w:before="0"/>
            </w:pPr>
            <w:r>
              <w:rPr>
                <w:rFonts w:ascii="Consolas" w:hAnsi="Consolas"/>
                <w:color w:val="3411A3"/>
                <w:sz w:val="15"/>
              </w:rPr>
              <w:t>action</w:t>
            </w:r>
            <w:r>
              <w:rPr>
                <w:sz w:val="16"/>
              </w:rPr>
              <w:t xml:space="preserve"> (page | metadata | export), </w:t>
            </w:r>
            <w:r>
              <w:rPr>
                <w:rFonts w:ascii="Consolas" w:hAnsi="Consolas"/>
                <w:color w:val="3411A3"/>
                <w:sz w:val="15"/>
              </w:rPr>
              <w:t>query_id</w:t>
            </w:r>
            <w:r>
              <w:rPr>
                <w:sz w:val="16"/>
              </w:rPr>
              <w:t xml:space="preserve">, </w:t>
            </w:r>
            <w:r>
              <w:rPr>
                <w:rFonts w:ascii="Consolas" w:hAnsi="Consolas"/>
                <w:color w:val="3411A3"/>
                <w:sz w:val="15"/>
              </w:rPr>
              <w:t>dataset</w:t>
            </w:r>
            <w:r>
              <w:rPr>
                <w:sz w:val="16"/>
              </w:rPr>
              <w:t xml:space="preserve">, </w:t>
            </w:r>
            <w:r>
              <w:rPr>
                <w:rFonts w:ascii="Consolas" w:hAnsi="Consolas"/>
                <w:color w:val="3411A3"/>
                <w:sz w:val="15"/>
              </w:rPr>
              <w:t>offset</w:t>
            </w:r>
            <w:r>
              <w:rPr>
                <w:sz w:val="16"/>
              </w:rPr>
              <w:t xml:space="preserve">, </w:t>
            </w:r>
            <w:r>
              <w:rPr>
                <w:rFonts w:ascii="Consolas" w:hAnsi="Consolas"/>
                <w:color w:val="3411A3"/>
                <w:sz w:val="15"/>
              </w:rPr>
              <w:t>limit</w:t>
            </w:r>
            <w:r>
              <w:rPr>
                <w:sz w:val="16"/>
              </w:rPr>
              <w:t xml:space="preserve"> (max 500)</w:t>
            </w:r>
          </w:p>
        </w:tc>
        <w:tc>
          <w:tcPr>
            <w:tcW w:type="dxa" w:w="2479"/>
            <w:tcW w:w="2517" w:type="dxa"/>
          </w:tcPr>
          <w:p>
            <w:pPr>
              <w:spacing w:after="0" w:before="0"/>
            </w:pPr>
            <w:r>
              <w:rPr>
                <w:sz w:val="16"/>
              </w:rPr>
              <w:t xml:space="preserve">Rows plus </w:t>
            </w:r>
            <w:r>
              <w:rPr>
                <w:rFonts w:ascii="Consolas" w:hAnsi="Consolas"/>
                <w:color w:val="3411A3"/>
                <w:sz w:val="15"/>
              </w:rPr>
              <w:t>has_more</w:t>
            </w:r>
            <w:r>
              <w:rPr>
                <w:sz w:val="16"/>
              </w:rPr>
              <w:t>, metadata, or an export path/URI</w:t>
            </w:r>
          </w:p>
        </w:tc>
      </w:tr>
      <w:tr>
        <w:trPr>
          <w:cantSplit w:val="true"/>
        </w:trPr>
        <w:tc>
          <w:tcPr>
            <w:tcW w:type="dxa" w:w="2479"/>
            <w:tcW w:w="1907" w:type="dxa"/>
          </w:tcPr>
          <w:p>
            <w:pPr>
              <w:spacing w:after="0" w:before="0"/>
            </w:pPr>
            <w:r>
              <w:rPr>
                <w:rFonts w:ascii="Consolas" w:hAnsi="Consolas"/>
                <w:color w:val="3411A3"/>
                <w:sz w:val="15"/>
              </w:rPr>
              <w:t>dsn_execute_ad_hoc_sql</w:t>
            </w:r>
          </w:p>
        </w:tc>
        <w:tc>
          <w:tcPr>
            <w:tcW w:type="dxa" w:w="2479"/>
            <w:tcW w:w="1983" w:type="dxa"/>
          </w:tcPr>
          <w:p>
            <w:pPr>
              <w:spacing w:after="0" w:before="0"/>
            </w:pPr>
            <w:r>
              <w:rPr>
                <w:sz w:val="16"/>
              </w:rPr>
              <w:t>Fallback read-only SELECT</w:t>
            </w:r>
          </w:p>
        </w:tc>
        <w:tc>
          <w:tcPr>
            <w:tcW w:type="dxa" w:w="2479"/>
            <w:tcW w:w="3509" w:type="dxa"/>
          </w:tcPr>
          <w:p>
            <w:pPr>
              <w:spacing w:after="0" w:before="0"/>
            </w:pPr>
            <w:r>
              <w:rPr>
                <w:rFonts w:ascii="Consolas" w:hAnsi="Consolas"/>
                <w:color w:val="3411A3"/>
                <w:sz w:val="15"/>
              </w:rPr>
              <w:t>sql</w:t>
            </w:r>
            <w:r>
              <w:rPr>
                <w:sz w:val="16"/>
              </w:rPr>
              <w:t xml:space="preserve">, </w:t>
            </w:r>
            <w:r>
              <w:rPr>
                <w:rFonts w:ascii="Consolas" w:hAnsi="Consolas"/>
                <w:color w:val="3411A3"/>
                <w:sz w:val="15"/>
              </w:rPr>
              <w:t>limit</w:t>
            </w:r>
            <w:r>
              <w:rPr>
                <w:sz w:val="16"/>
              </w:rPr>
              <w:t xml:space="preserve"> (1 to </w:t>
            </w:r>
            <w:r>
              <w:rPr>
                <w:rFonts w:ascii="Consolas" w:hAnsi="Consolas"/>
                <w:color w:val="3411A3"/>
                <w:sz w:val="15"/>
              </w:rPr>
              <w:t>FABRIC_MAX_ADHOC_ROWS</w:t>
            </w:r>
            <w:r>
              <w:rPr>
                <w:sz w:val="16"/>
              </w:rPr>
              <w:t>)</w:t>
            </w:r>
          </w:p>
        </w:tc>
        <w:tc>
          <w:tcPr>
            <w:tcW w:type="dxa" w:w="2479"/>
            <w:tcW w:w="2517" w:type="dxa"/>
          </w:tcPr>
          <w:p>
            <w:pPr>
              <w:spacing w:after="0" w:before="0"/>
            </w:pPr>
            <w:r>
              <w:rPr>
                <w:sz w:val="16"/>
              </w:rPr>
              <w:t>Rows plus a warning that the methodology is not enforced</w:t>
            </w:r>
          </w:p>
        </w:tc>
      </w:tr>
      <w:tr>
        <w:trPr>
          <w:cantSplit w:val="true"/>
        </w:trPr>
        <w:tc>
          <w:tcPr>
            <w:tcW w:type="dxa" w:w="2479"/>
            <w:tcW w:w="1907" w:type="dxa"/>
          </w:tcPr>
          <w:p>
            <w:pPr>
              <w:spacing w:after="0" w:before="0"/>
            </w:pPr>
            <w:r>
              <w:rPr>
                <w:rFonts w:ascii="Consolas" w:hAnsi="Consolas"/>
                <w:color w:val="3411A3"/>
                <w:sz w:val="15"/>
              </w:rPr>
              <w:t>health_check</w:t>
            </w:r>
          </w:p>
        </w:tc>
        <w:tc>
          <w:tcPr>
            <w:tcW w:type="dxa" w:w="2479"/>
            <w:tcW w:w="1983" w:type="dxa"/>
          </w:tcPr>
          <w:p>
            <w:pPr>
              <w:spacing w:after="0" w:before="0"/>
            </w:pPr>
            <w:r>
              <w:rPr>
                <w:sz w:val="16"/>
              </w:rPr>
              <w:t>Connectivity check</w:t>
            </w:r>
          </w:p>
        </w:tc>
        <w:tc>
          <w:tcPr>
            <w:tcW w:type="dxa" w:w="2479"/>
            <w:tcW w:w="3509" w:type="dxa"/>
          </w:tcPr>
          <w:p>
            <w:pPr>
              <w:spacing w:after="0" w:before="0"/>
            </w:pPr>
            <w:r>
              <w:rPr>
                <w:sz w:val="16"/>
              </w:rPr>
              <w:t>none</w:t>
            </w:r>
          </w:p>
        </w:tc>
        <w:tc>
          <w:tcPr>
            <w:tcW w:type="dxa" w:w="2479"/>
            <w:tcW w:w="2517" w:type="dxa"/>
          </w:tcPr>
          <w:p>
            <w:pPr>
              <w:spacing w:after="0" w:before="0"/>
            </w:pPr>
            <w:r>
              <w:rPr>
                <w:sz w:val="16"/>
              </w:rPr>
              <w:t>Status, warehouse, connection, whether MVD is configured, error detail</w:t>
            </w:r>
          </w:p>
        </w:tc>
      </w:tr>
    </w:tbl>
    <w:p>
      <w:pPr>
        <w:spacing w:after="80"/>
      </w:pPr>
    </w:p>
    <w:p>
      <w:r>
        <w:t xml:space="preserve">All tools except </w:t>
      </w:r>
      <w:r>
        <w:rPr>
          <w:rFonts w:ascii="Consolas" w:hAnsi="Consolas"/>
          <w:color w:val="3411A3"/>
          <w:sz w:val="18"/>
        </w:rPr>
        <w:t>dsn_result</w:t>
      </w:r>
      <w:r>
        <w:t xml:space="preserve"> are annotated as read-only and idempotent. </w:t>
      </w:r>
      <w:r>
        <w:rPr>
          <w:rFonts w:ascii="Consolas" w:hAnsi="Consolas"/>
          <w:color w:val="3411A3"/>
          <w:sz w:val="18"/>
        </w:rPr>
        <w:t>dsn_result</w:t>
      </w:r>
      <w:r>
        <w:t xml:space="preserve"> is marked non-read-only because its export action writes a file.</w:t>
      </w:r>
    </w:p>
    <w:p>
      <w:pPr>
        <w:pStyle w:val="Heading2"/>
      </w:pPr>
      <w:r>
        <w:t>Approved reports</w:t>
      </w:r>
    </w:p>
    <w:p>
      <w:pPr>
        <w:keepNext/>
        <w:spacing w:before="160" w:after="80"/>
      </w:pPr>
      <w:r>
        <w:rPr>
          <w:b/>
          <w:color w:val="3411A3"/>
          <w:sz w:val="18"/>
        </w:rPr>
        <w:t xml:space="preserve">Table 7: </w:t>
      </w:r>
      <w:r>
        <w:rPr>
          <w:color w:val="3411A3"/>
          <w:sz w:val="18"/>
        </w:rPr>
        <w:t>Approved reports available through dsn_query</w:t>
      </w:r>
    </w:p>
    <w:tbl>
      <w:tblPr>
        <w:tblStyle w:val="Style1"/>
        <w:tblLook w:firstColumn="1" w:firstRow="1" w:lastColumn="0" w:lastRow="0" w:noHBand="0" w:noVBand="1" w:val="04A0"/>
        <w:tblW w:w="9916" w:type="dxa"/>
        <w:tblCellMar>
          <w:top w:w="50" w:type="dxa"/>
          <w:left w:w="90" w:type="dxa"/>
          <w:bottom w:w="50" w:type="dxa"/>
          <w:right w:w="90" w:type="dxa"/>
        </w:tblCellMar>
        <w:tblLook w:val="04A0" w:firstRow="1" w:lastRow="0" w:firstColumn="0" w:lastColumn="0" w:noHBand="0" w:noVBand="1"/>
      </w:tblPr>
      <w:tblGrid>
        <w:gridCol w:w="2294"/>
        <w:gridCol w:w="3626"/>
        <w:gridCol w:w="1702"/>
        <w:gridCol w:w="962"/>
        <w:gridCol w:w="1332"/>
      </w:tblGrid>
      <w:tr>
        <w:trPr>
          <w:tblHeader w:val="true"/>
          <w:trHeight w:val="397"/>
          <w:cantSplit w:val="true"/>
        </w:trPr>
        <w:tc>
          <w:tcPr>
            <w:tcW w:type="dxa" w:w="1984"/>
            <w:tcW w:w="2294" w:type="dxa"/>
          </w:tcPr>
          <w:p>
            <w:pPr>
              <w:spacing w:after="0" w:before="0"/>
            </w:pPr>
            <w:r>
              <w:rPr>
                <w:b/>
                <w:color w:val="FFFFFF"/>
                <w:sz w:val="16"/>
              </w:rPr>
              <w:t>Report</w:t>
            </w:r>
          </w:p>
        </w:tc>
        <w:tc>
          <w:tcPr>
            <w:tcW w:type="dxa" w:w="1984"/>
            <w:tcW w:w="3626" w:type="dxa"/>
          </w:tcPr>
          <w:p>
            <w:pPr>
              <w:spacing w:after="0" w:before="0"/>
            </w:pPr>
            <w:r>
              <w:rPr>
                <w:b/>
                <w:color w:val="FFFFFF"/>
                <w:sz w:val="16"/>
              </w:rPr>
              <w:t>What it answers</w:t>
            </w:r>
          </w:p>
        </w:tc>
        <w:tc>
          <w:tcPr>
            <w:tcW w:type="dxa" w:w="1984"/>
            <w:tcW w:w="1702" w:type="dxa"/>
          </w:tcPr>
          <w:p>
            <w:pPr>
              <w:spacing w:after="0" w:before="0"/>
            </w:pPr>
            <w:r>
              <w:rPr>
                <w:b/>
                <w:color w:val="FFFFFF"/>
                <w:sz w:val="16"/>
              </w:rPr>
              <w:t>Filters</w:t>
            </w:r>
          </w:p>
        </w:tc>
        <w:tc>
          <w:tcPr>
            <w:tcW w:type="dxa" w:w="1984"/>
            <w:tcW w:w="962" w:type="dxa"/>
          </w:tcPr>
          <w:p>
            <w:pPr>
              <w:spacing w:after="0" w:before="0"/>
            </w:pPr>
            <w:r>
              <w:rPr>
                <w:b/>
                <w:color w:val="FFFFFF"/>
                <w:sz w:val="16"/>
              </w:rPr>
              <w:t>Datasets</w:t>
            </w:r>
          </w:p>
        </w:tc>
        <w:tc>
          <w:tcPr>
            <w:tcW w:type="dxa" w:w="1984"/>
            <w:tcW w:w="1332" w:type="dxa"/>
          </w:tcPr>
          <w:p>
            <w:pPr>
              <w:spacing w:after="0" w:before="0"/>
            </w:pPr>
            <w:r>
              <w:rPr>
                <w:b/>
                <w:color w:val="FFFFFF"/>
                <w:sz w:val="16"/>
              </w:rPr>
              <w:t>Target</w:t>
            </w:r>
          </w:p>
        </w:tc>
      </w:tr>
      <w:tr>
        <w:trPr>
          <w:cantSplit w:val="true"/>
        </w:trPr>
        <w:tc>
          <w:tcPr>
            <w:tcW w:type="dxa" w:w="1984"/>
            <w:tcW w:w="2294" w:type="dxa"/>
          </w:tcPr>
          <w:p>
            <w:pPr>
              <w:spacing w:after="0" w:before="0"/>
            </w:pPr>
            <w:r>
              <w:rPr>
                <w:rFonts w:ascii="Consolas" w:hAnsi="Consolas"/>
                <w:color w:val="3411A3"/>
                <w:sz w:val="15"/>
              </w:rPr>
              <w:t>core_transactions</w:t>
            </w:r>
          </w:p>
        </w:tc>
        <w:tc>
          <w:tcPr>
            <w:tcW w:type="dxa" w:w="1984"/>
            <w:tcW w:w="3626" w:type="dxa"/>
          </w:tcPr>
          <w:p>
            <w:pPr>
              <w:spacing w:after="0" w:before="0"/>
            </w:pPr>
            <w:r>
              <w:rPr>
                <w:sz w:val="16"/>
              </w:rPr>
              <w:t>Reconciliation-grade EFS, non-EFS, core and all-transaction counts plus revenue, at one of five grains</w:t>
            </w:r>
          </w:p>
        </w:tc>
        <w:tc>
          <w:tcPr>
            <w:tcW w:type="dxa" w:w="1984"/>
            <w:tcW w:w="1702" w:type="dxa"/>
          </w:tcPr>
          <w:p>
            <w:pPr>
              <w:spacing w:after="0" w:before="0"/>
            </w:pPr>
            <w:r>
              <w:rPr>
                <w:sz w:val="16"/>
              </w:rPr>
              <w:t>agency, parent, grain</w:t>
            </w:r>
          </w:p>
        </w:tc>
        <w:tc>
          <w:tcPr>
            <w:tcW w:type="dxa" w:w="1984"/>
            <w:tcW w:w="962" w:type="dxa"/>
          </w:tcPr>
          <w:p>
            <w:pPr>
              <w:spacing w:after="0" w:before="0"/>
            </w:pPr>
            <w:r>
              <w:rPr>
                <w:sz w:val="16"/>
              </w:rPr>
              <w:t>1</w:t>
            </w:r>
          </w:p>
        </w:tc>
        <w:tc>
          <w:tcPr>
            <w:tcW w:type="dxa" w:w="1984"/>
            <w:tcW w:w="1332" w:type="dxa"/>
          </w:tcPr>
          <w:p>
            <w:pPr>
              <w:spacing w:after="0" w:before="0"/>
            </w:pPr>
            <w:r>
              <w:rPr>
                <w:sz w:val="16"/>
              </w:rPr>
              <w:t>dwh_report</w:t>
            </w:r>
          </w:p>
        </w:tc>
      </w:tr>
      <w:tr>
        <w:trPr>
          <w:cantSplit w:val="true"/>
        </w:trPr>
        <w:tc>
          <w:tcPr>
            <w:tcW w:type="dxa" w:w="1984"/>
            <w:tcW w:w="2294" w:type="dxa"/>
          </w:tcPr>
          <w:p>
            <w:pPr>
              <w:spacing w:after="0" w:before="0"/>
            </w:pPr>
            <w:r>
              <w:rPr>
                <w:rFonts w:ascii="Consolas" w:hAnsi="Consolas"/>
                <w:color w:val="3411A3"/>
                <w:sz w:val="15"/>
              </w:rPr>
              <w:t>parent_customer_detail</w:t>
            </w:r>
          </w:p>
        </w:tc>
        <w:tc>
          <w:tcPr>
            <w:tcW w:type="dxa" w:w="1984"/>
            <w:tcW w:w="3626" w:type="dxa"/>
          </w:tcPr>
          <w:p>
            <w:pPr>
              <w:spacing w:after="0" w:before="0"/>
            </w:pPr>
            <w:r>
              <w:rPr>
                <w:sz w:val="16"/>
              </w:rPr>
              <w:t>Transaction-level rows for one exact parent customer</w:t>
            </w:r>
          </w:p>
        </w:tc>
        <w:tc>
          <w:tcPr>
            <w:tcW w:type="dxa" w:w="1984"/>
            <w:tcW w:w="1702" w:type="dxa"/>
          </w:tcPr>
          <w:p>
            <w:pPr>
              <w:spacing w:after="0" w:before="0"/>
            </w:pPr>
            <w:r>
              <w:rPr>
                <w:sz w:val="16"/>
              </w:rPr>
              <w:t>parent (required), agency</w:t>
            </w:r>
          </w:p>
        </w:tc>
        <w:tc>
          <w:tcPr>
            <w:tcW w:type="dxa" w:w="1984"/>
            <w:tcW w:w="962" w:type="dxa"/>
          </w:tcPr>
          <w:p>
            <w:pPr>
              <w:spacing w:after="0" w:before="0"/>
            </w:pPr>
            <w:r>
              <w:rPr>
                <w:sz w:val="16"/>
              </w:rPr>
              <w:t>1</w:t>
            </w:r>
          </w:p>
        </w:tc>
        <w:tc>
          <w:tcPr>
            <w:tcW w:type="dxa" w:w="1984"/>
            <w:tcW w:w="1332" w:type="dxa"/>
          </w:tcPr>
          <w:p>
            <w:pPr>
              <w:spacing w:after="0" w:before="0"/>
            </w:pPr>
            <w:r>
              <w:rPr>
                <w:sz w:val="16"/>
              </w:rPr>
              <w:t>dwh_report</w:t>
            </w:r>
          </w:p>
        </w:tc>
      </w:tr>
      <w:tr>
        <w:trPr>
          <w:cantSplit w:val="true"/>
        </w:trPr>
        <w:tc>
          <w:tcPr>
            <w:tcW w:type="dxa" w:w="1984"/>
            <w:tcW w:w="2294" w:type="dxa"/>
          </w:tcPr>
          <w:p>
            <w:pPr>
              <w:spacing w:after="0" w:before="0"/>
            </w:pPr>
            <w:r>
              <w:rPr>
                <w:rFonts w:ascii="Consolas" w:hAnsi="Consolas"/>
                <w:color w:val="3411A3"/>
                <w:sz w:val="15"/>
              </w:rPr>
              <w:t>dealer_service_summary</w:t>
            </w:r>
          </w:p>
        </w:tc>
        <w:tc>
          <w:tcPr>
            <w:tcW w:type="dxa" w:w="1984"/>
            <w:tcW w:w="3626" w:type="dxa"/>
          </w:tcPr>
          <w:p>
            <w:pPr>
              <w:spacing w:after="0" w:before="0"/>
            </w:pPr>
            <w:r>
              <w:rPr>
                <w:sz w:val="16"/>
              </w:rPr>
              <w:t>Distinct transactions by dealer, service and month</w:t>
            </w:r>
          </w:p>
        </w:tc>
        <w:tc>
          <w:tcPr>
            <w:tcW w:type="dxa" w:w="1984"/>
            <w:tcW w:w="1702" w:type="dxa"/>
          </w:tcPr>
          <w:p>
            <w:pPr>
              <w:spacing w:after="0" w:before="0"/>
            </w:pPr>
            <w:r>
              <w:rPr>
                <w:sz w:val="16"/>
              </w:rPr>
              <w:t>parent, agency</w:t>
            </w:r>
          </w:p>
        </w:tc>
        <w:tc>
          <w:tcPr>
            <w:tcW w:type="dxa" w:w="1984"/>
            <w:tcW w:w="962" w:type="dxa"/>
          </w:tcPr>
          <w:p>
            <w:pPr>
              <w:spacing w:after="0" w:before="0"/>
            </w:pPr>
            <w:r>
              <w:rPr>
                <w:sz w:val="16"/>
              </w:rPr>
              <w:t>1</w:t>
            </w:r>
          </w:p>
        </w:tc>
        <w:tc>
          <w:tcPr>
            <w:tcW w:type="dxa" w:w="1984"/>
            <w:tcW w:w="1332" w:type="dxa"/>
          </w:tcPr>
          <w:p>
            <w:pPr>
              <w:spacing w:after="0" w:before="0"/>
            </w:pPr>
            <w:r>
              <w:rPr>
                <w:sz w:val="16"/>
              </w:rPr>
              <w:t>dwh_report</w:t>
            </w:r>
          </w:p>
        </w:tc>
      </w:tr>
      <w:tr>
        <w:trPr>
          <w:cantSplit w:val="true"/>
        </w:trPr>
        <w:tc>
          <w:tcPr>
            <w:tcW w:type="dxa" w:w="1984"/>
            <w:tcW w:w="2294" w:type="dxa"/>
          </w:tcPr>
          <w:p>
            <w:pPr>
              <w:spacing w:after="0" w:before="0"/>
            </w:pPr>
            <w:r>
              <w:rPr>
                <w:rFonts w:ascii="Consolas" w:hAnsi="Consolas"/>
                <w:color w:val="3411A3"/>
                <w:sz w:val="15"/>
              </w:rPr>
              <w:t>aggregate_summary</w:t>
            </w:r>
          </w:p>
        </w:tc>
        <w:tc>
          <w:tcPr>
            <w:tcW w:type="dxa" w:w="1984"/>
            <w:tcW w:w="3626" w:type="dxa"/>
          </w:tcPr>
          <w:p>
            <w:pPr>
              <w:spacing w:after="0" w:before="0"/>
            </w:pPr>
            <w:r>
              <w:rPr>
                <w:sz w:val="16"/>
              </w:rPr>
              <w:t>Authoritative entity transaction counts plus revenue by source</w:t>
            </w:r>
          </w:p>
        </w:tc>
        <w:tc>
          <w:tcPr>
            <w:tcW w:type="dxa" w:w="1984"/>
            <w:tcW w:w="1702" w:type="dxa"/>
          </w:tcPr>
          <w:p>
            <w:pPr>
              <w:spacing w:after="0" w:before="0"/>
            </w:pPr>
            <w:r>
              <w:rPr>
                <w:rFonts w:ascii="Consolas" w:hAnsi="Consolas"/>
                <w:color w:val="3411A3"/>
                <w:sz w:val="15"/>
              </w:rPr>
              <w:t>include_all</w:t>
            </w:r>
            <w:r>
              <w:rPr>
                <w:sz w:val="16"/>
              </w:rPr>
              <w:t xml:space="preserve"> only</w:t>
            </w:r>
          </w:p>
        </w:tc>
        <w:tc>
          <w:tcPr>
            <w:tcW w:type="dxa" w:w="1984"/>
            <w:tcW w:w="962" w:type="dxa"/>
          </w:tcPr>
          <w:p>
            <w:pPr>
              <w:spacing w:after="0" w:before="0"/>
            </w:pPr>
            <w:r>
              <w:rPr>
                <w:sz w:val="16"/>
              </w:rPr>
              <w:t>2</w:t>
            </w:r>
          </w:p>
        </w:tc>
        <w:tc>
          <w:tcPr>
            <w:tcW w:type="dxa" w:w="1984"/>
            <w:tcW w:w="1332" w:type="dxa"/>
          </w:tcPr>
          <w:p>
            <w:pPr>
              <w:spacing w:after="0" w:before="0"/>
            </w:pPr>
            <w:r>
              <w:rPr>
                <w:sz w:val="16"/>
              </w:rPr>
              <w:t>dwh_report</w:t>
            </w:r>
          </w:p>
        </w:tc>
      </w:tr>
      <w:tr>
        <w:trPr>
          <w:cantSplit w:val="true"/>
        </w:trPr>
        <w:tc>
          <w:tcPr>
            <w:tcW w:type="dxa" w:w="1984"/>
            <w:tcW w:w="2294" w:type="dxa"/>
          </w:tcPr>
          <w:p>
            <w:pPr>
              <w:spacing w:after="0" w:before="0"/>
            </w:pPr>
            <w:r>
              <w:rPr>
                <w:rFonts w:ascii="Consolas" w:hAnsi="Consolas"/>
                <w:color w:val="3411A3"/>
                <w:sz w:val="15"/>
              </w:rPr>
              <w:t>reference_summary</w:t>
            </w:r>
          </w:p>
        </w:tc>
        <w:tc>
          <w:tcPr>
            <w:tcW w:type="dxa" w:w="1984"/>
            <w:tcW w:w="3626" w:type="dxa"/>
          </w:tcPr>
          <w:p>
            <w:pPr>
              <w:spacing w:after="0" w:before="0"/>
            </w:pPr>
            <w:r>
              <w:rPr>
                <w:sz w:val="16"/>
              </w:rPr>
              <w:t>Same shape as the reference workbook, using the legacy keep and exclude scope</w:t>
            </w:r>
          </w:p>
        </w:tc>
        <w:tc>
          <w:tcPr>
            <w:tcW w:type="dxa" w:w="1984"/>
            <w:tcW w:w="1702" w:type="dxa"/>
          </w:tcPr>
          <w:p>
            <w:pPr>
              <w:spacing w:after="0" w:before="0"/>
            </w:pPr>
            <w:r>
              <w:rPr>
                <w:sz w:val="16"/>
              </w:rPr>
              <w:t>agency</w:t>
            </w:r>
          </w:p>
        </w:tc>
        <w:tc>
          <w:tcPr>
            <w:tcW w:type="dxa" w:w="1984"/>
            <w:tcW w:w="962" w:type="dxa"/>
          </w:tcPr>
          <w:p>
            <w:pPr>
              <w:spacing w:after="0" w:before="0"/>
            </w:pPr>
            <w:r>
              <w:rPr>
                <w:sz w:val="16"/>
              </w:rPr>
              <w:t>2</w:t>
            </w:r>
          </w:p>
        </w:tc>
        <w:tc>
          <w:tcPr>
            <w:tcW w:type="dxa" w:w="1984"/>
            <w:tcW w:w="1332" w:type="dxa"/>
          </w:tcPr>
          <w:p>
            <w:pPr>
              <w:spacing w:after="0" w:before="0"/>
            </w:pPr>
            <w:r>
              <w:rPr>
                <w:sz w:val="16"/>
              </w:rPr>
              <w:t>dwh_report</w:t>
            </w:r>
          </w:p>
        </w:tc>
      </w:tr>
      <w:tr>
        <w:trPr>
          <w:cantSplit w:val="true"/>
        </w:trPr>
        <w:tc>
          <w:tcPr>
            <w:tcW w:type="dxa" w:w="1984"/>
            <w:tcW w:w="2294" w:type="dxa"/>
          </w:tcPr>
          <w:p>
            <w:pPr>
              <w:spacing w:after="0" w:before="0"/>
            </w:pPr>
            <w:r>
              <w:rPr>
                <w:rFonts w:ascii="Consolas" w:hAnsi="Consolas"/>
                <w:color w:val="3411A3"/>
                <w:sz w:val="15"/>
              </w:rPr>
              <w:t>eomv_retail</w:t>
            </w:r>
          </w:p>
        </w:tc>
        <w:tc>
          <w:tcPr>
            <w:tcW w:type="dxa" w:w="1984"/>
            <w:tcW w:w="3626" w:type="dxa"/>
          </w:tcPr>
          <w:p>
            <w:pPr>
              <w:spacing w:after="0" w:before="0"/>
            </w:pPr>
            <w:r>
              <w:rPr>
                <w:sz w:val="16"/>
              </w:rPr>
              <w:t>EOMV retail detail (Express Lane for DMV)</w:t>
            </w:r>
          </w:p>
        </w:tc>
        <w:tc>
          <w:tcPr>
            <w:tcW w:type="dxa" w:w="1984"/>
            <w:tcW w:w="1702" w:type="dxa"/>
          </w:tcPr>
          <w:p>
            <w:pPr>
              <w:spacing w:after="0" w:before="0"/>
            </w:pPr>
            <w:r>
              <w:rPr>
                <w:sz w:val="16"/>
              </w:rPr>
              <w:t>date only</w:t>
            </w:r>
          </w:p>
        </w:tc>
        <w:tc>
          <w:tcPr>
            <w:tcW w:type="dxa" w:w="1984"/>
            <w:tcW w:w="962" w:type="dxa"/>
          </w:tcPr>
          <w:p>
            <w:pPr>
              <w:spacing w:after="0" w:before="0"/>
            </w:pPr>
            <w:r>
              <w:rPr>
                <w:sz w:val="16"/>
              </w:rPr>
              <w:t>1</w:t>
            </w:r>
          </w:p>
        </w:tc>
        <w:tc>
          <w:tcPr>
            <w:tcW w:type="dxa" w:w="1984"/>
            <w:tcW w:w="1332" w:type="dxa"/>
          </w:tcPr>
          <w:p>
            <w:pPr>
              <w:spacing w:after="0" w:before="0"/>
            </w:pPr>
            <w:r>
              <w:rPr>
                <w:sz w:val="16"/>
              </w:rPr>
              <w:t>dwh_report</w:t>
            </w:r>
          </w:p>
        </w:tc>
      </w:tr>
      <w:tr>
        <w:trPr>
          <w:cantSplit w:val="true"/>
        </w:trPr>
        <w:tc>
          <w:tcPr>
            <w:tcW w:type="dxa" w:w="1984"/>
            <w:tcW w:w="2294" w:type="dxa"/>
          </w:tcPr>
          <w:p>
            <w:pPr>
              <w:spacing w:after="0" w:before="0"/>
            </w:pPr>
            <w:r>
              <w:rPr>
                <w:rFonts w:ascii="Consolas" w:hAnsi="Consolas"/>
                <w:color w:val="3411A3"/>
                <w:sz w:val="15"/>
              </w:rPr>
              <w:t>mvd</w:t>
            </w:r>
          </w:p>
        </w:tc>
        <w:tc>
          <w:tcPr>
            <w:tcW w:type="dxa" w:w="1984"/>
            <w:tcW w:w="3626" w:type="dxa"/>
          </w:tcPr>
          <w:p>
            <w:pPr>
              <w:spacing w:after="0" w:before="0"/>
            </w:pPr>
            <w:r>
              <w:rPr>
                <w:sz w:val="16"/>
              </w:rPr>
              <w:t>MVD transaction detail</w:t>
            </w:r>
          </w:p>
        </w:tc>
        <w:tc>
          <w:tcPr>
            <w:tcW w:type="dxa" w:w="1984"/>
            <w:tcW w:w="1702" w:type="dxa"/>
          </w:tcPr>
          <w:p>
            <w:pPr>
              <w:spacing w:after="0" w:before="0"/>
            </w:pPr>
            <w:r>
              <w:rPr>
                <w:sz w:val="16"/>
              </w:rPr>
              <w:t>agency</w:t>
            </w:r>
          </w:p>
        </w:tc>
        <w:tc>
          <w:tcPr>
            <w:tcW w:type="dxa" w:w="1984"/>
            <w:tcW w:w="962" w:type="dxa"/>
          </w:tcPr>
          <w:p>
            <w:pPr>
              <w:spacing w:after="0" w:before="0"/>
            </w:pPr>
            <w:r>
              <w:rPr>
                <w:sz w:val="16"/>
              </w:rPr>
              <w:t>1</w:t>
            </w:r>
          </w:p>
        </w:tc>
        <w:tc>
          <w:tcPr>
            <w:tcW w:type="dxa" w:w="1984"/>
            <w:tcW w:w="1332" w:type="dxa"/>
          </w:tcPr>
          <w:p>
            <w:pPr>
              <w:spacing w:after="0" w:before="0"/>
            </w:pPr>
            <w:r>
              <w:rPr>
                <w:sz w:val="16"/>
              </w:rPr>
              <w:t>lh_transform</w:t>
            </w:r>
          </w:p>
        </w:tc>
      </w:tr>
    </w:tbl>
    <w:p>
      <w:pPr>
        <w:spacing w:after="80"/>
      </w:pPr>
    </w:p>
    <w:p>
      <w:pPr>
        <w:pStyle w:val="Heading3"/>
      </w:pPr>
      <w:r>
        <w:t>Core transaction grains</w:t>
      </w:r>
    </w:p>
    <w:p>
      <w:r>
        <w:rPr>
          <w:rFonts w:ascii="Consolas" w:hAnsi="Consolas"/>
          <w:color w:val="3411A3"/>
          <w:sz w:val="18"/>
        </w:rPr>
        <w:t>core_transactions</w:t>
      </w:r>
      <w:r>
        <w:t xml:space="preserve"> accepts a </w:t>
      </w:r>
      <w:r>
        <w:rPr>
          <w:rFonts w:ascii="Consolas" w:hAnsi="Consolas"/>
          <w:color w:val="3411A3"/>
          <w:sz w:val="18"/>
        </w:rPr>
        <w:t>grain</w:t>
      </w:r>
      <w:r>
        <w:t xml:space="preserve"> that controls the GROUP BY. The default is the most detailed grain:</w:t>
      </w:r>
    </w:p>
    <w:p>
      <w:pPr>
        <w:pStyle w:val="Bullet"/>
      </w:pPr>
      <w:r>
        <w:rPr>
          <w:rFonts w:ascii="Consolas" w:hAnsi="Consolas"/>
          <w:color w:val="3411A3"/>
          <w:sz w:val="18"/>
        </w:rPr>
        <w:t>month</w:t>
      </w:r>
      <w:r>
        <w:t>: one row per year-month (</w:t>
      </w:r>
      <w:r>
        <w:rPr>
          <w:rFonts w:ascii="Consolas" w:hAnsi="Consolas"/>
          <w:color w:val="3411A3"/>
          <w:sz w:val="18"/>
        </w:rPr>
        <w:t>ym</w:t>
      </w:r>
      <w:r>
        <w:t>).</w:t>
      </w:r>
    </w:p>
    <w:p>
      <w:pPr>
        <w:pStyle w:val="Bullet"/>
      </w:pPr>
      <w:r>
        <w:rPr>
          <w:rFonts w:ascii="Consolas" w:hAnsi="Consolas"/>
          <w:color w:val="3411A3"/>
          <w:sz w:val="18"/>
        </w:rPr>
        <w:t>month_agency</w:t>
      </w:r>
      <w:r>
        <w:t xml:space="preserve">: adds </w:t>
      </w:r>
      <w:r>
        <w:rPr>
          <w:rFonts w:ascii="Consolas" w:hAnsi="Consolas"/>
          <w:color w:val="3411A3"/>
          <w:sz w:val="18"/>
        </w:rPr>
        <w:t>agency_code</w:t>
      </w:r>
      <w:r>
        <w:t xml:space="preserve"> and </w:t>
      </w:r>
      <w:r>
        <w:rPr>
          <w:rFonts w:ascii="Consolas" w:hAnsi="Consolas"/>
          <w:color w:val="3411A3"/>
          <w:sz w:val="18"/>
        </w:rPr>
        <w:t>entity_name</w:t>
      </w:r>
      <w:r>
        <w:t>.</w:t>
      </w:r>
    </w:p>
    <w:p>
      <w:pPr>
        <w:pStyle w:val="Bullet"/>
      </w:pPr>
      <w:r>
        <w:rPr>
          <w:rFonts w:ascii="Consolas" w:hAnsi="Consolas"/>
          <w:color w:val="3411A3"/>
          <w:sz w:val="18"/>
        </w:rPr>
        <w:t>month_parent_customer</w:t>
      </w:r>
      <w:r>
        <w:t xml:space="preserve">: adds </w:t>
      </w:r>
      <w:r>
        <w:rPr>
          <w:rFonts w:ascii="Consolas" w:hAnsi="Consolas"/>
          <w:color w:val="3411A3"/>
          <w:sz w:val="18"/>
        </w:rPr>
        <w:t>dealer_group</w:t>
      </w:r>
      <w:r>
        <w:t xml:space="preserve"> (parent customer).</w:t>
      </w:r>
    </w:p>
    <w:p>
      <w:pPr>
        <w:pStyle w:val="Bullet"/>
      </w:pPr>
      <w:r>
        <w:rPr>
          <w:rFonts w:ascii="Consolas" w:hAnsi="Consolas"/>
          <w:color w:val="3411A3"/>
          <w:sz w:val="18"/>
        </w:rPr>
        <w:t>month_agency_parent_customer</w:t>
      </w:r>
      <w:r>
        <w:t>: agency plus dealer group.</w:t>
      </w:r>
    </w:p>
    <w:p>
      <w:pPr>
        <w:pStyle w:val="Bullet"/>
      </w:pPr>
      <w:r>
        <w:rPr>
          <w:rFonts w:ascii="Consolas" w:hAnsi="Consolas"/>
          <w:color w:val="3411A3"/>
          <w:sz w:val="18"/>
        </w:rPr>
        <w:t>month_agency_parent_customer_dealer</w:t>
      </w:r>
      <w:r>
        <w:t xml:space="preserve"> (default): adds </w:t>
      </w:r>
      <w:r>
        <w:rPr>
          <w:rFonts w:ascii="Consolas" w:hAnsi="Consolas"/>
          <w:color w:val="3411A3"/>
          <w:sz w:val="18"/>
        </w:rPr>
        <w:t>dealer_name</w:t>
      </w:r>
      <w:r>
        <w:t xml:space="preserve"> and </w:t>
      </w:r>
      <w:r>
        <w:rPr>
          <w:rFonts w:ascii="Consolas" w:hAnsi="Consolas"/>
          <w:color w:val="3411A3"/>
          <w:sz w:val="18"/>
        </w:rPr>
        <w:t>dealer_license</w:t>
      </w:r>
      <w:r>
        <w:t>.</w:t>
      </w:r>
    </w:p>
    <w:p>
      <w:pPr>
        <w:pStyle w:val="Heading2"/>
      </w:pPr>
      <w:r>
        <w:t>Key workflows</w:t>
      </w:r>
    </w:p>
    <w:p>
      <w:pPr>
        <w:pStyle w:val="Heading3"/>
      </w:pPr>
      <w:r>
        <w:t>dsn_query request lifecycle</w:t>
      </w:r>
    </w:p>
    <w:p>
      <w:pPr>
        <w:pStyle w:val="Listnumber1"/>
        <w:numPr>
          <w:ilvl w:val="0"/>
          <w:numId w:val="41"/>
        </w:numPr>
      </w:pPr>
      <w:r>
        <w:t xml:space="preserve">Claude sends a </w:t>
      </w:r>
      <w:r>
        <w:rPr>
          <w:rFonts w:ascii="Consolas" w:hAnsi="Consolas"/>
          <w:color w:val="3411A3"/>
          <w:sz w:val="18"/>
        </w:rPr>
        <w:t>QueryRequest</w:t>
      </w:r>
      <w:r>
        <w:t xml:space="preserve">. Pydantic checks it: </w:t>
      </w:r>
      <w:r>
        <w:rPr>
          <w:rFonts w:ascii="Consolas" w:hAnsi="Consolas"/>
          <w:color w:val="3411A3"/>
          <w:sz w:val="18"/>
        </w:rPr>
        <w:t>from_date</w:t>
      </w:r>
      <w:r>
        <w:t xml:space="preserve"> and </w:t>
      </w:r>
      <w:r>
        <w:rPr>
          <w:rFonts w:ascii="Consolas" w:hAnsi="Consolas"/>
          <w:color w:val="3411A3"/>
          <w:sz w:val="18"/>
        </w:rPr>
        <w:t>to_date</w:t>
      </w:r>
      <w:r>
        <w:t xml:space="preserve"> must be given together, </w:t>
      </w:r>
      <w:r>
        <w:rPr>
          <w:rFonts w:ascii="Consolas" w:hAnsi="Consolas"/>
          <w:color w:val="3411A3"/>
          <w:sz w:val="18"/>
        </w:rPr>
        <w:t>to_date</w:t>
      </w:r>
      <w:r>
        <w:t xml:space="preserve"> must be later than </w:t>
      </w:r>
      <w:r>
        <w:rPr>
          <w:rFonts w:ascii="Consolas" w:hAnsi="Consolas"/>
          <w:color w:val="3411A3"/>
          <w:sz w:val="18"/>
        </w:rPr>
        <w:t>from_date</w:t>
      </w:r>
      <w:r>
        <w:t xml:space="preserve">, </w:t>
      </w:r>
      <w:r>
        <w:rPr>
          <w:rFonts w:ascii="Consolas" w:hAnsi="Consolas"/>
          <w:color w:val="3411A3"/>
          <w:sz w:val="18"/>
        </w:rPr>
        <w:t>month</w:t>
      </w:r>
      <w:r>
        <w:t xml:space="preserve"> and </w:t>
      </w:r>
      <w:r>
        <w:rPr>
          <w:rFonts w:ascii="Consolas" w:hAnsi="Consolas"/>
          <w:color w:val="3411A3"/>
          <w:sz w:val="18"/>
        </w:rPr>
        <w:t>months</w:t>
      </w:r>
      <w:r>
        <w:t xml:space="preserve"> cannot both be set, </w:t>
      </w:r>
      <w:r>
        <w:rPr>
          <w:rFonts w:ascii="Consolas" w:hAnsi="Consolas"/>
          <w:color w:val="3411A3"/>
          <w:sz w:val="18"/>
        </w:rPr>
        <w:t>months</w:t>
      </w:r>
      <w:r>
        <w:t xml:space="preserve"> must be contiguous, and </w:t>
      </w:r>
      <w:r>
        <w:rPr>
          <w:rFonts w:ascii="Consolas" w:hAnsi="Consolas"/>
          <w:color w:val="3411A3"/>
          <w:sz w:val="18"/>
        </w:rPr>
        <w:t>year</w:t>
      </w:r>
      <w:r>
        <w:t xml:space="preserve"> is required unless explicit dates are given. Agency codes are upper-cased and trimmed.</w:t>
      </w:r>
    </w:p>
    <w:p>
      <w:pPr>
        <w:pStyle w:val="Listnumber1"/>
        <w:numPr>
          <w:ilvl w:val="0"/>
          <w:numId w:val="41"/>
        </w:numPr>
      </w:pPr>
      <w:r>
        <w:rPr>
          <w:rFonts w:ascii="Consolas" w:hAnsi="Consolas"/>
          <w:color w:val="3411A3"/>
          <w:sz w:val="18"/>
        </w:rPr>
        <w:t>build_query_plan</w:t>
      </w:r>
      <w:r>
        <w:t xml:space="preserve"> checks options for the chosen report. For example, </w:t>
      </w:r>
      <w:r>
        <w:rPr>
          <w:rFonts w:ascii="Consolas" w:hAnsi="Consolas"/>
          <w:color w:val="3411A3"/>
          <w:sz w:val="18"/>
        </w:rPr>
        <w:t>aggregate_summary</w:t>
      </w:r>
      <w:r>
        <w:t xml:space="preserve"> rejects agency and parent filters, and </w:t>
      </w:r>
      <w:r>
        <w:rPr>
          <w:rFonts w:ascii="Consolas" w:hAnsi="Consolas"/>
          <w:color w:val="3411A3"/>
          <w:sz w:val="18"/>
        </w:rPr>
        <w:t>include_all</w:t>
      </w:r>
      <w:r>
        <w:t xml:space="preserve"> is only allowed on </w:t>
      </w:r>
      <w:r>
        <w:rPr>
          <w:rFonts w:ascii="Consolas" w:hAnsi="Consolas"/>
          <w:color w:val="3411A3"/>
          <w:sz w:val="18"/>
        </w:rPr>
        <w:t>aggregate_summary</w:t>
      </w:r>
      <w:r>
        <w:t xml:space="preserve">. It then works out the window </w:t>
      </w:r>
      <w:r>
        <w:rPr>
          <w:rFonts w:ascii="Consolas" w:hAnsi="Consolas"/>
          <w:color w:val="3411A3"/>
          <w:sz w:val="18"/>
        </w:rPr>
        <w:t>[start, end)</w:t>
      </w:r>
      <w:r>
        <w:t>. A single month becomes the first of that month to the first of the next, with December rolling into the next year.</w:t>
      </w:r>
    </w:p>
    <w:p>
      <w:pPr>
        <w:pStyle w:val="Listnumber1"/>
        <w:numPr>
          <w:ilvl w:val="0"/>
          <w:numId w:val="41"/>
        </w:numPr>
      </w:pPr>
      <w:r>
        <w:t xml:space="preserve">The matching plan function renders the SQL template with server-built fragments and collects the parameters in the order their placeholders appear. Unit tests check that the number of </w:t>
      </w:r>
      <w:r>
        <w:rPr>
          <w:rFonts w:ascii="Consolas" w:hAnsi="Consolas"/>
          <w:color w:val="3411A3"/>
          <w:sz w:val="18"/>
        </w:rPr>
        <w:t>?</w:t>
      </w:r>
      <w:r>
        <w:t xml:space="preserve"> placeholders matches the number of parameters for every report.</w:t>
      </w:r>
    </w:p>
    <w:p>
      <w:pPr>
        <w:pStyle w:val="Listnumber1"/>
        <w:numPr>
          <w:ilvl w:val="0"/>
          <w:numId w:val="41"/>
        </w:numPr>
      </w:pPr>
      <w:r>
        <w:rPr>
          <w:rFonts w:ascii="Consolas" w:hAnsi="Consolas"/>
          <w:color w:val="3411A3"/>
          <w:sz w:val="18"/>
        </w:rPr>
        <w:t>QueryService.run</w:t>
      </w:r>
      <w:r>
        <w:t xml:space="preserve"> creates a </w:t>
      </w:r>
      <w:r>
        <w:rPr>
          <w:rFonts w:ascii="Consolas" w:hAnsi="Consolas"/>
          <w:color w:val="3411A3"/>
          <w:sz w:val="18"/>
        </w:rPr>
        <w:t>query_id</w:t>
      </w:r>
      <w:r>
        <w:t xml:space="preserve"> (a 32-character hex UUID) and writes </w:t>
      </w:r>
      <w:r>
        <w:rPr>
          <w:rFonts w:ascii="Consolas" w:hAnsi="Consolas"/>
          <w:color w:val="3411A3"/>
          <w:sz w:val="18"/>
        </w:rPr>
        <w:t>meta.json</w:t>
      </w:r>
      <w:r>
        <w:t xml:space="preserve"> with the report, rule version, scope, methodology and warnings.</w:t>
      </w:r>
    </w:p>
    <w:p>
      <w:pPr>
        <w:pStyle w:val="Listnumber1"/>
        <w:numPr>
          <w:ilvl w:val="0"/>
          <w:numId w:val="41"/>
        </w:numPr>
      </w:pPr>
      <w:r>
        <w:t xml:space="preserve">For each dataset, </w:t>
      </w:r>
      <w:r>
        <w:rPr>
          <w:rFonts w:ascii="Consolas" w:hAnsi="Consolas"/>
          <w:color w:val="3411A3"/>
          <w:sz w:val="18"/>
        </w:rPr>
        <w:t>FabricClient.execute_stream</w:t>
      </w:r>
      <w:r>
        <w:t xml:space="preserve"> fetches rows in batches of </w:t>
      </w:r>
      <w:r>
        <w:rPr>
          <w:rFonts w:ascii="Consolas" w:hAnsi="Consolas"/>
          <w:color w:val="3411A3"/>
          <w:sz w:val="18"/>
        </w:rPr>
        <w:t>FABRIC_FETCH_SIZE</w:t>
      </w:r>
      <w:r>
        <w:t>, converts them to JSON-safe values (Decimal becomes float, dates become ISO strings), appends them to the dataset's JSONL file and fills the preview. When the row cap is reached it fetches one extra row to tell whether the result is really truncated.</w:t>
      </w:r>
    </w:p>
    <w:p>
      <w:pPr>
        <w:pStyle w:val="Listnumber1"/>
        <w:numPr>
          <w:ilvl w:val="0"/>
          <w:numId w:val="41"/>
        </w:numPr>
      </w:pPr>
      <w:r>
        <w:t>Warnings are added (truncation, or zero rows from a parent-customer match) and saved before any export, so the Excel provenance matches what Claude was told.</w:t>
      </w:r>
    </w:p>
    <w:p>
      <w:pPr>
        <w:pStyle w:val="Listnumber1"/>
        <w:numPr>
          <w:ilvl w:val="0"/>
          <w:numId w:val="41"/>
        </w:numPr>
      </w:pPr>
      <w:r>
        <w:t xml:space="preserve">If </w:t>
      </w:r>
      <w:r>
        <w:rPr>
          <w:rFonts w:ascii="Consolas" w:hAnsi="Consolas"/>
          <w:color w:val="3411A3"/>
          <w:sz w:val="18"/>
        </w:rPr>
        <w:t>result_mode=export</w:t>
      </w:r>
      <w:r>
        <w:t xml:space="preserve">, the XLSX is written straight away. The response returns the </w:t>
      </w:r>
      <w:r>
        <w:rPr>
          <w:rFonts w:ascii="Consolas" w:hAnsi="Consolas"/>
          <w:color w:val="3411A3"/>
          <w:sz w:val="18"/>
        </w:rPr>
        <w:t>query_id</w:t>
      </w:r>
      <w:r>
        <w:t>, previews and the export path.</w:t>
      </w:r>
    </w:p>
    <w:p>
      <w:pPr>
        <w:pStyle w:val="Heading3"/>
      </w:pPr>
      <w:r>
        <w:t>Paging and export</w:t>
      </w:r>
    </w:p>
    <w:p>
      <w:r>
        <w:t xml:space="preserve">After a query, Claude calls </w:t>
      </w:r>
      <w:r>
        <w:rPr>
          <w:rFonts w:ascii="Consolas" w:hAnsi="Consolas"/>
          <w:color w:val="3411A3"/>
          <w:sz w:val="18"/>
        </w:rPr>
        <w:t>dsn_result</w:t>
      </w:r>
      <w:r>
        <w:t xml:space="preserve"> with the </w:t>
      </w:r>
      <w:r>
        <w:rPr>
          <w:rFonts w:ascii="Consolas" w:hAnsi="Consolas"/>
          <w:color w:val="3411A3"/>
          <w:sz w:val="18"/>
        </w:rPr>
        <w:t>query_id</w:t>
      </w:r>
      <w:r>
        <w:t xml:space="preserve"> instead of running the query against Fabric again. </w:t>
      </w:r>
      <w:r>
        <w:rPr>
          <w:rFonts w:ascii="Consolas" w:hAnsi="Consolas"/>
          <w:color w:val="3411A3"/>
          <w:sz w:val="18"/>
        </w:rPr>
        <w:t>page</w:t>
      </w:r>
      <w:r>
        <w:t xml:space="preserve"> reads rows </w:t>
      </w:r>
      <w:r>
        <w:rPr>
          <w:rFonts w:ascii="Consolas" w:hAnsi="Consolas"/>
          <w:color w:val="3411A3"/>
          <w:sz w:val="18"/>
        </w:rPr>
        <w:t>offset</w:t>
      </w:r>
      <w:r>
        <w:t xml:space="preserve"> to </w:t>
      </w:r>
      <w:r>
        <w:rPr>
          <w:rFonts w:ascii="Consolas" w:hAnsi="Consolas"/>
          <w:color w:val="3411A3"/>
          <w:sz w:val="18"/>
        </w:rPr>
        <w:t>offset+limit</w:t>
      </w:r>
      <w:r>
        <w:t xml:space="preserve"> from the JSONL cache. If a query produced several datasets, </w:t>
      </w:r>
      <w:r>
        <w:rPr>
          <w:rFonts w:ascii="Consolas" w:hAnsi="Consolas"/>
          <w:color w:val="3411A3"/>
          <w:sz w:val="18"/>
        </w:rPr>
        <w:t>dataset</w:t>
      </w:r>
      <w:r>
        <w:t xml:space="preserve"> must be named. </w:t>
      </w:r>
      <w:r>
        <w:rPr>
          <w:rFonts w:ascii="Consolas" w:hAnsi="Consolas"/>
          <w:color w:val="3411A3"/>
          <w:sz w:val="18"/>
        </w:rPr>
        <w:t>export</w:t>
      </w:r>
      <w:r>
        <w:t xml:space="preserve"> writes </w:t>
      </w:r>
      <w:r>
        <w:rPr>
          <w:rFonts w:ascii="Consolas" w:hAnsi="Consolas"/>
          <w:color w:val="3411A3"/>
          <w:sz w:val="18"/>
        </w:rPr>
        <w:t>exports/&lt;timestamp&gt;-&lt;report&gt;-&lt;id8&gt;.xlsx</w:t>
      </w:r>
      <w:r>
        <w:t xml:space="preserve"> with frozen headers, auto-filters, number formats for revenue and count columns, and the </w:t>
      </w:r>
      <w:r>
        <w:rPr>
          <w:rFonts w:ascii="Consolas" w:hAnsi="Consolas"/>
          <w:color w:val="3411A3"/>
          <w:sz w:val="18"/>
        </w:rPr>
        <w:t>_pull_info</w:t>
      </w:r>
      <w:r>
        <w:t xml:space="preserve"> sheet. Cached results expire after </w:t>
      </w:r>
      <w:r>
        <w:rPr>
          <w:rFonts w:ascii="Consolas" w:hAnsi="Consolas"/>
          <w:color w:val="3411A3"/>
          <w:sz w:val="18"/>
        </w:rPr>
        <w:t>FABRIC_RESULT_CACHE_TTL_HOURS</w:t>
      </w:r>
      <w:r>
        <w:t xml:space="preserve"> (default 24); after that the user must run </w:t>
      </w:r>
      <w:r>
        <w:rPr>
          <w:rFonts w:ascii="Consolas" w:hAnsi="Consolas"/>
          <w:color w:val="3411A3"/>
          <w:sz w:val="18"/>
        </w:rPr>
        <w:t>dsn_query</w:t>
      </w:r>
      <w:r>
        <w:t xml:space="preserve"> again.</w:t>
      </w:r>
    </w:p>
    <w:p>
      <w:pPr>
        <w:pStyle w:val="Heading3"/>
      </w:pPr>
      <w:r>
        <w:t>Catalog discovery</w:t>
      </w:r>
    </w:p>
    <w:p>
      <w:r>
        <w:t xml:space="preserve">When a parent-customer name or agency code is uncertain, Claude should call </w:t>
      </w:r>
      <w:r>
        <w:rPr>
          <w:rFonts w:ascii="Consolas" w:hAnsi="Consolas"/>
          <w:color w:val="3411A3"/>
          <w:sz w:val="18"/>
        </w:rPr>
        <w:t>dsn_catalog</w:t>
      </w:r>
      <w:r>
        <w:t xml:space="preserve"> (</w:t>
      </w:r>
      <w:r>
        <w:rPr>
          <w:rFonts w:ascii="Consolas" w:hAnsi="Consolas"/>
          <w:color w:val="3411A3"/>
          <w:sz w:val="18"/>
        </w:rPr>
        <w:t>list_parent_customers</w:t>
      </w:r>
      <w:r>
        <w:t xml:space="preserve"> or </w:t>
      </w:r>
      <w:r>
        <w:rPr>
          <w:rFonts w:ascii="Consolas" w:hAnsi="Consolas"/>
          <w:color w:val="3411A3"/>
          <w:sz w:val="18"/>
        </w:rPr>
        <w:t>list_agencies</w:t>
      </w:r>
      <w:r>
        <w:t xml:space="preserve"> with a </w:t>
      </w:r>
      <w:r>
        <w:rPr>
          <w:rFonts w:ascii="Consolas" w:hAnsi="Consolas"/>
          <w:color w:val="3411A3"/>
          <w:sz w:val="18"/>
        </w:rPr>
        <w:t>search</w:t>
      </w:r>
      <w:r>
        <w:t xml:space="preserve"> substring) rather than guess. Parent-customer matching is exact, so a zero-row </w:t>
      </w:r>
      <w:r>
        <w:rPr>
          <w:rFonts w:ascii="Consolas" w:hAnsi="Consolas"/>
          <w:color w:val="3411A3"/>
          <w:sz w:val="18"/>
        </w:rPr>
        <w:t>parent_customer_detail</w:t>
      </w:r>
      <w:r>
        <w:t xml:space="preserve"> result comes back with a warning that points to this look-up.</w:t>
      </w:r>
    </w:p>
    <w:p>
      <w:pPr>
        <w:pStyle w:val="Heading3"/>
      </w:pPr>
      <w:r>
        <w:t>Ad-hoc SQL fallback</w:t>
      </w:r>
    </w:p>
    <w:p>
      <w:r>
        <w:rPr>
          <w:rFonts w:ascii="Consolas" w:hAnsi="Consolas"/>
          <w:color w:val="3411A3"/>
          <w:sz w:val="18"/>
        </w:rPr>
        <w:t>dsn_execute_ad_hoc_sql</w:t>
      </w:r>
      <w:r>
        <w:t xml:space="preserve"> checks the statement first. It must be a single statement starting with SELECT or WITH and must not contain forbidden keywords such as INSERT, UPDATE, DELETE, DROP, EXEC, INTO, OPENROWSET or BULK. Comments and string literals are removed before checking. It also rejects three- and four-part names and two-part names outside </w:t>
      </w:r>
      <w:r>
        <w:rPr>
          <w:rFonts w:ascii="Consolas" w:hAnsi="Consolas"/>
          <w:color w:val="3411A3"/>
          <w:sz w:val="18"/>
        </w:rPr>
        <w:t>FABRIC_ADHOC_ALLOWED_SCHEMAS</w:t>
      </w:r>
      <w:r>
        <w:t xml:space="preserve"> (default </w:t>
      </w:r>
      <w:r>
        <w:rPr>
          <w:rFonts w:ascii="Consolas" w:hAnsi="Consolas"/>
          <w:color w:val="3411A3"/>
          <w:sz w:val="18"/>
        </w:rPr>
        <w:t>datamart</w:t>
      </w:r>
      <w:r>
        <w:t xml:space="preserve">). The query then runs against </w:t>
      </w:r>
      <w:r>
        <w:rPr>
          <w:rFonts w:ascii="Consolas" w:hAnsi="Consolas"/>
          <w:color w:val="3411A3"/>
          <w:sz w:val="18"/>
        </w:rPr>
        <w:t>dwh_report</w:t>
      </w:r>
      <w:r>
        <w:t xml:space="preserve"> only, with a row cap.</w:t>
      </w:r>
    </w:p>
    <w:p>
      <w:pPr>
        <w:pStyle w:val="Heading2"/>
      </w:pPr>
      <w:r>
        <w:t>Business rules summary</w:t>
      </w:r>
    </w:p>
    <w:p>
      <w:pPr>
        <w:keepNext/>
        <w:spacing w:before="160" w:after="80"/>
      </w:pPr>
      <w:r>
        <w:rPr>
          <w:b/>
          <w:color w:val="3411A3"/>
          <w:sz w:val="18"/>
        </w:rPr>
        <w:t xml:space="preserve">Table 8: </w:t>
      </w:r>
      <w:r>
        <w:rPr>
          <w:color w:val="3411A3"/>
          <w:sz w:val="18"/>
        </w:rPr>
        <w:t>Business rules enforced by the server (rule version DSN_FABRIC_2026-08-10_V1)</w:t>
      </w:r>
    </w:p>
    <w:tbl>
      <w:tblPr>
        <w:tblStyle w:val="Style1"/>
        <w:tblLook w:firstColumn="1" w:firstRow="1" w:lastColumn="0" w:lastRow="0" w:noHBand="0" w:noVBand="1" w:val="04A0"/>
        <w:tblW w:w="9917" w:type="dxa"/>
        <w:tblCellMar>
          <w:top w:w="50" w:type="dxa"/>
          <w:left w:w="90" w:type="dxa"/>
          <w:bottom w:w="50" w:type="dxa"/>
          <w:right w:w="90" w:type="dxa"/>
        </w:tblCellMar>
        <w:tblLook w:val="04A0" w:firstRow="1" w:lastRow="0" w:firstColumn="0" w:lastColumn="0" w:noHBand="0" w:noVBand="1"/>
      </w:tblPr>
      <w:tblGrid>
        <w:gridCol w:w="2136"/>
        <w:gridCol w:w="7781"/>
      </w:tblGrid>
      <w:tr>
        <w:trPr>
          <w:tblHeader w:val="true"/>
          <w:trHeight w:val="397"/>
          <w:cantSplit w:val="true"/>
        </w:trPr>
        <w:tc>
          <w:tcPr>
            <w:tcW w:type="dxa" w:w="4959"/>
            <w:tcW w:w="2136" w:type="dxa"/>
          </w:tcPr>
          <w:p>
            <w:pPr>
              <w:spacing w:after="0" w:before="0"/>
            </w:pPr>
            <w:r>
              <w:rPr>
                <w:b/>
                <w:color w:val="FFFFFF"/>
                <w:sz w:val="17"/>
              </w:rPr>
              <w:t>Rule</w:t>
            </w:r>
          </w:p>
        </w:tc>
        <w:tc>
          <w:tcPr>
            <w:tcW w:type="dxa" w:w="4959"/>
            <w:tcW w:w="7781" w:type="dxa"/>
          </w:tcPr>
          <w:p>
            <w:pPr>
              <w:spacing w:after="0" w:before="0"/>
            </w:pPr>
            <w:r>
              <w:rPr>
                <w:b/>
                <w:color w:val="FFFFFF"/>
                <w:sz w:val="17"/>
              </w:rPr>
              <w:t>Definition (as implemented)</w:t>
            </w:r>
          </w:p>
        </w:tc>
      </w:tr>
      <w:tr>
        <w:trPr>
          <w:cantSplit w:val="true"/>
        </w:trPr>
        <w:tc>
          <w:tcPr>
            <w:tcW w:type="dxa" w:w="4959"/>
            <w:tcW w:w="2136" w:type="dxa"/>
          </w:tcPr>
          <w:p>
            <w:pPr>
              <w:spacing w:after="0" w:before="0"/>
            </w:pPr>
            <w:r>
              <w:rPr>
                <w:sz w:val="17"/>
              </w:rPr>
              <w:t>Transaction count</w:t>
            </w:r>
          </w:p>
        </w:tc>
        <w:tc>
          <w:tcPr>
            <w:tcW w:type="dxa" w:w="4959"/>
            <w:tcW w:w="7781" w:type="dxa"/>
          </w:tcPr>
          <w:p>
            <w:pPr>
              <w:spacing w:after="0" w:before="0"/>
            </w:pPr>
            <w:r>
              <w:rPr>
                <w:rFonts w:ascii="Consolas" w:hAnsi="Consolas"/>
                <w:color w:val="3411A3"/>
                <w:sz w:val="16"/>
              </w:rPr>
              <w:t>COUNT(DISTINCT transaction_id)</w:t>
            </w:r>
            <w:r>
              <w:rPr>
                <w:sz w:val="17"/>
              </w:rPr>
              <w:t>, never a count of fact rows.</w:t>
            </w:r>
          </w:p>
        </w:tc>
      </w:tr>
      <w:tr>
        <w:trPr>
          <w:cantSplit w:val="true"/>
        </w:trPr>
        <w:tc>
          <w:tcPr>
            <w:tcW w:type="dxa" w:w="4959"/>
            <w:tcW w:w="2136" w:type="dxa"/>
          </w:tcPr>
          <w:p>
            <w:pPr>
              <w:spacing w:after="0" w:before="0"/>
            </w:pPr>
            <w:r>
              <w:rPr>
                <w:sz w:val="17"/>
              </w:rPr>
              <w:t>Date window</w:t>
            </w:r>
          </w:p>
        </w:tc>
        <w:tc>
          <w:tcPr>
            <w:tcW w:type="dxa" w:w="4959"/>
            <w:tcW w:w="7781" w:type="dxa"/>
          </w:tcPr>
          <w:p>
            <w:pPr>
              <w:spacing w:after="0" w:before="0"/>
            </w:pPr>
            <w:r>
              <w:rPr>
                <w:rFonts w:ascii="Consolas" w:hAnsi="Consolas"/>
                <w:color w:val="3411A3"/>
                <w:sz w:val="16"/>
              </w:rPr>
              <w:t>transaction_date &gt;= from_date AND transaction_date &lt; to_date</w:t>
            </w:r>
            <w:r>
              <w:rPr>
                <w:sz w:val="17"/>
              </w:rPr>
              <w:t xml:space="preserve"> (exclusive upper bound).</w:t>
            </w:r>
          </w:p>
        </w:tc>
      </w:tr>
      <w:tr>
        <w:trPr>
          <w:cantSplit w:val="true"/>
        </w:trPr>
        <w:tc>
          <w:tcPr>
            <w:tcW w:type="dxa" w:w="4959"/>
            <w:tcW w:w="2136" w:type="dxa"/>
          </w:tcPr>
          <w:p>
            <w:pPr>
              <w:spacing w:after="0" w:before="0"/>
            </w:pPr>
            <w:r>
              <w:rPr>
                <w:sz w:val="17"/>
              </w:rPr>
              <w:t>Core transaction</w:t>
            </w:r>
          </w:p>
        </w:tc>
        <w:tc>
          <w:tcPr>
            <w:tcW w:type="dxa" w:w="4959"/>
            <w:tcW w:w="7781" w:type="dxa"/>
          </w:tcPr>
          <w:p>
            <w:pPr>
              <w:spacing w:after="0" w:before="0"/>
            </w:pPr>
            <w:r>
              <w:rPr>
                <w:rFonts w:ascii="Consolas" w:hAnsi="Consolas"/>
                <w:color w:val="3411A3"/>
                <w:sz w:val="16"/>
              </w:rPr>
              <w:t>source = 'efs'</w:t>
            </w:r>
            <w:r>
              <w:rPr>
                <w:sz w:val="17"/>
              </w:rPr>
              <w:t xml:space="preserve">, OR </w:t>
            </w:r>
            <w:r>
              <w:rPr>
                <w:rFonts w:ascii="Consolas" w:hAnsi="Consolas"/>
                <w:color w:val="3411A3"/>
                <w:sz w:val="16"/>
              </w:rPr>
              <w:t>UPPER(sub_service_name)</w:t>
            </w:r>
            <w:r>
              <w:rPr>
                <w:sz w:val="17"/>
              </w:rPr>
              <w:t xml:space="preserve"> is one of ORIG NEW TITLE, TRANSFER TITLE, ORIG USED TITLE, ORIGINAL USED TITLE. </w:t>
            </w:r>
            <w:r>
              <w:rPr>
                <w:rFonts w:ascii="Consolas" w:hAnsi="Consolas"/>
                <w:color w:val="3411A3"/>
                <w:sz w:val="16"/>
              </w:rPr>
              <w:t>all_txns</w:t>
            </w:r>
            <w:r>
              <w:rPr>
                <w:sz w:val="17"/>
              </w:rPr>
              <w:t xml:space="preserve"> is returned alongside as a control.</w:t>
            </w:r>
          </w:p>
        </w:tc>
      </w:tr>
      <w:tr>
        <w:trPr>
          <w:cantSplit w:val="true"/>
        </w:trPr>
        <w:tc>
          <w:tcPr>
            <w:tcW w:type="dxa" w:w="4959"/>
            <w:tcW w:w="2136" w:type="dxa"/>
          </w:tcPr>
          <w:p>
            <w:pPr>
              <w:spacing w:after="0" w:before="0"/>
            </w:pPr>
            <w:r>
              <w:rPr>
                <w:sz w:val="17"/>
              </w:rPr>
              <w:t>Agency mapping</w:t>
            </w:r>
          </w:p>
        </w:tc>
        <w:tc>
          <w:tcPr>
            <w:tcW w:type="dxa" w:w="4959"/>
            <w:tcW w:w="7781" w:type="dxa"/>
          </w:tcPr>
          <w:p>
            <w:pPr>
              <w:spacing w:after="0" w:before="0"/>
            </w:pPr>
            <w:r>
              <w:rPr>
                <w:sz w:val="17"/>
              </w:rPr>
              <w:t xml:space="preserve">Always </w:t>
            </w:r>
            <w:r>
              <w:rPr>
                <w:rFonts w:ascii="Consolas" w:hAnsi="Consolas"/>
                <w:color w:val="3411A3"/>
                <w:sz w:val="16"/>
              </w:rPr>
              <w:t>dim_entity.agency_code</w:t>
            </w:r>
            <w:r>
              <w:rPr>
                <w:sz w:val="17"/>
              </w:rPr>
              <w:t xml:space="preserve">, never inferred from </w:t>
            </w:r>
            <w:r>
              <w:rPr>
                <w:rFonts w:ascii="Consolas" w:hAnsi="Consolas"/>
                <w:color w:val="3411A3"/>
                <w:sz w:val="16"/>
              </w:rPr>
              <w:t>entity_name</w:t>
            </w:r>
            <w:r>
              <w:rPr>
                <w:sz w:val="17"/>
              </w:rPr>
              <w:t>.</w:t>
            </w:r>
          </w:p>
        </w:tc>
      </w:tr>
      <w:tr>
        <w:trPr>
          <w:cantSplit w:val="true"/>
        </w:trPr>
        <w:tc>
          <w:tcPr>
            <w:tcW w:type="dxa" w:w="4959"/>
            <w:tcW w:w="2136" w:type="dxa"/>
          </w:tcPr>
          <w:p>
            <w:pPr>
              <w:spacing w:after="0" w:before="0"/>
            </w:pPr>
            <w:r>
              <w:rPr>
                <w:sz w:val="17"/>
              </w:rPr>
              <w:t>Aggregate summary</w:t>
            </w:r>
          </w:p>
        </w:tc>
        <w:tc>
          <w:tcPr>
            <w:tcW w:type="dxa" w:w="4959"/>
            <w:tcW w:w="7781" w:type="dxa"/>
          </w:tcPr>
          <w:p>
            <w:pPr>
              <w:spacing w:after="0" w:before="0"/>
            </w:pPr>
            <w:r>
              <w:rPr>
                <w:sz w:val="17"/>
              </w:rPr>
              <w:t xml:space="preserve">Entity dataset: fact joined to </w:t>
            </w:r>
            <w:r>
              <w:rPr>
                <w:rFonts w:ascii="Consolas" w:hAnsi="Consolas"/>
                <w:color w:val="3411A3"/>
                <w:sz w:val="16"/>
              </w:rPr>
              <w:t>dim_entity</w:t>
            </w:r>
            <w:r>
              <w:rPr>
                <w:sz w:val="17"/>
              </w:rPr>
              <w:t xml:space="preserve">, excluding entities </w:t>
            </w:r>
            <w:r>
              <w:rPr>
                <w:i/>
                <w:sz w:val="17"/>
              </w:rPr>
              <w:t>Auto Title Service Group</w:t>
            </w:r>
            <w:r>
              <w:rPr>
                <w:sz w:val="17"/>
              </w:rPr>
              <w:t xml:space="preserve">, </w:t>
            </w:r>
            <w:r>
              <w:rPr>
                <w:i/>
                <w:sz w:val="17"/>
              </w:rPr>
              <w:t>Express OMV</w:t>
            </w:r>
            <w:r>
              <w:rPr>
                <w:sz w:val="17"/>
              </w:rPr>
              <w:t xml:space="preserve"> and </w:t>
            </w:r>
            <w:r>
              <w:rPr>
                <w:i/>
                <w:sz w:val="17"/>
              </w:rPr>
              <w:t>Dealer Services Network of North Texas</w:t>
            </w:r>
            <w:r>
              <w:rPr>
                <w:sz w:val="17"/>
              </w:rPr>
              <w:t xml:space="preserve">, and source </w:t>
            </w:r>
            <w:r>
              <w:rPr>
                <w:rFonts w:ascii="Consolas" w:hAnsi="Consolas"/>
                <w:color w:val="3411A3"/>
                <w:sz w:val="16"/>
              </w:rPr>
              <w:t>atares</w:t>
            </w:r>
            <w:r>
              <w:rPr>
                <w:sz w:val="17"/>
              </w:rPr>
              <w:t>.</w:t>
            </w:r>
          </w:p>
          <w:p>
            <w:pPr>
              <w:spacing w:after="0" w:before="40"/>
            </w:pPr>
            <w:r>
              <w:rPr>
                <w:sz w:val="17"/>
              </w:rPr>
              <w:t>Source revenue dataset: fact table only, with the source exclusion only.</w:t>
            </w:r>
          </w:p>
          <w:p>
            <w:pPr>
              <w:spacing w:after="0" w:before="40"/>
            </w:pPr>
            <w:r>
              <w:rPr>
                <w:rFonts w:ascii="Consolas" w:hAnsi="Consolas"/>
                <w:color w:val="3411A3"/>
                <w:sz w:val="16"/>
              </w:rPr>
              <w:t>include_all=true</w:t>
            </w:r>
            <w:r>
              <w:rPr>
                <w:sz w:val="17"/>
              </w:rPr>
              <w:t xml:space="preserve"> turns both exclusions off for a comparison run. Both lists are marked </w:t>
            </w:r>
            <w:r>
              <w:rPr>
                <w:b/>
                <w:sz w:val="17"/>
              </w:rPr>
              <w:t>provisional</w:t>
            </w:r>
            <w:r>
              <w:rPr>
                <w:sz w:val="17"/>
              </w:rPr>
              <w:t>.</w:t>
            </w:r>
          </w:p>
        </w:tc>
      </w:tr>
      <w:tr>
        <w:trPr>
          <w:cantSplit w:val="true"/>
        </w:trPr>
        <w:tc>
          <w:tcPr>
            <w:tcW w:type="dxa" w:w="4959"/>
            <w:tcW w:w="2136" w:type="dxa"/>
          </w:tcPr>
          <w:p>
            <w:pPr>
              <w:spacing w:after="0" w:before="0"/>
            </w:pPr>
            <w:r>
              <w:rPr>
                <w:sz w:val="17"/>
              </w:rPr>
              <w:t>Reference summary</w:t>
            </w:r>
          </w:p>
        </w:tc>
        <w:tc>
          <w:tcPr>
            <w:tcW w:type="dxa" w:w="4959"/>
            <w:tcW w:w="7781" w:type="dxa"/>
          </w:tcPr>
          <w:p>
            <w:pPr>
              <w:spacing w:after="0" w:before="0"/>
            </w:pPr>
            <w:r>
              <w:rPr>
                <w:sz w:val="17"/>
              </w:rPr>
              <w:t>Keeps the sources add123, bc, efs, eltmanager, eltv1, inovah, quickview and square, and excludes 15 named DSN/Express OMV/tag-agency entities. Both comparisons are case- and whitespace-normalised.</w:t>
            </w:r>
          </w:p>
        </w:tc>
      </w:tr>
      <w:tr>
        <w:trPr>
          <w:cantSplit w:val="true"/>
        </w:trPr>
        <w:tc>
          <w:tcPr>
            <w:tcW w:type="dxa" w:w="4959"/>
            <w:tcW w:w="2136" w:type="dxa"/>
          </w:tcPr>
          <w:p>
            <w:pPr>
              <w:spacing w:after="0" w:before="0"/>
            </w:pPr>
            <w:r>
              <w:rPr>
                <w:sz w:val="17"/>
              </w:rPr>
              <w:t>EOMV retail</w:t>
            </w:r>
          </w:p>
        </w:tc>
        <w:tc>
          <w:tcPr>
            <w:tcW w:type="dxa" w:w="4959"/>
            <w:tcW w:w="7781" w:type="dxa"/>
          </w:tcPr>
          <w:p>
            <w:pPr>
              <w:spacing w:after="0" w:before="0"/>
            </w:pPr>
            <w:r>
              <w:rPr>
                <w:rFonts w:ascii="Consolas" w:hAnsi="Consolas"/>
                <w:color w:val="3411A3"/>
                <w:sz w:val="16"/>
              </w:rPr>
              <w:t>parent_entity_name = 'EOMV'</w:t>
            </w:r>
            <w:r>
              <w:rPr>
                <w:sz w:val="17"/>
              </w:rPr>
              <w:t xml:space="preserve"> AND </w:t>
            </w:r>
            <w:r>
              <w:rPr>
                <w:rFonts w:ascii="Consolas" w:hAnsi="Consolas"/>
                <w:color w:val="3411A3"/>
                <w:sz w:val="16"/>
              </w:rPr>
              <w:t>service_name = 'Express Lane for DMV'</w:t>
            </w:r>
            <w:r>
              <w:rPr>
                <w:sz w:val="17"/>
              </w:rPr>
              <w:t>. No agency filter, because agency_code is NULL for these rows.</w:t>
            </w:r>
          </w:p>
        </w:tc>
      </w:tr>
      <w:tr>
        <w:trPr>
          <w:cantSplit w:val="true"/>
        </w:trPr>
        <w:tc>
          <w:tcPr>
            <w:tcW w:type="dxa" w:w="4959"/>
            <w:tcW w:w="2136" w:type="dxa"/>
          </w:tcPr>
          <w:p>
            <w:pPr>
              <w:spacing w:after="0" w:before="0"/>
            </w:pPr>
            <w:r>
              <w:rPr>
                <w:sz w:val="17"/>
              </w:rPr>
              <w:t>MVD</w:t>
            </w:r>
          </w:p>
        </w:tc>
        <w:tc>
          <w:tcPr>
            <w:tcW w:type="dxa" w:w="4959"/>
            <w:tcW w:w="7781" w:type="dxa"/>
          </w:tcPr>
          <w:p>
            <w:pPr>
              <w:spacing w:after="0" w:before="0"/>
            </w:pPr>
            <w:r>
              <w:rPr>
                <w:rFonts w:ascii="Consolas" w:hAnsi="Consolas"/>
                <w:color w:val="3411A3"/>
                <w:sz w:val="16"/>
              </w:rPr>
              <w:t>lh_transform.mvd.transaction</w:t>
            </w:r>
            <w:r>
              <w:rPr>
                <w:sz w:val="17"/>
              </w:rPr>
              <w:t xml:space="preserve"> with no joins, ordered by system and date.</w:t>
            </w:r>
          </w:p>
        </w:tc>
      </w:tr>
      <w:tr>
        <w:trPr>
          <w:cantSplit w:val="true"/>
        </w:trPr>
        <w:tc>
          <w:tcPr>
            <w:tcW w:type="dxa" w:w="4959"/>
            <w:tcW w:w="2136" w:type="dxa"/>
          </w:tcPr>
          <w:p>
            <w:pPr>
              <w:spacing w:after="0" w:before="0"/>
            </w:pPr>
            <w:r>
              <w:rPr>
                <w:sz w:val="17"/>
              </w:rPr>
              <w:t>Revenue authority</w:t>
            </w:r>
          </w:p>
        </w:tc>
        <w:tc>
          <w:tcPr>
            <w:tcW w:type="dxa" w:w="4959"/>
            <w:tcW w:w="7781" w:type="dxa"/>
          </w:tcPr>
          <w:p>
            <w:pPr>
              <w:spacing w:after="0" w:before="0"/>
            </w:pPr>
            <w:r>
              <w:rPr>
                <w:sz w:val="17"/>
              </w:rPr>
              <w:t xml:space="preserve">Use </w:t>
            </w:r>
            <w:r>
              <w:rPr>
                <w:rFonts w:ascii="Consolas" w:hAnsi="Consolas"/>
                <w:color w:val="3411A3"/>
                <w:sz w:val="16"/>
              </w:rPr>
              <w:t>aggregate_summary</w:t>
            </w:r>
            <w:r>
              <w:rPr>
                <w:sz w:val="17"/>
              </w:rPr>
              <w:t xml:space="preserve"> for authoritative revenue totals. Detail extracts can double-count revenue through join fan-out.</w:t>
            </w:r>
          </w:p>
        </w:tc>
      </w:tr>
    </w:tbl>
    <w:p>
      <w:pPr>
        <w:spacing w:after="80"/>
      </w:pPr>
    </w:p>
    <w:p>
      <w:pPr>
        <w:pStyle w:val="Heading2"/>
      </w:pPr>
      <w:r>
        <w:t>SQL templates</w:t>
      </w:r>
    </w:p>
    <w:p>
      <w:pPr>
        <w:keepNext/>
        <w:spacing w:before="160" w:after="80"/>
      </w:pPr>
      <w:r>
        <w:rPr>
          <w:b/>
          <w:color w:val="3411A3"/>
          <w:sz w:val="18"/>
        </w:rPr>
        <w:t xml:space="preserve">Table 9: </w:t>
      </w:r>
      <w:r>
        <w:rPr>
          <w:color w:val="3411A3"/>
          <w:sz w:val="18"/>
        </w:rPr>
        <w:t>Server-owned SQL templates</w:t>
      </w:r>
    </w:p>
    <w:tbl>
      <w:tblPr>
        <w:tblStyle w:val="Style1"/>
        <w:tblLook w:firstColumn="1" w:firstRow="1" w:lastColumn="0" w:lastRow="0" w:noHBand="0" w:noVBand="1" w:val="04A0"/>
        <w:tblW w:w="9916" w:type="dxa"/>
        <w:tblCellMar>
          <w:top w:w="50" w:type="dxa"/>
          <w:left w:w="90" w:type="dxa"/>
          <w:bottom w:w="50" w:type="dxa"/>
          <w:right w:w="90" w:type="dxa"/>
        </w:tblCellMar>
        <w:tblLook w:val="04A0" w:firstRow="1" w:lastRow="0" w:firstColumn="0" w:lastColumn="0" w:noHBand="0" w:noVBand="1"/>
      </w:tblPr>
      <w:tblGrid>
        <w:gridCol w:w="3051"/>
        <w:gridCol w:w="3509"/>
        <w:gridCol w:w="3356"/>
      </w:tblGrid>
      <w:tr>
        <w:trPr>
          <w:tblHeader w:val="true"/>
          <w:trHeight w:val="397"/>
          <w:cantSplit w:val="true"/>
        </w:trPr>
        <w:tc>
          <w:tcPr>
            <w:tcW w:type="dxa" w:w="3306"/>
            <w:tcW w:w="3051" w:type="dxa"/>
          </w:tcPr>
          <w:p>
            <w:pPr>
              <w:spacing w:after="0" w:before="0"/>
            </w:pPr>
            <w:r>
              <w:rPr>
                <w:b/>
                <w:color w:val="FFFFFF"/>
                <w:sz w:val="16"/>
              </w:rPr>
              <w:t>Template</w:t>
            </w:r>
          </w:p>
        </w:tc>
        <w:tc>
          <w:tcPr>
            <w:tcW w:type="dxa" w:w="3306"/>
            <w:tcW w:w="3509" w:type="dxa"/>
          </w:tcPr>
          <w:p>
            <w:pPr>
              <w:spacing w:after="0" w:before="0"/>
            </w:pPr>
            <w:r>
              <w:rPr>
                <w:b/>
                <w:color w:val="FFFFFF"/>
                <w:sz w:val="16"/>
              </w:rPr>
              <w:t>Tokens</w:t>
            </w:r>
          </w:p>
        </w:tc>
        <w:tc>
          <w:tcPr>
            <w:tcW w:type="dxa" w:w="3306"/>
            <w:tcW w:w="3356" w:type="dxa"/>
          </w:tcPr>
          <w:p>
            <w:pPr>
              <w:spacing w:after="0" w:before="0"/>
            </w:pPr>
            <w:r>
              <w:rPr>
                <w:b/>
                <w:color w:val="FFFFFF"/>
                <w:sz w:val="16"/>
              </w:rPr>
              <w:t>Notes</w:t>
            </w:r>
          </w:p>
        </w:tc>
      </w:tr>
      <w:tr>
        <w:trPr>
          <w:cantSplit w:val="true"/>
        </w:trPr>
        <w:tc>
          <w:tcPr>
            <w:tcW w:type="dxa" w:w="3306"/>
            <w:tcW w:w="3051" w:type="dxa"/>
          </w:tcPr>
          <w:p>
            <w:pPr>
              <w:spacing w:after="0" w:before="0"/>
            </w:pPr>
            <w:r>
              <w:rPr>
                <w:rFonts w:ascii="Consolas" w:hAnsi="Consolas"/>
                <w:color w:val="3411A3"/>
                <w:sz w:val="15"/>
              </w:rPr>
              <w:t>core_transactions.sql</w:t>
            </w:r>
          </w:p>
        </w:tc>
        <w:tc>
          <w:tcPr>
            <w:tcW w:type="dxa" w:w="3306"/>
            <w:tcW w:w="3509" w:type="dxa"/>
          </w:tcPr>
          <w:p>
            <w:pPr>
              <w:spacing w:after="0" w:before="0"/>
            </w:pPr>
            <w:r>
              <w:rPr>
                <w:sz w:val="16"/>
              </w:rPr>
              <w:t>DIM_SELECT, CORE_SUBSERVICE_PLACEHOLDERS (x2), FILTERS, DIM_GROUP, ORDER_BY</w:t>
            </w:r>
          </w:p>
        </w:tc>
        <w:tc>
          <w:tcPr>
            <w:tcW w:type="dxa" w:w="3306"/>
            <w:tcW w:w="3356" w:type="dxa"/>
          </w:tcPr>
          <w:p>
            <w:pPr>
              <w:spacing w:after="0" w:before="0"/>
            </w:pPr>
            <w:r>
              <w:rPr>
                <w:sz w:val="16"/>
              </w:rPr>
              <w:t>LEFT JOINs to service, customer and parent customer; INNER JOIN to entity</w:t>
            </w:r>
          </w:p>
        </w:tc>
      </w:tr>
      <w:tr>
        <w:trPr>
          <w:cantSplit w:val="true"/>
        </w:trPr>
        <w:tc>
          <w:tcPr>
            <w:tcW w:type="dxa" w:w="3306"/>
            <w:tcW w:w="3051" w:type="dxa"/>
          </w:tcPr>
          <w:p>
            <w:pPr>
              <w:spacing w:after="0" w:before="0"/>
            </w:pPr>
            <w:r>
              <w:rPr>
                <w:rFonts w:ascii="Consolas" w:hAnsi="Consolas"/>
                <w:color w:val="3411A3"/>
                <w:sz w:val="15"/>
              </w:rPr>
              <w:t>parent_customer_detail.sql</w:t>
            </w:r>
          </w:p>
        </w:tc>
        <w:tc>
          <w:tcPr>
            <w:tcW w:type="dxa" w:w="3306"/>
            <w:tcW w:w="3509" w:type="dxa"/>
          </w:tcPr>
          <w:p>
            <w:pPr>
              <w:spacing w:after="0" w:before="0"/>
            </w:pPr>
            <w:r>
              <w:rPr>
                <w:sz w:val="16"/>
              </w:rPr>
              <w:t>FILTERS</w:t>
            </w:r>
          </w:p>
        </w:tc>
        <w:tc>
          <w:tcPr>
            <w:tcW w:type="dxa" w:w="3306"/>
            <w:tcW w:w="3356" w:type="dxa"/>
          </w:tcPr>
          <w:p>
            <w:pPr>
              <w:spacing w:after="0" w:before="0"/>
            </w:pPr>
            <w:r>
              <w:rPr>
                <w:sz w:val="16"/>
              </w:rPr>
              <w:t>INNER JOIN to parent customer; LEFT JOINs to service, vehicle and customer</w:t>
            </w:r>
          </w:p>
        </w:tc>
      </w:tr>
      <w:tr>
        <w:trPr>
          <w:cantSplit w:val="true"/>
        </w:trPr>
        <w:tc>
          <w:tcPr>
            <w:tcW w:type="dxa" w:w="3306"/>
            <w:tcW w:w="3051" w:type="dxa"/>
          </w:tcPr>
          <w:p>
            <w:pPr>
              <w:spacing w:after="0" w:before="0"/>
            </w:pPr>
            <w:r>
              <w:rPr>
                <w:rFonts w:ascii="Consolas" w:hAnsi="Consolas"/>
                <w:color w:val="3411A3"/>
                <w:sz w:val="15"/>
              </w:rPr>
              <w:t>dealer_service_summary.sql</w:t>
            </w:r>
          </w:p>
        </w:tc>
        <w:tc>
          <w:tcPr>
            <w:tcW w:type="dxa" w:w="3306"/>
            <w:tcW w:w="3509" w:type="dxa"/>
          </w:tcPr>
          <w:p>
            <w:pPr>
              <w:spacing w:after="0" w:before="0"/>
            </w:pPr>
            <w:r>
              <w:rPr>
                <w:sz w:val="16"/>
              </w:rPr>
              <w:t>FILTERS</w:t>
            </w:r>
          </w:p>
        </w:tc>
        <w:tc>
          <w:tcPr>
            <w:tcW w:type="dxa" w:w="3306"/>
            <w:tcW w:w="3356" w:type="dxa"/>
          </w:tcPr>
          <w:p>
            <w:pPr>
              <w:spacing w:after="0" w:before="0"/>
            </w:pPr>
            <w:r>
              <w:rPr>
                <w:sz w:val="16"/>
              </w:rPr>
              <w:t xml:space="preserve">INNER JOINs; dealer name taken from </w:t>
            </w:r>
            <w:r>
              <w:rPr>
                <w:rFonts w:ascii="Consolas" w:hAnsi="Consolas"/>
                <w:color w:val="3411A3"/>
                <w:sz w:val="15"/>
              </w:rPr>
              <w:t>dim_customer.parent_customer_name</w:t>
            </w:r>
          </w:p>
        </w:tc>
      </w:tr>
      <w:tr>
        <w:trPr>
          <w:cantSplit w:val="true"/>
        </w:trPr>
        <w:tc>
          <w:tcPr>
            <w:tcW w:type="dxa" w:w="3306"/>
            <w:tcW w:w="3051" w:type="dxa"/>
          </w:tcPr>
          <w:p>
            <w:pPr>
              <w:spacing w:after="0" w:before="0"/>
            </w:pPr>
            <w:r>
              <w:rPr>
                <w:rFonts w:ascii="Consolas" w:hAnsi="Consolas"/>
                <w:color w:val="3411A3"/>
                <w:sz w:val="15"/>
              </w:rPr>
              <w:t>aggregate_entity.sql</w:t>
            </w:r>
            <w:r>
              <w:rPr>
                <w:sz w:val="16"/>
              </w:rPr>
              <w:t xml:space="preserve"> / </w:t>
            </w:r>
            <w:r>
              <w:rPr>
                <w:rFonts w:ascii="Consolas" w:hAnsi="Consolas"/>
                <w:color w:val="3411A3"/>
                <w:sz w:val="15"/>
              </w:rPr>
              <w:t>aggregate_source.sql</w:t>
            </w:r>
          </w:p>
        </w:tc>
        <w:tc>
          <w:tcPr>
            <w:tcW w:type="dxa" w:w="3306"/>
            <w:tcW w:w="3509" w:type="dxa"/>
          </w:tcPr>
          <w:p>
            <w:pPr>
              <w:spacing w:after="0" w:before="0"/>
            </w:pPr>
            <w:r>
              <w:rPr>
                <w:sz w:val="16"/>
              </w:rPr>
              <w:t>FILTERS</w:t>
            </w:r>
          </w:p>
        </w:tc>
        <w:tc>
          <w:tcPr>
            <w:tcW w:type="dxa" w:w="3306"/>
            <w:tcW w:w="3356" w:type="dxa"/>
          </w:tcPr>
          <w:p>
            <w:pPr>
              <w:spacing w:after="0" w:before="0"/>
            </w:pPr>
            <w:r>
              <w:rPr>
                <w:sz w:val="16"/>
              </w:rPr>
              <w:t xml:space="preserve">Monthly buckets via </w:t>
            </w:r>
            <w:r>
              <w:rPr>
                <w:rFonts w:ascii="Consolas" w:hAnsi="Consolas"/>
                <w:color w:val="3411A3"/>
                <w:sz w:val="15"/>
              </w:rPr>
              <w:t>DATEFROMPARTS</w:t>
            </w:r>
          </w:p>
        </w:tc>
      </w:tr>
      <w:tr>
        <w:trPr>
          <w:cantSplit w:val="true"/>
        </w:trPr>
        <w:tc>
          <w:tcPr>
            <w:tcW w:type="dxa" w:w="3306"/>
            <w:tcW w:w="3051" w:type="dxa"/>
          </w:tcPr>
          <w:p>
            <w:pPr>
              <w:spacing w:after="0" w:before="0"/>
            </w:pPr>
            <w:r>
              <w:rPr>
                <w:rFonts w:ascii="Consolas" w:hAnsi="Consolas"/>
                <w:color w:val="3411A3"/>
                <w:sz w:val="15"/>
              </w:rPr>
              <w:t>reference_entity.sql</w:t>
            </w:r>
            <w:r>
              <w:rPr>
                <w:sz w:val="16"/>
              </w:rPr>
              <w:t xml:space="preserve"> / </w:t>
            </w:r>
            <w:r>
              <w:rPr>
                <w:rFonts w:ascii="Consolas" w:hAnsi="Consolas"/>
                <w:color w:val="3411A3"/>
                <w:sz w:val="15"/>
              </w:rPr>
              <w:t>reference_source.sql</w:t>
            </w:r>
          </w:p>
        </w:tc>
        <w:tc>
          <w:tcPr>
            <w:tcW w:type="dxa" w:w="3306"/>
            <w:tcW w:w="3509" w:type="dxa"/>
          </w:tcPr>
          <w:p>
            <w:pPr>
              <w:spacing w:after="0" w:before="0"/>
            </w:pPr>
            <w:r>
              <w:rPr>
                <w:sz w:val="16"/>
              </w:rPr>
              <w:t>FILTERS</w:t>
            </w:r>
          </w:p>
        </w:tc>
        <w:tc>
          <w:tcPr>
            <w:tcW w:type="dxa" w:w="3306"/>
            <w:tcW w:w="3356" w:type="dxa"/>
          </w:tcPr>
          <w:p>
            <w:pPr>
              <w:spacing w:after="0" w:before="0"/>
            </w:pPr>
            <w:r>
              <w:rPr>
                <w:sz w:val="16"/>
              </w:rPr>
              <w:t>Share one filter block and parameter list</w:t>
            </w:r>
          </w:p>
        </w:tc>
      </w:tr>
      <w:tr>
        <w:trPr>
          <w:cantSplit w:val="true"/>
        </w:trPr>
        <w:tc>
          <w:tcPr>
            <w:tcW w:type="dxa" w:w="3306"/>
            <w:tcW w:w="3051" w:type="dxa"/>
          </w:tcPr>
          <w:p>
            <w:pPr>
              <w:spacing w:after="0" w:before="0"/>
            </w:pPr>
            <w:r>
              <w:rPr>
                <w:rFonts w:ascii="Consolas" w:hAnsi="Consolas"/>
                <w:color w:val="3411A3"/>
                <w:sz w:val="15"/>
              </w:rPr>
              <w:t>eomv_retail.sql</w:t>
            </w:r>
          </w:p>
        </w:tc>
        <w:tc>
          <w:tcPr>
            <w:tcW w:type="dxa" w:w="3306"/>
            <w:tcW w:w="3509" w:type="dxa"/>
          </w:tcPr>
          <w:p>
            <w:pPr>
              <w:spacing w:after="0" w:before="0"/>
            </w:pPr>
            <w:r>
              <w:rPr>
                <w:sz w:val="16"/>
              </w:rPr>
              <w:t>none</w:t>
            </w:r>
          </w:p>
        </w:tc>
        <w:tc>
          <w:tcPr>
            <w:tcW w:type="dxa" w:w="3306"/>
            <w:tcW w:w="3356" w:type="dxa"/>
          </w:tcPr>
          <w:p>
            <w:pPr>
              <w:spacing w:after="0" w:before="0"/>
            </w:pPr>
            <w:r>
              <w:rPr>
                <w:sz w:val="16"/>
              </w:rPr>
              <w:t>Filters hard-coded in the template</w:t>
            </w:r>
          </w:p>
        </w:tc>
      </w:tr>
      <w:tr>
        <w:trPr>
          <w:cantSplit w:val="true"/>
        </w:trPr>
        <w:tc>
          <w:tcPr>
            <w:tcW w:type="dxa" w:w="3306"/>
            <w:tcW w:w="3051" w:type="dxa"/>
          </w:tcPr>
          <w:p>
            <w:pPr>
              <w:spacing w:after="0" w:before="0"/>
            </w:pPr>
            <w:r>
              <w:rPr>
                <w:rFonts w:ascii="Consolas" w:hAnsi="Consolas"/>
                <w:color w:val="3411A3"/>
                <w:sz w:val="15"/>
              </w:rPr>
              <w:t>mvd.sql</w:t>
            </w:r>
          </w:p>
        </w:tc>
        <w:tc>
          <w:tcPr>
            <w:tcW w:type="dxa" w:w="3306"/>
            <w:tcW w:w="3509" w:type="dxa"/>
          </w:tcPr>
          <w:p>
            <w:pPr>
              <w:spacing w:after="0" w:before="0"/>
            </w:pPr>
            <w:r>
              <w:rPr>
                <w:sz w:val="16"/>
              </w:rPr>
              <w:t>FILTERS</w:t>
            </w:r>
          </w:p>
        </w:tc>
        <w:tc>
          <w:tcPr>
            <w:tcW w:type="dxa" w:w="3306"/>
            <w:tcW w:w="3356" w:type="dxa"/>
          </w:tcPr>
          <w:p>
            <w:pPr>
              <w:spacing w:after="0" w:before="0"/>
            </w:pPr>
            <w:r>
              <w:rPr>
                <w:sz w:val="16"/>
              </w:rPr>
              <w:t xml:space="preserve">Runs against the </w:t>
            </w:r>
            <w:r>
              <w:rPr>
                <w:rFonts w:ascii="Consolas" w:hAnsi="Consolas"/>
                <w:color w:val="3411A3"/>
                <w:sz w:val="15"/>
              </w:rPr>
              <w:t>transform</w:t>
            </w:r>
            <w:r>
              <w:rPr>
                <w:sz w:val="16"/>
              </w:rPr>
              <w:t xml:space="preserve"> target</w:t>
            </w:r>
          </w:p>
        </w:tc>
      </w:tr>
    </w:tbl>
    <w:p>
      <w:pPr>
        <w:spacing w:after="80"/>
      </w:pPr>
    </w:p>
    <w:p>
      <w:r>
        <w:rPr>
          <w:rFonts w:ascii="Consolas" w:hAnsi="Consolas"/>
          <w:color w:val="3411A3"/>
          <w:sz w:val="18"/>
        </w:rPr>
        <w:t>_render</w:t>
      </w:r>
      <w:r>
        <w:t xml:space="preserve"> raises an error if any </w:t>
      </w:r>
      <w:r>
        <w:rPr>
          <w:rFonts w:ascii="Consolas" w:hAnsi="Consolas"/>
          <w:color w:val="3411A3"/>
          <w:sz w:val="18"/>
        </w:rPr>
        <w:t>{{TOKEN}}</w:t>
      </w:r>
      <w:r>
        <w:t xml:space="preserve"> is left unfilled, so a template change that adds a token without matching builder code fails straight away rather than sending broken SQL.</w:t>
      </w:r>
    </w:p>
    <w:p>
      <w:pPr>
        <w:pStyle w:val="Heading2"/>
      </w:pPr>
      <w:r>
        <w:t>Dependencies</w:t>
      </w:r>
    </w:p>
    <w:p>
      <w:pPr>
        <w:keepNext/>
        <w:spacing w:before="160" w:after="80"/>
      </w:pPr>
      <w:r>
        <w:rPr>
          <w:b/>
          <w:color w:val="3411A3"/>
          <w:sz w:val="18"/>
        </w:rPr>
        <w:t xml:space="preserve">Table 10: </w:t>
      </w:r>
      <w:r>
        <w:rPr>
          <w:color w:val="3411A3"/>
          <w:sz w:val="18"/>
        </w:rPr>
        <w:t>Runtime dependencies</w:t>
      </w:r>
    </w:p>
    <w:tbl>
      <w:tblPr>
        <w:tblStyle w:val="Style1"/>
        <w:tblLook w:firstColumn="1" w:firstRow="1" w:lastColumn="0" w:lastRow="0" w:noHBand="0" w:noVBand="1" w:val="04A0"/>
        <w:tblW w:w="9917" w:type="dxa"/>
        <w:tblCellMar>
          <w:top w:w="50" w:type="dxa"/>
          <w:left w:w="90" w:type="dxa"/>
          <w:bottom w:w="50" w:type="dxa"/>
          <w:right w:w="90" w:type="dxa"/>
        </w:tblCellMar>
        <w:tblLook w:val="04A0" w:firstRow="1" w:lastRow="0" w:firstColumn="0" w:lastColumn="0" w:noHBand="0" w:noVBand="1"/>
      </w:tblPr>
      <w:tblGrid>
        <w:gridCol w:w="2899"/>
        <w:gridCol w:w="2441"/>
        <w:gridCol w:w="4577"/>
      </w:tblGrid>
      <w:tr>
        <w:trPr>
          <w:tblHeader w:val="true"/>
          <w:trHeight w:val="397"/>
          <w:cantSplit w:val="true"/>
        </w:trPr>
        <w:tc>
          <w:tcPr>
            <w:tcW w:type="dxa" w:w="3306"/>
            <w:tcW w:w="2899" w:type="dxa"/>
          </w:tcPr>
          <w:p>
            <w:pPr>
              <w:spacing w:after="0" w:before="0"/>
            </w:pPr>
            <w:r>
              <w:rPr>
                <w:b/>
                <w:color w:val="FFFFFF"/>
                <w:sz w:val="17"/>
              </w:rPr>
              <w:t>Dependency</w:t>
            </w:r>
          </w:p>
        </w:tc>
        <w:tc>
          <w:tcPr>
            <w:tcW w:type="dxa" w:w="3306"/>
            <w:tcW w:w="2441" w:type="dxa"/>
          </w:tcPr>
          <w:p>
            <w:pPr>
              <w:spacing w:after="0" w:before="0"/>
            </w:pPr>
            <w:r>
              <w:rPr>
                <w:b/>
                <w:color w:val="FFFFFF"/>
                <w:sz w:val="17"/>
              </w:rPr>
              <w:t>Version</w:t>
            </w:r>
          </w:p>
        </w:tc>
        <w:tc>
          <w:tcPr>
            <w:tcW w:type="dxa" w:w="3306"/>
            <w:tcW w:w="4577" w:type="dxa"/>
          </w:tcPr>
          <w:p>
            <w:pPr>
              <w:spacing w:after="0" w:before="0"/>
            </w:pPr>
            <w:r>
              <w:rPr>
                <w:b/>
                <w:color w:val="FFFFFF"/>
                <w:sz w:val="17"/>
              </w:rPr>
              <w:t>Why it is needed</w:t>
            </w:r>
          </w:p>
        </w:tc>
      </w:tr>
      <w:tr>
        <w:trPr>
          <w:cantSplit w:val="true"/>
        </w:trPr>
        <w:tc>
          <w:tcPr>
            <w:tcW w:type="dxa" w:w="3306"/>
            <w:tcW w:w="2899" w:type="dxa"/>
          </w:tcPr>
          <w:p>
            <w:pPr>
              <w:spacing w:after="0" w:before="0"/>
            </w:pPr>
            <w:r>
              <w:rPr>
                <w:sz w:val="17"/>
              </w:rPr>
              <w:t>Python</w:t>
            </w:r>
          </w:p>
        </w:tc>
        <w:tc>
          <w:tcPr>
            <w:tcW w:type="dxa" w:w="3306"/>
            <w:tcW w:w="2441" w:type="dxa"/>
          </w:tcPr>
          <w:p>
            <w:pPr>
              <w:spacing w:after="0" w:before="0"/>
            </w:pPr>
            <w:r>
              <w:rPr>
                <w:sz w:val="17"/>
              </w:rPr>
              <w:t>3.10+ (developed on 3.13)</w:t>
            </w:r>
          </w:p>
        </w:tc>
        <w:tc>
          <w:tcPr>
            <w:tcW w:type="dxa" w:w="3306"/>
            <w:tcW w:w="4577" w:type="dxa"/>
          </w:tcPr>
          <w:p>
            <w:pPr>
              <w:spacing w:after="0" w:before="0"/>
            </w:pPr>
            <w:r>
              <w:rPr>
                <w:sz w:val="17"/>
              </w:rPr>
              <w:t xml:space="preserve">Uses </w:t>
            </w:r>
            <w:r>
              <w:rPr>
                <w:rFonts w:ascii="Consolas" w:hAnsi="Consolas"/>
                <w:color w:val="3411A3"/>
                <w:sz w:val="16"/>
              </w:rPr>
              <w:t>X | None</w:t>
            </w:r>
            <w:r>
              <w:rPr>
                <w:sz w:val="17"/>
              </w:rPr>
              <w:t xml:space="preserve"> type syntax evaluated by Pydantic and </w:t>
            </w:r>
            <w:r>
              <w:rPr>
                <w:rFonts w:ascii="Consolas" w:hAnsi="Consolas"/>
                <w:color w:val="3411A3"/>
                <w:sz w:val="16"/>
              </w:rPr>
              <w:t>match</w:t>
            </w:r>
            <w:r>
              <w:rPr>
                <w:sz w:val="17"/>
              </w:rPr>
              <w:t xml:space="preserve"> in the SDK</w:t>
            </w:r>
          </w:p>
        </w:tc>
      </w:tr>
      <w:tr>
        <w:trPr>
          <w:cantSplit w:val="true"/>
        </w:trPr>
        <w:tc>
          <w:tcPr>
            <w:tcW w:type="dxa" w:w="3306"/>
            <w:tcW w:w="2899" w:type="dxa"/>
          </w:tcPr>
          <w:p>
            <w:pPr>
              <w:spacing w:after="0" w:before="0"/>
            </w:pPr>
            <w:r>
              <w:rPr>
                <w:rFonts w:ascii="Consolas" w:hAnsi="Consolas"/>
                <w:color w:val="3411A3"/>
                <w:sz w:val="16"/>
              </w:rPr>
              <w:t>mcp</w:t>
            </w:r>
          </w:p>
        </w:tc>
        <w:tc>
          <w:tcPr>
            <w:tcW w:type="dxa" w:w="3306"/>
            <w:tcW w:w="2441" w:type="dxa"/>
          </w:tcPr>
          <w:p>
            <w:pPr>
              <w:spacing w:after="0" w:before="0"/>
            </w:pPr>
            <w:r>
              <w:rPr>
                <w:sz w:val="17"/>
              </w:rPr>
              <w:t>&gt;=2.0,&lt;3.0 (2.3.0 installed)</w:t>
            </w:r>
          </w:p>
        </w:tc>
        <w:tc>
          <w:tcPr>
            <w:tcW w:type="dxa" w:w="3306"/>
            <w:tcW w:w="4577" w:type="dxa"/>
          </w:tcPr>
          <w:p>
            <w:pPr>
              <w:spacing w:after="0" w:before="0"/>
            </w:pPr>
            <w:r>
              <w:rPr>
                <w:sz w:val="17"/>
              </w:rPr>
              <w:t>MCP Python SDK v2 (</w:t>
            </w:r>
            <w:r>
              <w:rPr>
                <w:rFonts w:ascii="Consolas" w:hAnsi="Consolas"/>
                <w:color w:val="3411A3"/>
                <w:sz w:val="16"/>
              </w:rPr>
              <w:t>mcp.server.mcpserver.MCPServer</w:t>
            </w:r>
            <w:r>
              <w:rPr>
                <w:sz w:val="17"/>
              </w:rPr>
              <w:t>)</w:t>
            </w:r>
          </w:p>
        </w:tc>
      </w:tr>
      <w:tr>
        <w:trPr>
          <w:cantSplit w:val="true"/>
        </w:trPr>
        <w:tc>
          <w:tcPr>
            <w:tcW w:type="dxa" w:w="3306"/>
            <w:tcW w:w="2899" w:type="dxa"/>
          </w:tcPr>
          <w:p>
            <w:pPr>
              <w:spacing w:after="0" w:before="0"/>
            </w:pPr>
            <w:r>
              <w:rPr>
                <w:rFonts w:ascii="Consolas" w:hAnsi="Consolas"/>
                <w:color w:val="3411A3"/>
                <w:sz w:val="16"/>
              </w:rPr>
              <w:t>pydantic</w:t>
            </w:r>
          </w:p>
        </w:tc>
        <w:tc>
          <w:tcPr>
            <w:tcW w:type="dxa" w:w="3306"/>
            <w:tcW w:w="2441" w:type="dxa"/>
          </w:tcPr>
          <w:p>
            <w:pPr>
              <w:spacing w:after="0" w:before="0"/>
            </w:pPr>
            <w:r>
              <w:rPr>
                <w:sz w:val="17"/>
              </w:rPr>
              <w:t>&gt;=2.7,&lt;3.0</w:t>
            </w:r>
          </w:p>
        </w:tc>
        <w:tc>
          <w:tcPr>
            <w:tcW w:type="dxa" w:w="3306"/>
            <w:tcW w:w="4577" w:type="dxa"/>
          </w:tcPr>
          <w:p>
            <w:pPr>
              <w:spacing w:after="0" w:before="0"/>
            </w:pPr>
            <w:r>
              <w:rPr>
                <w:sz w:val="17"/>
              </w:rPr>
              <w:t>Typed tool schemas and validation</w:t>
            </w:r>
          </w:p>
        </w:tc>
      </w:tr>
      <w:tr>
        <w:trPr>
          <w:cantSplit w:val="true"/>
        </w:trPr>
        <w:tc>
          <w:tcPr>
            <w:tcW w:type="dxa" w:w="3306"/>
            <w:tcW w:w="2899" w:type="dxa"/>
          </w:tcPr>
          <w:p>
            <w:pPr>
              <w:spacing w:after="0" w:before="0"/>
            </w:pPr>
            <w:r>
              <w:rPr>
                <w:rFonts w:ascii="Consolas" w:hAnsi="Consolas"/>
                <w:color w:val="3411A3"/>
                <w:sz w:val="16"/>
              </w:rPr>
              <w:t>pyodbc</w:t>
            </w:r>
          </w:p>
        </w:tc>
        <w:tc>
          <w:tcPr>
            <w:tcW w:type="dxa" w:w="3306"/>
            <w:tcW w:w="2441" w:type="dxa"/>
          </w:tcPr>
          <w:p>
            <w:pPr>
              <w:spacing w:after="0" w:before="0"/>
            </w:pPr>
            <w:r>
              <w:rPr>
                <w:sz w:val="17"/>
              </w:rPr>
              <w:t>&gt;=5.0</w:t>
            </w:r>
          </w:p>
        </w:tc>
        <w:tc>
          <w:tcPr>
            <w:tcW w:type="dxa" w:w="3306"/>
            <w:tcW w:w="4577" w:type="dxa"/>
          </w:tcPr>
          <w:p>
            <w:pPr>
              <w:spacing w:after="0" w:before="0"/>
            </w:pPr>
            <w:r>
              <w:rPr>
                <w:sz w:val="17"/>
              </w:rPr>
              <w:t>ODBC connectivity to the Fabric SQL endpoint</w:t>
            </w:r>
          </w:p>
        </w:tc>
      </w:tr>
      <w:tr>
        <w:trPr>
          <w:cantSplit w:val="true"/>
        </w:trPr>
        <w:tc>
          <w:tcPr>
            <w:tcW w:type="dxa" w:w="3306"/>
            <w:tcW w:w="2899" w:type="dxa"/>
          </w:tcPr>
          <w:p>
            <w:pPr>
              <w:spacing w:after="0" w:before="0"/>
            </w:pPr>
            <w:r>
              <w:rPr>
                <w:rFonts w:ascii="Consolas" w:hAnsi="Consolas"/>
                <w:color w:val="3411A3"/>
                <w:sz w:val="16"/>
              </w:rPr>
              <w:t>azure-identity</w:t>
            </w:r>
          </w:p>
        </w:tc>
        <w:tc>
          <w:tcPr>
            <w:tcW w:type="dxa" w:w="3306"/>
            <w:tcW w:w="2441" w:type="dxa"/>
          </w:tcPr>
          <w:p>
            <w:pPr>
              <w:spacing w:after="0" w:before="0"/>
            </w:pPr>
            <w:r>
              <w:rPr>
                <w:sz w:val="17"/>
              </w:rPr>
              <w:t>&gt;=1.15</w:t>
            </w:r>
          </w:p>
        </w:tc>
        <w:tc>
          <w:tcPr>
            <w:tcW w:type="dxa" w:w="3306"/>
            <w:tcW w:w="4577" w:type="dxa"/>
          </w:tcPr>
          <w:p>
            <w:pPr>
              <w:spacing w:after="0" w:before="0"/>
            </w:pPr>
            <w:r>
              <w:rPr>
                <w:rFonts w:ascii="Consolas" w:hAnsi="Consolas"/>
                <w:color w:val="3411A3"/>
                <w:sz w:val="16"/>
              </w:rPr>
              <w:t>ClientSecretCredential</w:t>
            </w:r>
            <w:r>
              <w:rPr>
                <w:sz w:val="17"/>
              </w:rPr>
              <w:t xml:space="preserve"> for Entra ID tokens</w:t>
            </w:r>
          </w:p>
        </w:tc>
      </w:tr>
      <w:tr>
        <w:trPr>
          <w:cantSplit w:val="true"/>
        </w:trPr>
        <w:tc>
          <w:tcPr>
            <w:tcW w:type="dxa" w:w="3306"/>
            <w:tcW w:w="2899" w:type="dxa"/>
          </w:tcPr>
          <w:p>
            <w:pPr>
              <w:spacing w:after="0" w:before="0"/>
            </w:pPr>
            <w:r>
              <w:rPr>
                <w:rFonts w:ascii="Consolas" w:hAnsi="Consolas"/>
                <w:color w:val="3411A3"/>
                <w:sz w:val="16"/>
              </w:rPr>
              <w:t>python-dotenv</w:t>
            </w:r>
          </w:p>
        </w:tc>
        <w:tc>
          <w:tcPr>
            <w:tcW w:type="dxa" w:w="3306"/>
            <w:tcW w:w="2441" w:type="dxa"/>
          </w:tcPr>
          <w:p>
            <w:pPr>
              <w:spacing w:after="0" w:before="0"/>
            </w:pPr>
            <w:r>
              <w:rPr>
                <w:sz w:val="17"/>
              </w:rPr>
              <w:t>&gt;=1.0</w:t>
            </w:r>
          </w:p>
        </w:tc>
        <w:tc>
          <w:tcPr>
            <w:tcW w:type="dxa" w:w="3306"/>
            <w:tcW w:w="4577" w:type="dxa"/>
          </w:tcPr>
          <w:p>
            <w:pPr>
              <w:spacing w:after="0" w:before="0"/>
            </w:pPr>
            <w:r>
              <w:rPr>
                <w:sz w:val="17"/>
              </w:rPr>
              <w:t xml:space="preserve">Loads </w:t>
            </w:r>
            <w:r>
              <w:rPr>
                <w:rFonts w:ascii="Consolas" w:hAnsi="Consolas"/>
                <w:color w:val="3411A3"/>
                <w:sz w:val="16"/>
              </w:rPr>
              <w:t>.env</w:t>
            </w:r>
          </w:p>
        </w:tc>
      </w:tr>
      <w:tr>
        <w:trPr>
          <w:cantSplit w:val="true"/>
        </w:trPr>
        <w:tc>
          <w:tcPr>
            <w:tcW w:type="dxa" w:w="3306"/>
            <w:tcW w:w="2899" w:type="dxa"/>
          </w:tcPr>
          <w:p>
            <w:pPr>
              <w:spacing w:after="0" w:before="0"/>
            </w:pPr>
            <w:r>
              <w:rPr>
                <w:rFonts w:ascii="Consolas" w:hAnsi="Consolas"/>
                <w:color w:val="3411A3"/>
                <w:sz w:val="16"/>
              </w:rPr>
              <w:t>openpyxl</w:t>
            </w:r>
          </w:p>
        </w:tc>
        <w:tc>
          <w:tcPr>
            <w:tcW w:type="dxa" w:w="3306"/>
            <w:tcW w:w="2441" w:type="dxa"/>
          </w:tcPr>
          <w:p>
            <w:pPr>
              <w:spacing w:after="0" w:before="0"/>
            </w:pPr>
            <w:r>
              <w:rPr>
                <w:sz w:val="17"/>
              </w:rPr>
              <w:t>&gt;=3.1</w:t>
            </w:r>
          </w:p>
        </w:tc>
        <w:tc>
          <w:tcPr>
            <w:tcW w:type="dxa" w:w="3306"/>
            <w:tcW w:w="4577" w:type="dxa"/>
          </w:tcPr>
          <w:p>
            <w:pPr>
              <w:spacing w:after="0" w:before="0"/>
            </w:pPr>
            <w:r>
              <w:rPr>
                <w:sz w:val="17"/>
              </w:rPr>
              <w:t>XLSX export</w:t>
            </w:r>
          </w:p>
        </w:tc>
      </w:tr>
      <w:tr>
        <w:trPr>
          <w:cantSplit w:val="true"/>
        </w:trPr>
        <w:tc>
          <w:tcPr>
            <w:tcW w:type="dxa" w:w="3306"/>
            <w:tcW w:w="2899" w:type="dxa"/>
          </w:tcPr>
          <w:p>
            <w:pPr>
              <w:spacing w:after="0" w:before="0"/>
            </w:pPr>
            <w:r>
              <w:rPr>
                <w:sz w:val="17"/>
              </w:rPr>
              <w:t>Microsoft ODBC Driver 18 for SQL Server</w:t>
            </w:r>
          </w:p>
        </w:tc>
        <w:tc>
          <w:tcPr>
            <w:tcW w:type="dxa" w:w="3306"/>
            <w:tcW w:w="2441" w:type="dxa"/>
          </w:tcPr>
          <w:p>
            <w:pPr>
              <w:spacing w:after="0" w:before="0"/>
            </w:pPr>
            <w:r>
              <w:rPr>
                <w:sz w:val="17"/>
              </w:rPr>
              <w:t>18.x</w:t>
            </w:r>
          </w:p>
        </w:tc>
        <w:tc>
          <w:tcPr>
            <w:tcW w:type="dxa" w:w="3306"/>
            <w:tcW w:w="4577" w:type="dxa"/>
          </w:tcPr>
          <w:p>
            <w:pPr>
              <w:spacing w:after="0" w:before="0"/>
            </w:pPr>
            <w:r>
              <w:rPr>
                <w:sz w:val="17"/>
              </w:rPr>
              <w:t>System driver loaded by pyodbc. Without it, every connection fails.</w:t>
            </w:r>
          </w:p>
        </w:tc>
      </w:tr>
      <w:tr>
        <w:trPr>
          <w:cantSplit w:val="true"/>
        </w:trPr>
        <w:tc>
          <w:tcPr>
            <w:tcW w:type="dxa" w:w="3306"/>
            <w:tcW w:w="2899" w:type="dxa"/>
          </w:tcPr>
          <w:p>
            <w:pPr>
              <w:spacing w:after="0" w:before="0"/>
            </w:pPr>
            <w:r>
              <w:rPr>
                <w:sz w:val="17"/>
              </w:rPr>
              <w:t>Claude Desktop</w:t>
            </w:r>
          </w:p>
        </w:tc>
        <w:tc>
          <w:tcPr>
            <w:tcW w:type="dxa" w:w="3306"/>
            <w:tcW w:w="2441" w:type="dxa"/>
          </w:tcPr>
          <w:p>
            <w:pPr>
              <w:spacing w:after="0" w:before="0"/>
            </w:pPr>
            <w:r>
              <w:rPr>
                <w:sz w:val="17"/>
              </w:rPr>
              <w:t>Current</w:t>
            </w:r>
          </w:p>
        </w:tc>
        <w:tc>
          <w:tcPr>
            <w:tcW w:type="dxa" w:w="3306"/>
            <w:tcW w:w="4577" w:type="dxa"/>
          </w:tcPr>
          <w:p>
            <w:pPr>
              <w:spacing w:after="0" w:before="0"/>
            </w:pPr>
            <w:r>
              <w:rPr>
                <w:sz w:val="17"/>
              </w:rPr>
              <w:t>MCP host for the local stdio deployment</w:t>
            </w:r>
          </w:p>
        </w:tc>
      </w:tr>
      <w:tr>
        <w:trPr>
          <w:cantSplit w:val="true"/>
        </w:trPr>
        <w:tc>
          <w:tcPr>
            <w:tcW w:type="dxa" w:w="3306"/>
            <w:tcW w:w="2899" w:type="dxa"/>
          </w:tcPr>
          <w:p>
            <w:pPr>
              <w:spacing w:after="0" w:before="0"/>
            </w:pPr>
            <w:r>
              <w:rPr>
                <w:sz w:val="17"/>
              </w:rPr>
              <w:t>Microsoft Fabric + Entra ID</w:t>
            </w:r>
          </w:p>
        </w:tc>
        <w:tc>
          <w:tcPr>
            <w:tcW w:type="dxa" w:w="3306"/>
            <w:tcW w:w="2441" w:type="dxa"/>
          </w:tcPr>
          <w:p>
            <w:pPr>
              <w:spacing w:after="0" w:before="0"/>
            </w:pPr>
            <w:r>
              <w:rPr>
                <w:sz w:val="17"/>
              </w:rPr>
              <w:t>n/a</w:t>
            </w:r>
          </w:p>
        </w:tc>
        <w:tc>
          <w:tcPr>
            <w:tcW w:type="dxa" w:w="3306"/>
            <w:tcW w:w="4577" w:type="dxa"/>
          </w:tcPr>
          <w:p>
            <w:pPr>
              <w:spacing w:after="0" w:before="0"/>
            </w:pPr>
            <w:r>
              <w:rPr>
                <w:sz w:val="17"/>
              </w:rPr>
              <w:t>Data platform and identity provider</w:t>
            </w:r>
          </w:p>
        </w:tc>
      </w:tr>
    </w:tbl>
    <w:p>
      <w:pPr>
        <w:spacing w:after="80"/>
      </w:pPr>
    </w:p>
    <w:p>
      <w:pPr>
        <w:spacing w:before="120" w:after="200"/>
        <w:ind w:left="157"/>
        <w:pBdr>
          <w:left w:val="single" w:sz="18" w:space="6" w:color="FF6196"/>
        </w:pBdr>
        <w:shd w:val="clear" w:color="auto" w:fill="FFF0F5"/>
      </w:pPr>
      <w:r>
        <w:rPr>
          <w:b/>
          <w:color w:val="19105B"/>
        </w:rPr>
        <w:t xml:space="preserve">Note:  </w:t>
      </w:r>
      <w:r>
        <w:rPr>
          <w:rFonts w:ascii="Consolas" w:hAnsi="Consolas"/>
          <w:color w:val="3411A3"/>
          <w:sz w:val="18"/>
        </w:rPr>
        <w:t>requirements.txt</w:t>
      </w:r>
      <w:r>
        <w:t xml:space="preserve"> sets version ranges, not exact versions. Before any production deployment, generate a pinned lock file (for example with </w:t>
      </w:r>
      <w:r>
        <w:rPr>
          <w:rFonts w:ascii="Consolas" w:hAnsi="Consolas"/>
          <w:color w:val="3411A3"/>
          <w:sz w:val="18"/>
        </w:rPr>
        <w:t>pip-compile</w:t>
      </w:r>
      <w:r>
        <w:t xml:space="preserve"> or </w:t>
      </w:r>
      <w:r>
        <w:rPr>
          <w:rFonts w:ascii="Consolas" w:hAnsi="Consolas"/>
          <w:color w:val="3411A3"/>
          <w:sz w:val="18"/>
        </w:rPr>
        <w:t>uv pip compile</w:t>
      </w:r>
      <w:r>
        <w:t>) so builds can be repeated.</w:t>
      </w:r>
    </w:p>
    <w:p>
      <w:pPr>
        <w:pStyle w:val="Heading2"/>
      </w:pPr>
      <w:r>
        <w:t>Testing</w:t>
      </w:r>
    </w:p>
    <w:p>
      <w:r>
        <w:t>The unit suite has 18 tests and needs no Fabric access. All 18 passed on 9 October 2026 in the project virtual environment. It covers:</w:t>
      </w:r>
    </w:p>
    <w:p>
      <w:pPr>
        <w:pStyle w:val="Bullet"/>
      </w:pPr>
      <w:r>
        <w:rPr>
          <w:rFonts w:ascii="Consolas" w:hAnsi="Consolas"/>
          <w:color w:val="3411A3"/>
          <w:sz w:val="18"/>
        </w:rPr>
        <w:t>test_config.py</w:t>
      </w:r>
      <w:r>
        <w:t>: minimum configuration, and a missing secret is named in the error without its value being shown.</w:t>
      </w:r>
    </w:p>
    <w:p>
      <w:pPr>
        <w:pStyle w:val="Bullet"/>
      </w:pPr>
      <w:r>
        <w:rPr>
          <w:rFonts w:ascii="Consolas" w:hAnsi="Consolas"/>
          <w:color w:val="3411A3"/>
          <w:sz w:val="18"/>
        </w:rPr>
        <w:t>test_query_builder.py</w:t>
      </w:r>
      <w:r>
        <w:t>: exclusive month windows, December rollover, rejection of non-contiguous months, parameter order for core transactions, placeholder and parameter parity for every report, and option checks.</w:t>
      </w:r>
    </w:p>
    <w:p>
      <w:pPr>
        <w:pStyle w:val="Bullet"/>
      </w:pPr>
      <w:r>
        <w:rPr>
          <w:rFonts w:ascii="Consolas" w:hAnsi="Consolas"/>
          <w:color w:val="3411A3"/>
          <w:sz w:val="18"/>
        </w:rPr>
        <w:t>test_result_store.py</w:t>
      </w:r>
      <w:r>
        <w:t>: writing, paging and metadata.</w:t>
      </w:r>
    </w:p>
    <w:p>
      <w:pPr>
        <w:pStyle w:val="Bullet"/>
      </w:pPr>
      <w:r>
        <w:rPr>
          <w:rFonts w:ascii="Consolas" w:hAnsi="Consolas"/>
          <w:color w:val="3411A3"/>
          <w:sz w:val="18"/>
        </w:rPr>
        <w:t>test_sql_validator.py</w:t>
      </w:r>
      <w:r>
        <w:t>: SELECT and CTE accepted; writes, cross-database names and disallowed schemas rejected; keywords inside string literals ignored.</w:t>
      </w:r>
    </w:p>
    <w:p>
      <w:r>
        <w:rPr>
          <w:rFonts w:ascii="Consolas" w:hAnsi="Consolas"/>
          <w:color w:val="3411A3"/>
          <w:sz w:val="18"/>
        </w:rPr>
        <w:t>tests/integration_test.py</w:t>
      </w:r>
      <w:r>
        <w:t xml:space="preserve"> is a manual test against real Fabric. It runs </w:t>
      </w:r>
      <w:r>
        <w:rPr>
          <w:rFonts w:ascii="Consolas" w:hAnsi="Consolas"/>
          <w:color w:val="3411A3"/>
          <w:sz w:val="18"/>
        </w:rPr>
        <w:t>health_check</w:t>
      </w:r>
      <w:r>
        <w:t xml:space="preserve"> and a five-row June 2026 core-transactions query, and prints "NOT RUN" if no configuration is present.</w:t>
      </w:r>
    </w:p>
    <w:p>
      <w:pPr>
        <w:spacing w:before="80" w:after="200" w:line="240" w:lineRule="auto"/>
        <w:ind w:left="157" w:right="94"/>
        <w:pBdr>
          <w:left w:val="single" w:sz="18" w:space="6" w:color="3411A3"/>
        </w:pBdr>
        <w:shd w:val="clear" w:color="auto" w:fill="F3F1FA"/>
      </w:pPr>
      <w:r>
        <w:rPr>
          <w:rFonts w:ascii="Consolas" w:hAnsi="Consolas"/>
          <w:color w:val="1D1C1C"/>
          <w:sz w:val="16"/>
        </w:rPr>
        <w:t>python -m unittest discover -s tests -p "test_*.py" -v</w:t>
        <w:br/>
      </w:r>
      <w:r>
        <w:rPr>
          <w:rFonts w:ascii="Consolas" w:hAnsi="Consolas"/>
          <w:color w:val="1D1C1C"/>
          <w:sz w:val="16"/>
        </w:rPr>
        <w:t>python tests\integration_test.py</w:t>
      </w:r>
    </w:p>
    <w:p>
      <w:r>
        <w:t xml:space="preserve">There are no tests yet for </w:t>
      </w:r>
      <w:r>
        <w:rPr>
          <w:rFonts w:ascii="Consolas" w:hAnsi="Consolas"/>
          <w:color w:val="3411A3"/>
          <w:sz w:val="18"/>
        </w:rPr>
        <w:t>exporter.py</w:t>
      </w:r>
      <w:r>
        <w:t xml:space="preserve">, </w:t>
      </w:r>
      <w:r>
        <w:rPr>
          <w:rFonts w:ascii="Consolas" w:hAnsi="Consolas"/>
          <w:color w:val="3411A3"/>
          <w:sz w:val="18"/>
        </w:rPr>
        <w:t>catalog_service.py</w:t>
      </w:r>
      <w:r>
        <w:t xml:space="preserve">, the tool wiring in </w:t>
      </w:r>
      <w:r>
        <w:rPr>
          <w:rFonts w:ascii="Consolas" w:hAnsi="Consolas"/>
          <w:color w:val="3411A3"/>
          <w:sz w:val="18"/>
        </w:rPr>
        <w:t>server.py</w:t>
      </w:r>
      <w:r>
        <w:t>, or the business numbers themselves (golden reconciliation values). See Section 6.</w:t>
      </w:r>
    </w:p>
    <w:p>
      <w:pPr>
        <w:pStyle w:val="Heading1"/>
        <w:pageBreakBefore/>
      </w:pPr>
      <w:r>
        <w:t>Setup</w:t>
      </w:r>
    </w:p>
    <w:p>
      <w:pPr>
        <w:pStyle w:val="Heading2"/>
      </w:pPr>
      <w:r>
        <w:t>Prerequisites</w:t>
      </w:r>
    </w:p>
    <w:p>
      <w:pPr>
        <w:pStyle w:val="Bullet"/>
      </w:pPr>
      <w:r>
        <w:t>Windows 10/11 workstation (or macOS/Linux; the code itself works on any OS) with Python 3.10 or later.</w:t>
      </w:r>
    </w:p>
    <w:p>
      <w:pPr>
        <w:pStyle w:val="Bullet"/>
      </w:pPr>
      <w:r>
        <w:t>Microsoft ODBC Driver 18 for SQL Server installed.</w:t>
      </w:r>
    </w:p>
    <w:p>
      <w:pPr>
        <w:pStyle w:val="Bullet"/>
      </w:pPr>
      <w:r>
        <w:t>Claude Desktop installed and signed in.</w:t>
      </w:r>
    </w:p>
    <w:p>
      <w:pPr>
        <w:pStyle w:val="Bullet"/>
      </w:pPr>
      <w:r>
        <w:t>A Microsoft Entra ID app registration (Service Principal) with a client secret.</w:t>
      </w:r>
    </w:p>
    <w:p>
      <w:pPr>
        <w:pStyle w:val="Bullet"/>
      </w:pPr>
      <w:r>
        <w:t xml:space="preserve">The SQL connection string or endpoint of the </w:t>
      </w:r>
      <w:r>
        <w:rPr>
          <w:rFonts w:ascii="Consolas" w:hAnsi="Consolas"/>
          <w:color w:val="3411A3"/>
          <w:sz w:val="18"/>
        </w:rPr>
        <w:t>dwh_report</w:t>
      </w:r>
      <w:r>
        <w:t xml:space="preserve"> warehouse (and of </w:t>
      </w:r>
      <w:r>
        <w:rPr>
          <w:rFonts w:ascii="Consolas" w:hAnsi="Consolas"/>
          <w:color w:val="3411A3"/>
          <w:sz w:val="18"/>
        </w:rPr>
        <w:t>lh_transform</w:t>
      </w:r>
      <w:r>
        <w:t xml:space="preserve"> if MVD is needed).</w:t>
      </w:r>
    </w:p>
    <w:p>
      <w:pPr>
        <w:pStyle w:val="Bullet"/>
      </w:pPr>
      <w:r>
        <w:t xml:space="preserve">Network access from the workstation to </w:t>
      </w:r>
      <w:r>
        <w:rPr>
          <w:rFonts w:ascii="Consolas" w:hAnsi="Consolas"/>
          <w:color w:val="3411A3"/>
          <w:sz w:val="18"/>
        </w:rPr>
        <w:t>login.microsoftonline.com</w:t>
      </w:r>
      <w:r>
        <w:t xml:space="preserve"> and to the Fabric SQL endpoint on TCP 1433.</w:t>
      </w:r>
    </w:p>
    <w:p>
      <w:pPr>
        <w:pStyle w:val="Heading2"/>
      </w:pPr>
      <w:r>
        <w:t>Service Principal and Fabric access</w:t>
      </w:r>
    </w:p>
    <w:p>
      <w:pPr>
        <w:pStyle w:val="Listnumber1"/>
        <w:numPr>
          <w:ilvl w:val="0"/>
          <w:numId w:val="42"/>
        </w:numPr>
      </w:pPr>
      <w:r>
        <w:t xml:space="preserve">Register an app in Entra ID (for example </w:t>
      </w:r>
      <w:r>
        <w:rPr>
          <w:rFonts w:ascii="Consolas" w:hAnsi="Consolas"/>
          <w:color w:val="3411A3"/>
          <w:sz w:val="18"/>
        </w:rPr>
        <w:t>sp-dsn-fabric-mcp-&lt;env&gt;</w:t>
      </w:r>
      <w:r>
        <w:t>) and create a client secret. Record the tenant ID, client ID and secret in a password vault, not in email or chat.</w:t>
      </w:r>
    </w:p>
    <w:p>
      <w:pPr>
        <w:pStyle w:val="Listnumber1"/>
        <w:numPr>
          <w:ilvl w:val="0"/>
          <w:numId w:val="42"/>
        </w:numPr>
      </w:pPr>
      <w:r>
        <w:t>Ask a Fabric administrator to enable the tenant setting that lets service principals use Fabric APIs (Admin portal &gt; Tenant settings &gt; Developer settings), limited to a security group that contains this app.</w:t>
      </w:r>
    </w:p>
    <w:p>
      <w:pPr>
        <w:pStyle w:val="Listnumber1"/>
        <w:numPr>
          <w:ilvl w:val="0"/>
          <w:numId w:val="42"/>
        </w:numPr>
      </w:pPr>
      <w:r>
        <w:t xml:space="preserve">Grant the app </w:t>
      </w:r>
      <w:r>
        <w:rPr>
          <w:b/>
        </w:rPr>
        <w:t>read-only</w:t>
      </w:r>
      <w:r>
        <w:t xml:space="preserve"> access to the </w:t>
      </w:r>
      <w:r>
        <w:rPr>
          <w:rFonts w:ascii="Consolas" w:hAnsi="Consolas"/>
          <w:color w:val="3411A3"/>
          <w:sz w:val="18"/>
        </w:rPr>
        <w:t>dwh_report</w:t>
      </w:r>
      <w:r>
        <w:t xml:space="preserve"> warehouse, either through the Viewer workspace role or by sharing the item with permission to read data using SQL. Do the same for </w:t>
      </w:r>
      <w:r>
        <w:rPr>
          <w:rFonts w:ascii="Consolas" w:hAnsi="Consolas"/>
          <w:color w:val="3411A3"/>
          <w:sz w:val="18"/>
        </w:rPr>
        <w:t>lh_transform</w:t>
      </w:r>
      <w:r>
        <w:t xml:space="preserve"> if the MVD report is needed.</w:t>
      </w:r>
    </w:p>
    <w:p>
      <w:pPr>
        <w:pStyle w:val="Listnumber1"/>
        <w:numPr>
          <w:ilvl w:val="0"/>
          <w:numId w:val="42"/>
        </w:numPr>
      </w:pPr>
      <w:r>
        <w:t xml:space="preserve">Where possible, narrow access further with T-SQL, for example </w:t>
      </w:r>
      <w:r>
        <w:rPr>
          <w:rFonts w:ascii="Consolas" w:hAnsi="Consolas"/>
          <w:color w:val="3411A3"/>
          <w:sz w:val="18"/>
        </w:rPr>
        <w:t>GRANT SELECT ON SCHEMA::datamart</w:t>
      </w:r>
      <w:r>
        <w:t xml:space="preserve"> (and </w:t>
      </w:r>
      <w:r>
        <w:rPr>
          <w:rFonts w:ascii="Consolas" w:hAnsi="Consolas"/>
          <w:color w:val="3411A3"/>
          <w:sz w:val="18"/>
        </w:rPr>
        <w:t>SCHEMA::mvd</w:t>
      </w:r>
      <w:r>
        <w:t xml:space="preserve"> on </w:t>
      </w:r>
      <w:r>
        <w:rPr>
          <w:rFonts w:ascii="Consolas" w:hAnsi="Consolas"/>
          <w:color w:val="3411A3"/>
          <w:sz w:val="18"/>
        </w:rPr>
        <w:t>lh_transform</w:t>
      </w:r>
      <w:r>
        <w:t>). Never grant write, DDL or admin permissions.</w:t>
      </w:r>
    </w:p>
    <w:p>
      <w:pPr>
        <w:pStyle w:val="Listnumber1"/>
        <w:numPr>
          <w:ilvl w:val="0"/>
          <w:numId w:val="42"/>
        </w:numPr>
      </w:pPr>
      <w:r>
        <w:t xml:space="preserve">Copy the SQL connection string host from the warehouse settings in Fabric (it ends in </w:t>
      </w:r>
      <w:r>
        <w:rPr>
          <w:rFonts w:ascii="Consolas" w:hAnsi="Consolas"/>
          <w:color w:val="3411A3"/>
          <w:sz w:val="18"/>
        </w:rPr>
        <w:t>.datawarehouse.fabric.microsoft.com</w:t>
      </w:r>
      <w:r>
        <w:t>).</w:t>
      </w:r>
    </w:p>
    <w:p>
      <w:pPr>
        <w:spacing w:before="120" w:after="200"/>
        <w:ind w:left="157"/>
        <w:pBdr>
          <w:left w:val="single" w:sz="18" w:space="6" w:color="E0A100"/>
        </w:pBdr>
        <w:shd w:val="clear" w:color="auto" w:fill="FFF7E0"/>
      </w:pPr>
      <w:r>
        <w:rPr>
          <w:b/>
          <w:color w:val="19105B"/>
        </w:rPr>
        <w:t xml:space="preserve">Security:  </w:t>
      </w:r>
      <w:r>
        <w:t>The Service Principal's permissions are the real security boundary. The ad-hoc SQL validator is only an extra safeguard and must not be relied on to stop data access.</w:t>
      </w:r>
    </w:p>
    <w:p>
      <w:pPr>
        <w:pStyle w:val="Heading2"/>
      </w:pPr>
      <w:r>
        <w:t>Configuration reference</w:t>
      </w:r>
    </w:p>
    <w:p>
      <w:r>
        <w:t xml:space="preserve">Settings are read from a </w:t>
      </w:r>
      <w:r>
        <w:rPr>
          <w:rFonts w:ascii="Consolas" w:hAnsi="Consolas"/>
          <w:color w:val="3411A3"/>
          <w:sz w:val="18"/>
        </w:rPr>
        <w:t>.env</w:t>
      </w:r>
      <w:r>
        <w:t xml:space="preserve"> file in the project folder (copy </w:t>
      </w:r>
      <w:r>
        <w:rPr>
          <w:rFonts w:ascii="Consolas" w:hAnsi="Consolas"/>
          <w:color w:val="3411A3"/>
          <w:sz w:val="18"/>
        </w:rPr>
        <w:t>.env.example</w:t>
      </w:r>
      <w:r>
        <w:t>). Values already set in the process environment take precedence (</w:t>
      </w:r>
      <w:r>
        <w:rPr>
          <w:rFonts w:ascii="Consolas" w:hAnsi="Consolas"/>
          <w:color w:val="3411A3"/>
          <w:sz w:val="18"/>
        </w:rPr>
        <w:t>override=False</w:t>
      </w:r>
      <w:r>
        <w:t>).</w:t>
      </w:r>
    </w:p>
    <w:p>
      <w:pPr>
        <w:keepNext/>
        <w:spacing w:before="160" w:after="80"/>
      </w:pPr>
      <w:r>
        <w:rPr>
          <w:b/>
          <w:color w:val="3411A3"/>
          <w:sz w:val="18"/>
        </w:rPr>
        <w:t xml:space="preserve">Table 11: </w:t>
      </w:r>
      <w:r>
        <w:rPr>
          <w:color w:val="3411A3"/>
          <w:sz w:val="18"/>
        </w:rPr>
        <w:t>Environment variables</w:t>
      </w:r>
    </w:p>
    <w:tbl>
      <w:tblPr>
        <w:tblStyle w:val="Style1"/>
        <w:tblLook w:firstColumn="1" w:firstRow="1" w:lastColumn="0" w:lastRow="0" w:noHBand="0" w:noVBand="1" w:val="04A0"/>
        <w:tblW w:w="9917" w:type="dxa"/>
        <w:tblCellMar>
          <w:top w:w="50" w:type="dxa"/>
          <w:left w:w="90" w:type="dxa"/>
          <w:bottom w:w="50" w:type="dxa"/>
          <w:right w:w="90" w:type="dxa"/>
        </w:tblCellMar>
        <w:tblLook w:val="04A0" w:firstRow="1" w:lastRow="0" w:firstColumn="0" w:lastColumn="0" w:noHBand="0" w:noVBand="1"/>
      </w:tblPr>
      <w:tblGrid>
        <w:gridCol w:w="3585"/>
        <w:gridCol w:w="839"/>
        <w:gridCol w:w="1831"/>
        <w:gridCol w:w="3662"/>
      </w:tblGrid>
      <w:tr>
        <w:trPr>
          <w:tblHeader w:val="true"/>
          <w:trHeight w:val="397"/>
          <w:cantSplit w:val="true"/>
        </w:trPr>
        <w:tc>
          <w:tcPr>
            <w:tcW w:type="dxa" w:w="2479"/>
            <w:tcW w:w="3585" w:type="dxa"/>
          </w:tcPr>
          <w:p>
            <w:pPr>
              <w:spacing w:after="0" w:before="0"/>
            </w:pPr>
            <w:r>
              <w:rPr>
                <w:b/>
                <w:color w:val="FFFFFF"/>
                <w:sz w:val="16"/>
              </w:rPr>
              <w:t>Variable</w:t>
            </w:r>
          </w:p>
        </w:tc>
        <w:tc>
          <w:tcPr>
            <w:tcW w:type="dxa" w:w="2479"/>
            <w:tcW w:w="839" w:type="dxa"/>
          </w:tcPr>
          <w:p>
            <w:pPr>
              <w:spacing w:after="0" w:before="0"/>
            </w:pPr>
            <w:r>
              <w:rPr>
                <w:b/>
                <w:color w:val="FFFFFF"/>
                <w:sz w:val="16"/>
              </w:rPr>
              <w:t>Req.</w:t>
            </w:r>
          </w:p>
        </w:tc>
        <w:tc>
          <w:tcPr>
            <w:tcW w:type="dxa" w:w="2479"/>
            <w:tcW w:w="1831" w:type="dxa"/>
          </w:tcPr>
          <w:p>
            <w:pPr>
              <w:spacing w:after="0" w:before="0"/>
            </w:pPr>
            <w:r>
              <w:rPr>
                <w:b/>
                <w:color w:val="FFFFFF"/>
                <w:sz w:val="16"/>
              </w:rPr>
              <w:t>Default</w:t>
            </w:r>
          </w:p>
        </w:tc>
        <w:tc>
          <w:tcPr>
            <w:tcW w:type="dxa" w:w="2479"/>
            <w:tcW w:w="3662" w:type="dxa"/>
          </w:tcPr>
          <w:p>
            <w:pPr>
              <w:spacing w:after="0" w:before="0"/>
            </w:pPr>
            <w:r>
              <w:rPr>
                <w:b/>
                <w:color w:val="FFFFFF"/>
                <w:sz w:val="16"/>
              </w:rPr>
              <w:t>Purpose</w:t>
            </w:r>
          </w:p>
        </w:tc>
      </w:tr>
      <w:tr>
        <w:trPr>
          <w:cantSplit w:val="true"/>
        </w:trPr>
        <w:tc>
          <w:tcPr>
            <w:tcW w:type="dxa" w:w="2479"/>
            <w:tcW w:w="3585" w:type="dxa"/>
          </w:tcPr>
          <w:p>
            <w:pPr>
              <w:spacing w:after="0" w:before="0"/>
            </w:pPr>
            <w:r>
              <w:rPr>
                <w:rFonts w:ascii="Consolas" w:hAnsi="Consolas"/>
                <w:color w:val="3411A3"/>
                <w:sz w:val="15"/>
              </w:rPr>
              <w:t>FABRIC_TENANT_ID</w:t>
            </w:r>
          </w:p>
        </w:tc>
        <w:tc>
          <w:tcPr>
            <w:tcW w:type="dxa" w:w="2479"/>
            <w:tcW w:w="839" w:type="dxa"/>
          </w:tcPr>
          <w:p>
            <w:pPr>
              <w:spacing w:after="0" w:before="0"/>
            </w:pPr>
            <w:r>
              <w:rPr>
                <w:sz w:val="16"/>
              </w:rPr>
              <w:t>Yes</w:t>
            </w:r>
          </w:p>
        </w:tc>
        <w:tc>
          <w:tcPr>
            <w:tcW w:type="dxa" w:w="2479"/>
            <w:tcW w:w="1831" w:type="dxa"/>
          </w:tcPr>
          <w:p>
            <w:pPr>
              <w:spacing w:after="0" w:before="0"/>
            </w:pPr>
            <w:r>
              <w:rPr>
                <w:sz w:val="16"/>
              </w:rPr>
              <w:t>none</w:t>
            </w:r>
          </w:p>
        </w:tc>
        <w:tc>
          <w:tcPr>
            <w:tcW w:type="dxa" w:w="2479"/>
            <w:tcW w:w="3662" w:type="dxa"/>
          </w:tcPr>
          <w:p>
            <w:pPr>
              <w:spacing w:after="0" w:before="0"/>
            </w:pPr>
            <w:r>
              <w:rPr>
                <w:sz w:val="16"/>
              </w:rPr>
              <w:t>Entra tenant ID</w:t>
            </w:r>
          </w:p>
        </w:tc>
      </w:tr>
      <w:tr>
        <w:trPr>
          <w:cantSplit w:val="true"/>
        </w:trPr>
        <w:tc>
          <w:tcPr>
            <w:tcW w:type="dxa" w:w="2479"/>
            <w:tcW w:w="3585" w:type="dxa"/>
          </w:tcPr>
          <w:p>
            <w:pPr>
              <w:spacing w:after="0" w:before="0"/>
            </w:pPr>
            <w:r>
              <w:rPr>
                <w:rFonts w:ascii="Consolas" w:hAnsi="Consolas"/>
                <w:color w:val="3411A3"/>
                <w:sz w:val="15"/>
              </w:rPr>
              <w:t>FABRIC_CLIENT_ID</w:t>
            </w:r>
          </w:p>
        </w:tc>
        <w:tc>
          <w:tcPr>
            <w:tcW w:type="dxa" w:w="2479"/>
            <w:tcW w:w="839" w:type="dxa"/>
          </w:tcPr>
          <w:p>
            <w:pPr>
              <w:spacing w:after="0" w:before="0"/>
            </w:pPr>
            <w:r>
              <w:rPr>
                <w:sz w:val="16"/>
              </w:rPr>
              <w:t>Yes</w:t>
            </w:r>
          </w:p>
        </w:tc>
        <w:tc>
          <w:tcPr>
            <w:tcW w:type="dxa" w:w="2479"/>
            <w:tcW w:w="1831" w:type="dxa"/>
          </w:tcPr>
          <w:p>
            <w:pPr>
              <w:spacing w:after="0" w:before="0"/>
            </w:pPr>
            <w:r>
              <w:rPr>
                <w:sz w:val="16"/>
              </w:rPr>
              <w:t>none</w:t>
            </w:r>
          </w:p>
        </w:tc>
        <w:tc>
          <w:tcPr>
            <w:tcW w:type="dxa" w:w="2479"/>
            <w:tcW w:w="3662" w:type="dxa"/>
          </w:tcPr>
          <w:p>
            <w:pPr>
              <w:spacing w:after="0" w:before="0"/>
            </w:pPr>
            <w:r>
              <w:rPr>
                <w:sz w:val="16"/>
              </w:rPr>
              <w:t>Service Principal application (client) ID</w:t>
            </w:r>
          </w:p>
        </w:tc>
      </w:tr>
      <w:tr>
        <w:trPr>
          <w:cantSplit w:val="true"/>
        </w:trPr>
        <w:tc>
          <w:tcPr>
            <w:tcW w:type="dxa" w:w="2479"/>
            <w:tcW w:w="3585" w:type="dxa"/>
          </w:tcPr>
          <w:p>
            <w:pPr>
              <w:spacing w:after="0" w:before="0"/>
            </w:pPr>
            <w:r>
              <w:rPr>
                <w:rFonts w:ascii="Consolas" w:hAnsi="Consolas"/>
                <w:color w:val="3411A3"/>
                <w:sz w:val="15"/>
              </w:rPr>
              <w:t>FABRIC_CLIENT_SECRET</w:t>
            </w:r>
          </w:p>
        </w:tc>
        <w:tc>
          <w:tcPr>
            <w:tcW w:type="dxa" w:w="2479"/>
            <w:tcW w:w="839" w:type="dxa"/>
          </w:tcPr>
          <w:p>
            <w:pPr>
              <w:spacing w:after="0" w:before="0"/>
            </w:pPr>
            <w:r>
              <w:rPr>
                <w:sz w:val="16"/>
              </w:rPr>
              <w:t>Yes</w:t>
            </w:r>
          </w:p>
        </w:tc>
        <w:tc>
          <w:tcPr>
            <w:tcW w:type="dxa" w:w="2479"/>
            <w:tcW w:w="1831" w:type="dxa"/>
          </w:tcPr>
          <w:p>
            <w:pPr>
              <w:spacing w:after="0" w:before="0"/>
            </w:pPr>
            <w:r>
              <w:rPr>
                <w:sz w:val="16"/>
              </w:rPr>
              <w:t>none</w:t>
            </w:r>
          </w:p>
        </w:tc>
        <w:tc>
          <w:tcPr>
            <w:tcW w:type="dxa" w:w="2479"/>
            <w:tcW w:w="3662" w:type="dxa"/>
          </w:tcPr>
          <w:p>
            <w:pPr>
              <w:spacing w:after="0" w:before="0"/>
            </w:pPr>
            <w:r>
              <w:rPr>
                <w:sz w:val="16"/>
              </w:rPr>
              <w:t>Service Principal secret. Never commit or share it.</w:t>
            </w:r>
          </w:p>
        </w:tc>
      </w:tr>
      <w:tr>
        <w:trPr>
          <w:cantSplit w:val="true"/>
        </w:trPr>
        <w:tc>
          <w:tcPr>
            <w:tcW w:type="dxa" w:w="2479"/>
            <w:tcW w:w="3585" w:type="dxa"/>
          </w:tcPr>
          <w:p>
            <w:pPr>
              <w:spacing w:after="0" w:before="0"/>
            </w:pPr>
            <w:r>
              <w:rPr>
                <w:rFonts w:ascii="Consolas" w:hAnsi="Consolas"/>
                <w:color w:val="3411A3"/>
                <w:sz w:val="15"/>
              </w:rPr>
              <w:t>FABRIC_SQL_ENDPOINT</w:t>
            </w:r>
          </w:p>
        </w:tc>
        <w:tc>
          <w:tcPr>
            <w:tcW w:type="dxa" w:w="2479"/>
            <w:tcW w:w="839" w:type="dxa"/>
          </w:tcPr>
          <w:p>
            <w:pPr>
              <w:spacing w:after="0" w:before="0"/>
            </w:pPr>
            <w:r>
              <w:rPr>
                <w:sz w:val="16"/>
              </w:rPr>
              <w:t>Yes</w:t>
            </w:r>
          </w:p>
        </w:tc>
        <w:tc>
          <w:tcPr>
            <w:tcW w:type="dxa" w:w="2479"/>
            <w:tcW w:w="1831" w:type="dxa"/>
          </w:tcPr>
          <w:p>
            <w:pPr>
              <w:spacing w:after="0" w:before="0"/>
            </w:pPr>
            <w:r>
              <w:rPr>
                <w:sz w:val="16"/>
              </w:rPr>
              <w:t>none</w:t>
            </w:r>
          </w:p>
        </w:tc>
        <w:tc>
          <w:tcPr>
            <w:tcW w:type="dxa" w:w="2479"/>
            <w:tcW w:w="3662" w:type="dxa"/>
          </w:tcPr>
          <w:p>
            <w:pPr>
              <w:spacing w:after="0" w:before="0"/>
            </w:pPr>
            <w:r>
              <w:rPr>
                <w:sz w:val="16"/>
              </w:rPr>
              <w:t xml:space="preserve">Fabric SQL endpoint host for </w:t>
            </w:r>
            <w:r>
              <w:rPr>
                <w:rFonts w:ascii="Consolas" w:hAnsi="Consolas"/>
                <w:color w:val="3411A3"/>
                <w:sz w:val="15"/>
              </w:rPr>
              <w:t>dwh_report</w:t>
            </w:r>
          </w:p>
        </w:tc>
      </w:tr>
      <w:tr>
        <w:trPr>
          <w:cantSplit w:val="true"/>
        </w:trPr>
        <w:tc>
          <w:tcPr>
            <w:tcW w:type="dxa" w:w="2479"/>
            <w:tcW w:w="3585" w:type="dxa"/>
          </w:tcPr>
          <w:p>
            <w:pPr>
              <w:spacing w:after="0" w:before="0"/>
            </w:pPr>
            <w:r>
              <w:rPr>
                <w:rFonts w:ascii="Consolas" w:hAnsi="Consolas"/>
                <w:color w:val="3411A3"/>
                <w:sz w:val="15"/>
              </w:rPr>
              <w:t>FABRIC_DATABASE</w:t>
            </w:r>
          </w:p>
        </w:tc>
        <w:tc>
          <w:tcPr>
            <w:tcW w:type="dxa" w:w="2479"/>
            <w:tcW w:w="839" w:type="dxa"/>
          </w:tcPr>
          <w:p>
            <w:pPr>
              <w:spacing w:after="0" w:before="0"/>
            </w:pPr>
            <w:r>
              <w:rPr>
                <w:sz w:val="16"/>
              </w:rPr>
              <w:t>Yes</w:t>
            </w:r>
          </w:p>
        </w:tc>
        <w:tc>
          <w:tcPr>
            <w:tcW w:type="dxa" w:w="2479"/>
            <w:tcW w:w="1831" w:type="dxa"/>
          </w:tcPr>
          <w:p>
            <w:pPr>
              <w:spacing w:after="0" w:before="0"/>
            </w:pPr>
            <w:r>
              <w:rPr>
                <w:sz w:val="16"/>
              </w:rPr>
              <w:t>none</w:t>
            </w:r>
          </w:p>
        </w:tc>
        <w:tc>
          <w:tcPr>
            <w:tcW w:type="dxa" w:w="2479"/>
            <w:tcW w:w="3662" w:type="dxa"/>
          </w:tcPr>
          <w:p>
            <w:pPr>
              <w:spacing w:after="0" w:before="0"/>
            </w:pPr>
            <w:r>
              <w:rPr>
                <w:sz w:val="16"/>
              </w:rPr>
              <w:t xml:space="preserve">Warehouse name, normally </w:t>
            </w:r>
            <w:r>
              <w:rPr>
                <w:rFonts w:ascii="Consolas" w:hAnsi="Consolas"/>
                <w:color w:val="3411A3"/>
                <w:sz w:val="15"/>
              </w:rPr>
              <w:t>dwh_report</w:t>
            </w:r>
          </w:p>
        </w:tc>
      </w:tr>
      <w:tr>
        <w:trPr>
          <w:cantSplit w:val="true"/>
        </w:trPr>
        <w:tc>
          <w:tcPr>
            <w:tcW w:type="dxa" w:w="2479"/>
            <w:tcW w:w="3585" w:type="dxa"/>
          </w:tcPr>
          <w:p>
            <w:pPr>
              <w:spacing w:after="0" w:before="0"/>
            </w:pPr>
            <w:r>
              <w:rPr>
                <w:rFonts w:ascii="Consolas" w:hAnsi="Consolas"/>
                <w:color w:val="3411A3"/>
                <w:sz w:val="15"/>
              </w:rPr>
              <w:t>FABRIC_TRANSFORM_DATABASE</w:t>
            </w:r>
          </w:p>
        </w:tc>
        <w:tc>
          <w:tcPr>
            <w:tcW w:type="dxa" w:w="2479"/>
            <w:tcW w:w="839" w:type="dxa"/>
          </w:tcPr>
          <w:p>
            <w:pPr>
              <w:spacing w:after="0" w:before="0"/>
            </w:pPr>
            <w:r>
              <w:rPr>
                <w:sz w:val="16"/>
              </w:rPr>
              <w:t>MVD</w:t>
            </w:r>
          </w:p>
        </w:tc>
        <w:tc>
          <w:tcPr>
            <w:tcW w:type="dxa" w:w="2479"/>
            <w:tcW w:w="1831" w:type="dxa"/>
          </w:tcPr>
          <w:p>
            <w:pPr>
              <w:spacing w:after="0" w:before="0"/>
            </w:pPr>
            <w:r>
              <w:rPr>
                <w:sz w:val="16"/>
              </w:rPr>
              <w:t>none</w:t>
            </w:r>
          </w:p>
        </w:tc>
        <w:tc>
          <w:tcPr>
            <w:tcW w:type="dxa" w:w="2479"/>
            <w:tcW w:w="3662" w:type="dxa"/>
          </w:tcPr>
          <w:p>
            <w:pPr>
              <w:spacing w:after="0" w:before="0"/>
            </w:pPr>
            <w:r>
              <w:rPr>
                <w:sz w:val="16"/>
              </w:rPr>
              <w:t xml:space="preserve">Set to </w:t>
            </w:r>
            <w:r>
              <w:rPr>
                <w:rFonts w:ascii="Consolas" w:hAnsi="Consolas"/>
                <w:color w:val="3411A3"/>
                <w:sz w:val="15"/>
              </w:rPr>
              <w:t>lh_transform</w:t>
            </w:r>
            <w:r>
              <w:rPr>
                <w:sz w:val="16"/>
              </w:rPr>
              <w:t xml:space="preserve"> to enable the </w:t>
            </w:r>
            <w:r>
              <w:rPr>
                <w:rFonts w:ascii="Consolas" w:hAnsi="Consolas"/>
                <w:color w:val="3411A3"/>
                <w:sz w:val="15"/>
              </w:rPr>
              <w:t>mvd</w:t>
            </w:r>
            <w:r>
              <w:rPr>
                <w:sz w:val="16"/>
              </w:rPr>
              <w:t xml:space="preserve"> report</w:t>
            </w:r>
          </w:p>
        </w:tc>
      </w:tr>
      <w:tr>
        <w:trPr>
          <w:cantSplit w:val="true"/>
        </w:trPr>
        <w:tc>
          <w:tcPr>
            <w:tcW w:type="dxa" w:w="2479"/>
            <w:tcW w:w="3585" w:type="dxa"/>
          </w:tcPr>
          <w:p>
            <w:pPr>
              <w:spacing w:after="0" w:before="0"/>
            </w:pPr>
            <w:r>
              <w:rPr>
                <w:rFonts w:ascii="Consolas" w:hAnsi="Consolas"/>
                <w:color w:val="3411A3"/>
                <w:sz w:val="15"/>
              </w:rPr>
              <w:t>FABRIC_TRANSFORM_SQL_ENDPOINT</w:t>
            </w:r>
          </w:p>
        </w:tc>
        <w:tc>
          <w:tcPr>
            <w:tcW w:type="dxa" w:w="2479"/>
            <w:tcW w:w="839" w:type="dxa"/>
          </w:tcPr>
          <w:p>
            <w:pPr>
              <w:spacing w:after="0" w:before="0"/>
            </w:pPr>
            <w:r>
              <w:rPr>
                <w:sz w:val="16"/>
              </w:rPr>
              <w:t>No</w:t>
            </w:r>
          </w:p>
        </w:tc>
        <w:tc>
          <w:tcPr>
            <w:tcW w:type="dxa" w:w="2479"/>
            <w:tcW w:w="1831" w:type="dxa"/>
          </w:tcPr>
          <w:p>
            <w:pPr>
              <w:spacing w:after="0" w:before="0"/>
            </w:pPr>
            <w:r>
              <w:rPr>
                <w:sz w:val="16"/>
              </w:rPr>
              <w:t>= SQL endpoint</w:t>
            </w:r>
          </w:p>
        </w:tc>
        <w:tc>
          <w:tcPr>
            <w:tcW w:type="dxa" w:w="2479"/>
            <w:tcW w:w="3662" w:type="dxa"/>
          </w:tcPr>
          <w:p>
            <w:pPr>
              <w:spacing w:after="0" w:before="0"/>
            </w:pPr>
            <w:r>
              <w:rPr>
                <w:sz w:val="16"/>
              </w:rPr>
              <w:t xml:space="preserve">Only needed if </w:t>
            </w:r>
            <w:r>
              <w:rPr>
                <w:rFonts w:ascii="Consolas" w:hAnsi="Consolas"/>
                <w:color w:val="3411A3"/>
                <w:sz w:val="15"/>
              </w:rPr>
              <w:t>lh_transform</w:t>
            </w:r>
            <w:r>
              <w:rPr>
                <w:sz w:val="16"/>
              </w:rPr>
              <w:t xml:space="preserve"> is on a different endpoint</w:t>
            </w:r>
          </w:p>
        </w:tc>
      </w:tr>
      <w:tr>
        <w:trPr>
          <w:cantSplit w:val="true"/>
        </w:trPr>
        <w:tc>
          <w:tcPr>
            <w:tcW w:type="dxa" w:w="2479"/>
            <w:tcW w:w="3585" w:type="dxa"/>
          </w:tcPr>
          <w:p>
            <w:pPr>
              <w:spacing w:after="0" w:before="0"/>
            </w:pPr>
            <w:r>
              <w:rPr>
                <w:rFonts w:ascii="Consolas" w:hAnsi="Consolas"/>
                <w:color w:val="3411A3"/>
                <w:sz w:val="15"/>
              </w:rPr>
              <w:t>FABRIC_ADHOC_ALLOWED_SCHEMAS</w:t>
            </w:r>
          </w:p>
        </w:tc>
        <w:tc>
          <w:tcPr>
            <w:tcW w:type="dxa" w:w="2479"/>
            <w:tcW w:w="839" w:type="dxa"/>
          </w:tcPr>
          <w:p>
            <w:pPr>
              <w:spacing w:after="0" w:before="0"/>
            </w:pPr>
            <w:r>
              <w:rPr>
                <w:sz w:val="16"/>
              </w:rPr>
              <w:t>No</w:t>
            </w:r>
          </w:p>
        </w:tc>
        <w:tc>
          <w:tcPr>
            <w:tcW w:type="dxa" w:w="2479"/>
            <w:tcW w:w="1831" w:type="dxa"/>
          </w:tcPr>
          <w:p>
            <w:pPr>
              <w:spacing w:after="0" w:before="0"/>
            </w:pPr>
            <w:r>
              <w:rPr>
                <w:rFonts w:ascii="Consolas" w:hAnsi="Consolas"/>
                <w:color w:val="3411A3"/>
                <w:sz w:val="15"/>
              </w:rPr>
              <w:t>datamart</w:t>
            </w:r>
          </w:p>
        </w:tc>
        <w:tc>
          <w:tcPr>
            <w:tcW w:type="dxa" w:w="2479"/>
            <w:tcW w:w="3662" w:type="dxa"/>
          </w:tcPr>
          <w:p>
            <w:pPr>
              <w:spacing w:after="0" w:before="0"/>
            </w:pPr>
            <w:r>
              <w:rPr>
                <w:sz w:val="16"/>
              </w:rPr>
              <w:t>Comma-separated schema allow-list for ad-hoc SQL</w:t>
            </w:r>
          </w:p>
        </w:tc>
      </w:tr>
      <w:tr>
        <w:trPr>
          <w:cantSplit w:val="true"/>
        </w:trPr>
        <w:tc>
          <w:tcPr>
            <w:tcW w:type="dxa" w:w="2479"/>
            <w:tcW w:w="3585" w:type="dxa"/>
          </w:tcPr>
          <w:p>
            <w:pPr>
              <w:spacing w:after="0" w:before="0"/>
            </w:pPr>
            <w:r>
              <w:rPr>
                <w:rFonts w:ascii="Consolas" w:hAnsi="Consolas"/>
                <w:color w:val="3411A3"/>
                <w:sz w:val="15"/>
              </w:rPr>
              <w:t>FABRIC_EXPORT_DIR</w:t>
            </w:r>
          </w:p>
        </w:tc>
        <w:tc>
          <w:tcPr>
            <w:tcW w:type="dxa" w:w="2479"/>
            <w:tcW w:w="839" w:type="dxa"/>
          </w:tcPr>
          <w:p>
            <w:pPr>
              <w:spacing w:after="0" w:before="0"/>
            </w:pPr>
            <w:r>
              <w:rPr>
                <w:sz w:val="16"/>
              </w:rPr>
              <w:t>No</w:t>
            </w:r>
          </w:p>
        </w:tc>
        <w:tc>
          <w:tcPr>
            <w:tcW w:type="dxa" w:w="2479"/>
            <w:tcW w:w="1831" w:type="dxa"/>
          </w:tcPr>
          <w:p>
            <w:pPr>
              <w:spacing w:after="0" w:before="0"/>
            </w:pPr>
            <w:r>
              <w:rPr>
                <w:rFonts w:ascii="Consolas" w:hAnsi="Consolas"/>
                <w:color w:val="3411A3"/>
                <w:sz w:val="15"/>
              </w:rPr>
              <w:t>./exports</w:t>
            </w:r>
          </w:p>
        </w:tc>
        <w:tc>
          <w:tcPr>
            <w:tcW w:type="dxa" w:w="2479"/>
            <w:tcW w:w="3662" w:type="dxa"/>
          </w:tcPr>
          <w:p>
            <w:pPr>
              <w:spacing w:after="0" w:before="0"/>
            </w:pPr>
            <w:r>
              <w:rPr>
                <w:sz w:val="16"/>
              </w:rPr>
              <w:t>Folder for XLSX exports</w:t>
            </w:r>
          </w:p>
        </w:tc>
      </w:tr>
      <w:tr>
        <w:trPr>
          <w:cantSplit w:val="true"/>
        </w:trPr>
        <w:tc>
          <w:tcPr>
            <w:tcW w:type="dxa" w:w="2479"/>
            <w:tcW w:w="3585" w:type="dxa"/>
          </w:tcPr>
          <w:p>
            <w:pPr>
              <w:spacing w:after="0" w:before="0"/>
            </w:pPr>
            <w:r>
              <w:rPr>
                <w:rFonts w:ascii="Consolas" w:hAnsi="Consolas"/>
                <w:color w:val="3411A3"/>
                <w:sz w:val="15"/>
              </w:rPr>
              <w:t>FABRIC_RESULT_CACHE_DIR</w:t>
            </w:r>
          </w:p>
        </w:tc>
        <w:tc>
          <w:tcPr>
            <w:tcW w:type="dxa" w:w="2479"/>
            <w:tcW w:w="839" w:type="dxa"/>
          </w:tcPr>
          <w:p>
            <w:pPr>
              <w:spacing w:after="0" w:before="0"/>
            </w:pPr>
            <w:r>
              <w:rPr>
                <w:sz w:val="16"/>
              </w:rPr>
              <w:t>No</w:t>
            </w:r>
          </w:p>
        </w:tc>
        <w:tc>
          <w:tcPr>
            <w:tcW w:type="dxa" w:w="2479"/>
            <w:tcW w:w="1831" w:type="dxa"/>
          </w:tcPr>
          <w:p>
            <w:pPr>
              <w:spacing w:after="0" w:before="0"/>
            </w:pPr>
            <w:r>
              <w:rPr>
                <w:rFonts w:ascii="Consolas" w:hAnsi="Consolas"/>
                <w:color w:val="3411A3"/>
                <w:sz w:val="15"/>
              </w:rPr>
              <w:t>./runtime/results</w:t>
            </w:r>
          </w:p>
        </w:tc>
        <w:tc>
          <w:tcPr>
            <w:tcW w:type="dxa" w:w="2479"/>
            <w:tcW w:w="3662" w:type="dxa"/>
          </w:tcPr>
          <w:p>
            <w:pPr>
              <w:spacing w:after="0" w:before="0"/>
            </w:pPr>
            <w:r>
              <w:rPr>
                <w:sz w:val="16"/>
              </w:rPr>
              <w:t>Folder for the result cache</w:t>
            </w:r>
          </w:p>
        </w:tc>
      </w:tr>
      <w:tr>
        <w:trPr>
          <w:cantSplit w:val="true"/>
        </w:trPr>
        <w:tc>
          <w:tcPr>
            <w:tcW w:type="dxa" w:w="2479"/>
            <w:tcW w:w="3585" w:type="dxa"/>
          </w:tcPr>
          <w:p>
            <w:pPr>
              <w:spacing w:after="0" w:before="0"/>
            </w:pPr>
            <w:r>
              <w:rPr>
                <w:rFonts w:ascii="Consolas" w:hAnsi="Consolas"/>
                <w:color w:val="3411A3"/>
                <w:sz w:val="15"/>
              </w:rPr>
              <w:t>FABRIC_RESULT_CACHE_TTL_HOURS</w:t>
            </w:r>
          </w:p>
        </w:tc>
        <w:tc>
          <w:tcPr>
            <w:tcW w:type="dxa" w:w="2479"/>
            <w:tcW w:w="839" w:type="dxa"/>
          </w:tcPr>
          <w:p>
            <w:pPr>
              <w:spacing w:after="0" w:before="0"/>
            </w:pPr>
            <w:r>
              <w:rPr>
                <w:sz w:val="16"/>
              </w:rPr>
              <w:t>No</w:t>
            </w:r>
          </w:p>
        </w:tc>
        <w:tc>
          <w:tcPr>
            <w:tcW w:type="dxa" w:w="2479"/>
            <w:tcW w:w="1831" w:type="dxa"/>
          </w:tcPr>
          <w:p>
            <w:pPr>
              <w:spacing w:after="0" w:before="0"/>
            </w:pPr>
            <w:r>
              <w:rPr>
                <w:sz w:val="16"/>
              </w:rPr>
              <w:t>24</w:t>
            </w:r>
          </w:p>
        </w:tc>
        <w:tc>
          <w:tcPr>
            <w:tcW w:type="dxa" w:w="2479"/>
            <w:tcW w:w="3662" w:type="dxa"/>
          </w:tcPr>
          <w:p>
            <w:pPr>
              <w:spacing w:after="0" w:before="0"/>
            </w:pPr>
            <w:r>
              <w:rPr>
                <w:sz w:val="16"/>
              </w:rPr>
              <w:t>How long cached results are kept</w:t>
            </w:r>
          </w:p>
        </w:tc>
      </w:tr>
      <w:tr>
        <w:trPr>
          <w:cantSplit w:val="true"/>
        </w:trPr>
        <w:tc>
          <w:tcPr>
            <w:tcW w:type="dxa" w:w="2479"/>
            <w:tcW w:w="3585" w:type="dxa"/>
          </w:tcPr>
          <w:p>
            <w:pPr>
              <w:spacing w:after="0" w:before="0"/>
            </w:pPr>
            <w:r>
              <w:rPr>
                <w:rFonts w:ascii="Consolas" w:hAnsi="Consolas"/>
                <w:color w:val="3411A3"/>
                <w:sz w:val="15"/>
              </w:rPr>
              <w:t>FABRIC_CONNECTION_TIMEOUT_SECONDS</w:t>
            </w:r>
          </w:p>
        </w:tc>
        <w:tc>
          <w:tcPr>
            <w:tcW w:type="dxa" w:w="2479"/>
            <w:tcW w:w="839" w:type="dxa"/>
          </w:tcPr>
          <w:p>
            <w:pPr>
              <w:spacing w:after="0" w:before="0"/>
            </w:pPr>
            <w:r>
              <w:rPr>
                <w:sz w:val="16"/>
              </w:rPr>
              <w:t>No</w:t>
            </w:r>
          </w:p>
        </w:tc>
        <w:tc>
          <w:tcPr>
            <w:tcW w:type="dxa" w:w="2479"/>
            <w:tcW w:w="1831" w:type="dxa"/>
          </w:tcPr>
          <w:p>
            <w:pPr>
              <w:spacing w:after="0" w:before="0"/>
            </w:pPr>
            <w:r>
              <w:rPr>
                <w:sz w:val="16"/>
              </w:rPr>
              <w:t>30</w:t>
            </w:r>
          </w:p>
        </w:tc>
        <w:tc>
          <w:tcPr>
            <w:tcW w:type="dxa" w:w="2479"/>
            <w:tcW w:w="3662" w:type="dxa"/>
          </w:tcPr>
          <w:p>
            <w:pPr>
              <w:spacing w:after="0" w:before="0"/>
            </w:pPr>
            <w:r>
              <w:rPr>
                <w:sz w:val="16"/>
              </w:rPr>
              <w:t>ODBC connection timeout</w:t>
            </w:r>
          </w:p>
        </w:tc>
      </w:tr>
      <w:tr>
        <w:trPr>
          <w:cantSplit w:val="true"/>
        </w:trPr>
        <w:tc>
          <w:tcPr>
            <w:tcW w:type="dxa" w:w="2479"/>
            <w:tcW w:w="3585" w:type="dxa"/>
          </w:tcPr>
          <w:p>
            <w:pPr>
              <w:spacing w:after="0" w:before="0"/>
            </w:pPr>
            <w:r>
              <w:rPr>
                <w:rFonts w:ascii="Consolas" w:hAnsi="Consolas"/>
                <w:color w:val="3411A3"/>
                <w:sz w:val="15"/>
              </w:rPr>
              <w:t>FABRIC_QUERY_TIMEOUT_SECONDS</w:t>
            </w:r>
          </w:p>
        </w:tc>
        <w:tc>
          <w:tcPr>
            <w:tcW w:type="dxa" w:w="2479"/>
            <w:tcW w:w="839" w:type="dxa"/>
          </w:tcPr>
          <w:p>
            <w:pPr>
              <w:spacing w:after="0" w:before="0"/>
            </w:pPr>
            <w:r>
              <w:rPr>
                <w:sz w:val="16"/>
              </w:rPr>
              <w:t>No</w:t>
            </w:r>
          </w:p>
        </w:tc>
        <w:tc>
          <w:tcPr>
            <w:tcW w:type="dxa" w:w="2479"/>
            <w:tcW w:w="1831" w:type="dxa"/>
          </w:tcPr>
          <w:p>
            <w:pPr>
              <w:spacing w:after="0" w:before="0"/>
            </w:pPr>
            <w:r>
              <w:rPr>
                <w:sz w:val="16"/>
              </w:rPr>
              <w:t>180</w:t>
            </w:r>
          </w:p>
        </w:tc>
        <w:tc>
          <w:tcPr>
            <w:tcW w:type="dxa" w:w="2479"/>
            <w:tcW w:w="3662" w:type="dxa"/>
          </w:tcPr>
          <w:p>
            <w:pPr>
              <w:spacing w:after="0" w:before="0"/>
            </w:pPr>
            <w:r>
              <w:rPr>
                <w:sz w:val="16"/>
              </w:rPr>
              <w:t>Cursor query timeout (if the driver supports it)</w:t>
            </w:r>
          </w:p>
        </w:tc>
      </w:tr>
      <w:tr>
        <w:trPr>
          <w:cantSplit w:val="true"/>
        </w:trPr>
        <w:tc>
          <w:tcPr>
            <w:tcW w:type="dxa" w:w="2479"/>
            <w:tcW w:w="3585" w:type="dxa"/>
          </w:tcPr>
          <w:p>
            <w:pPr>
              <w:spacing w:after="0" w:before="0"/>
            </w:pPr>
            <w:r>
              <w:rPr>
                <w:rFonts w:ascii="Consolas" w:hAnsi="Consolas"/>
                <w:color w:val="3411A3"/>
                <w:sz w:val="15"/>
              </w:rPr>
              <w:t>FABRIC_FETCH_SIZE</w:t>
            </w:r>
          </w:p>
        </w:tc>
        <w:tc>
          <w:tcPr>
            <w:tcW w:type="dxa" w:w="2479"/>
            <w:tcW w:w="839" w:type="dxa"/>
          </w:tcPr>
          <w:p>
            <w:pPr>
              <w:spacing w:after="0" w:before="0"/>
            </w:pPr>
            <w:r>
              <w:rPr>
                <w:sz w:val="16"/>
              </w:rPr>
              <w:t>No</w:t>
            </w:r>
          </w:p>
        </w:tc>
        <w:tc>
          <w:tcPr>
            <w:tcW w:type="dxa" w:w="2479"/>
            <w:tcW w:w="1831" w:type="dxa"/>
          </w:tcPr>
          <w:p>
            <w:pPr>
              <w:spacing w:after="0" w:before="0"/>
            </w:pPr>
            <w:r>
              <w:rPr>
                <w:sz w:val="16"/>
              </w:rPr>
              <w:t>1000</w:t>
            </w:r>
          </w:p>
        </w:tc>
        <w:tc>
          <w:tcPr>
            <w:tcW w:type="dxa" w:w="2479"/>
            <w:tcW w:w="3662" w:type="dxa"/>
          </w:tcPr>
          <w:p>
            <w:pPr>
              <w:spacing w:after="0" w:before="0"/>
            </w:pPr>
            <w:r>
              <w:rPr>
                <w:sz w:val="16"/>
              </w:rPr>
              <w:t>Rows per fetch batch</w:t>
            </w:r>
          </w:p>
        </w:tc>
      </w:tr>
      <w:tr>
        <w:trPr>
          <w:cantSplit w:val="true"/>
        </w:trPr>
        <w:tc>
          <w:tcPr>
            <w:tcW w:type="dxa" w:w="2479"/>
            <w:tcW w:w="3585" w:type="dxa"/>
          </w:tcPr>
          <w:p>
            <w:pPr>
              <w:spacing w:after="0" w:before="0"/>
            </w:pPr>
            <w:r>
              <w:rPr>
                <w:rFonts w:ascii="Consolas" w:hAnsi="Consolas"/>
                <w:color w:val="3411A3"/>
                <w:sz w:val="15"/>
              </w:rPr>
              <w:t>FABRIC_MAX_RESULT_ROWS</w:t>
            </w:r>
          </w:p>
        </w:tc>
        <w:tc>
          <w:tcPr>
            <w:tcW w:type="dxa" w:w="2479"/>
            <w:tcW w:w="839" w:type="dxa"/>
          </w:tcPr>
          <w:p>
            <w:pPr>
              <w:spacing w:after="0" w:before="0"/>
            </w:pPr>
            <w:r>
              <w:rPr>
                <w:sz w:val="16"/>
              </w:rPr>
              <w:t>No</w:t>
            </w:r>
          </w:p>
        </w:tc>
        <w:tc>
          <w:tcPr>
            <w:tcW w:type="dxa" w:w="2479"/>
            <w:tcW w:w="1831" w:type="dxa"/>
          </w:tcPr>
          <w:p>
            <w:pPr>
              <w:spacing w:after="0" w:before="0"/>
            </w:pPr>
            <w:r>
              <w:rPr>
                <w:sz w:val="16"/>
              </w:rPr>
              <w:t>250000</w:t>
            </w:r>
          </w:p>
        </w:tc>
        <w:tc>
          <w:tcPr>
            <w:tcW w:type="dxa" w:w="2479"/>
            <w:tcW w:w="3662" w:type="dxa"/>
          </w:tcPr>
          <w:p>
            <w:pPr>
              <w:spacing w:after="0" w:before="0"/>
            </w:pPr>
            <w:r>
              <w:rPr>
                <w:sz w:val="16"/>
              </w:rPr>
              <w:t>Maximum rows cached per dataset. Results beyond this are marked truncated.</w:t>
            </w:r>
          </w:p>
        </w:tc>
      </w:tr>
      <w:tr>
        <w:trPr>
          <w:cantSplit w:val="true"/>
        </w:trPr>
        <w:tc>
          <w:tcPr>
            <w:tcW w:type="dxa" w:w="2479"/>
            <w:tcW w:w="3585" w:type="dxa"/>
          </w:tcPr>
          <w:p>
            <w:pPr>
              <w:spacing w:after="0" w:before="0"/>
            </w:pPr>
            <w:r>
              <w:rPr>
                <w:rFonts w:ascii="Consolas" w:hAnsi="Consolas"/>
                <w:color w:val="3411A3"/>
                <w:sz w:val="15"/>
              </w:rPr>
              <w:t>FABRIC_MAX_ADHOC_ROWS</w:t>
            </w:r>
          </w:p>
        </w:tc>
        <w:tc>
          <w:tcPr>
            <w:tcW w:type="dxa" w:w="2479"/>
            <w:tcW w:w="839" w:type="dxa"/>
          </w:tcPr>
          <w:p>
            <w:pPr>
              <w:spacing w:after="0" w:before="0"/>
            </w:pPr>
            <w:r>
              <w:rPr>
                <w:sz w:val="16"/>
              </w:rPr>
              <w:t>No</w:t>
            </w:r>
          </w:p>
        </w:tc>
        <w:tc>
          <w:tcPr>
            <w:tcW w:type="dxa" w:w="2479"/>
            <w:tcW w:w="1831" w:type="dxa"/>
          </w:tcPr>
          <w:p>
            <w:pPr>
              <w:spacing w:after="0" w:before="0"/>
            </w:pPr>
            <w:r>
              <w:rPr>
                <w:sz w:val="16"/>
              </w:rPr>
              <w:t>2000</w:t>
            </w:r>
          </w:p>
        </w:tc>
        <w:tc>
          <w:tcPr>
            <w:tcW w:type="dxa" w:w="2479"/>
            <w:tcW w:w="3662" w:type="dxa"/>
          </w:tcPr>
          <w:p>
            <w:pPr>
              <w:spacing w:after="0" w:before="0"/>
            </w:pPr>
            <w:r>
              <w:rPr>
                <w:sz w:val="16"/>
              </w:rPr>
              <w:t xml:space="preserve">Maximum </w:t>
            </w:r>
            <w:r>
              <w:rPr>
                <w:rFonts w:ascii="Consolas" w:hAnsi="Consolas"/>
                <w:color w:val="3411A3"/>
                <w:sz w:val="15"/>
              </w:rPr>
              <w:t>limit</w:t>
            </w:r>
            <w:r>
              <w:rPr>
                <w:sz w:val="16"/>
              </w:rPr>
              <w:t xml:space="preserve"> for ad-hoc SQL</w:t>
            </w:r>
          </w:p>
        </w:tc>
      </w:tr>
      <w:tr>
        <w:trPr>
          <w:cantSplit w:val="true"/>
        </w:trPr>
        <w:tc>
          <w:tcPr>
            <w:tcW w:type="dxa" w:w="2479"/>
            <w:tcW w:w="3585" w:type="dxa"/>
          </w:tcPr>
          <w:p>
            <w:pPr>
              <w:spacing w:after="0" w:before="0"/>
            </w:pPr>
            <w:r>
              <w:rPr>
                <w:rFonts w:ascii="Consolas" w:hAnsi="Consolas"/>
                <w:color w:val="3411A3"/>
                <w:sz w:val="15"/>
              </w:rPr>
              <w:t>FABRIC_MAX_PREVIEW_ROWS</w:t>
            </w:r>
          </w:p>
        </w:tc>
        <w:tc>
          <w:tcPr>
            <w:tcW w:type="dxa" w:w="2479"/>
            <w:tcW w:w="839" w:type="dxa"/>
          </w:tcPr>
          <w:p>
            <w:pPr>
              <w:spacing w:after="0" w:before="0"/>
            </w:pPr>
            <w:r>
              <w:rPr>
                <w:sz w:val="16"/>
              </w:rPr>
              <w:t>No</w:t>
            </w:r>
          </w:p>
        </w:tc>
        <w:tc>
          <w:tcPr>
            <w:tcW w:type="dxa" w:w="2479"/>
            <w:tcW w:w="1831" w:type="dxa"/>
          </w:tcPr>
          <w:p>
            <w:pPr>
              <w:spacing w:after="0" w:before="0"/>
            </w:pPr>
            <w:r>
              <w:rPr>
                <w:sz w:val="16"/>
              </w:rPr>
              <w:t>500</w:t>
            </w:r>
          </w:p>
        </w:tc>
        <w:tc>
          <w:tcPr>
            <w:tcW w:type="dxa" w:w="2479"/>
            <w:tcW w:w="3662" w:type="dxa"/>
          </w:tcPr>
          <w:p>
            <w:pPr>
              <w:spacing w:after="0" w:before="0"/>
            </w:pPr>
            <w:r>
              <w:rPr>
                <w:sz w:val="16"/>
              </w:rPr>
              <w:t>Upper limit on preview rows (can only lower the 500 built into the code)</w:t>
            </w:r>
          </w:p>
        </w:tc>
      </w:tr>
      <w:tr>
        <w:trPr>
          <w:cantSplit w:val="true"/>
        </w:trPr>
        <w:tc>
          <w:tcPr>
            <w:tcW w:type="dxa" w:w="2479"/>
            <w:tcW w:w="3585" w:type="dxa"/>
          </w:tcPr>
          <w:p>
            <w:pPr>
              <w:spacing w:after="0" w:before="0"/>
            </w:pPr>
            <w:r>
              <w:rPr>
                <w:rFonts w:ascii="Consolas" w:hAnsi="Consolas"/>
                <w:color w:val="3411A3"/>
                <w:sz w:val="15"/>
              </w:rPr>
              <w:t>FABRIC_DEFAULT_PREVIEW_ROWS</w:t>
            </w:r>
          </w:p>
        </w:tc>
        <w:tc>
          <w:tcPr>
            <w:tcW w:type="dxa" w:w="2479"/>
            <w:tcW w:w="839" w:type="dxa"/>
          </w:tcPr>
          <w:p>
            <w:pPr>
              <w:spacing w:after="0" w:before="0"/>
            </w:pPr>
            <w:r>
              <w:rPr>
                <w:sz w:val="16"/>
              </w:rPr>
              <w:t>No</w:t>
            </w:r>
          </w:p>
        </w:tc>
        <w:tc>
          <w:tcPr>
            <w:tcW w:type="dxa" w:w="2479"/>
            <w:tcW w:w="1831" w:type="dxa"/>
          </w:tcPr>
          <w:p>
            <w:pPr>
              <w:spacing w:after="0" w:before="0"/>
            </w:pPr>
            <w:r>
              <w:rPr>
                <w:sz w:val="16"/>
              </w:rPr>
              <w:t>100</w:t>
            </w:r>
          </w:p>
        </w:tc>
        <w:tc>
          <w:tcPr>
            <w:tcW w:type="dxa" w:w="2479"/>
            <w:tcW w:w="3662" w:type="dxa"/>
          </w:tcPr>
          <w:p>
            <w:pPr>
              <w:spacing w:after="0" w:before="0"/>
            </w:pPr>
            <w:r>
              <w:rPr>
                <w:sz w:val="16"/>
              </w:rPr>
              <w:t>Read by the code but not currently used (see KI-06)</w:t>
            </w:r>
          </w:p>
        </w:tc>
      </w:tr>
      <w:tr>
        <w:trPr>
          <w:cantSplit w:val="true"/>
        </w:trPr>
        <w:tc>
          <w:tcPr>
            <w:tcW w:type="dxa" w:w="2479"/>
            <w:tcW w:w="3585" w:type="dxa"/>
          </w:tcPr>
          <w:p>
            <w:pPr>
              <w:spacing w:after="0" w:before="0"/>
            </w:pPr>
            <w:r>
              <w:rPr>
                <w:rFonts w:ascii="Consolas" w:hAnsi="Consolas"/>
                <w:color w:val="3411A3"/>
                <w:sz w:val="15"/>
              </w:rPr>
              <w:t>FABRIC_WORKSPACE_ID</w:t>
            </w:r>
            <w:r>
              <w:rPr>
                <w:sz w:val="16"/>
              </w:rPr>
              <w:t xml:space="preserve"> / </w:t>
            </w:r>
            <w:r>
              <w:rPr>
                <w:rFonts w:ascii="Consolas" w:hAnsi="Consolas"/>
                <w:color w:val="3411A3"/>
                <w:sz w:val="15"/>
              </w:rPr>
              <w:t>FABRIC_WAREHOUSE_ID</w:t>
            </w:r>
          </w:p>
        </w:tc>
        <w:tc>
          <w:tcPr>
            <w:tcW w:type="dxa" w:w="2479"/>
            <w:tcW w:w="839" w:type="dxa"/>
          </w:tcPr>
          <w:p>
            <w:pPr>
              <w:spacing w:after="0" w:before="0"/>
            </w:pPr>
            <w:r>
              <w:rPr>
                <w:sz w:val="16"/>
              </w:rPr>
              <w:t>No</w:t>
            </w:r>
          </w:p>
        </w:tc>
        <w:tc>
          <w:tcPr>
            <w:tcW w:type="dxa" w:w="2479"/>
            <w:tcW w:w="1831" w:type="dxa"/>
          </w:tcPr>
          <w:p>
            <w:pPr>
              <w:spacing w:after="0" w:before="0"/>
            </w:pPr>
            <w:r>
              <w:rPr>
                <w:sz w:val="16"/>
              </w:rPr>
              <w:t>none</w:t>
            </w:r>
          </w:p>
        </w:tc>
        <w:tc>
          <w:tcPr>
            <w:tcW w:type="dxa" w:w="2479"/>
            <w:tcW w:w="3662" w:type="dxa"/>
          </w:tcPr>
          <w:p>
            <w:pPr>
              <w:spacing w:after="0" w:before="0"/>
            </w:pPr>
            <w:r>
              <w:rPr>
                <w:sz w:val="16"/>
              </w:rPr>
              <w:t>Metadata only. Not currently used.</w:t>
            </w:r>
          </w:p>
        </w:tc>
      </w:tr>
    </w:tbl>
    <w:p>
      <w:pPr>
        <w:spacing w:after="80"/>
      </w:pPr>
    </w:p>
    <w:p>
      <w:pPr>
        <w:pStyle w:val="Heading2"/>
      </w:pPr>
      <w:r>
        <w:t>Local installation (Windows)</w:t>
      </w:r>
    </w:p>
    <w:p>
      <w:pPr>
        <w:pStyle w:val="Listnumber1"/>
        <w:numPr>
          <w:ilvl w:val="0"/>
          <w:numId w:val="43"/>
        </w:numPr>
      </w:pPr>
      <w:r>
        <w:t xml:space="preserve">Clone or copy the repository to a local, non-synced folder (not OneDrive or SharePoint), for example </w:t>
      </w:r>
      <w:r>
        <w:rPr>
          <w:rFonts w:ascii="Consolas" w:hAnsi="Consolas"/>
          <w:color w:val="3411A3"/>
          <w:sz w:val="18"/>
        </w:rPr>
        <w:t>C:\dsn-fabric-mcp</w:t>
      </w:r>
      <w:r>
        <w:t>.</w:t>
      </w:r>
    </w:p>
    <w:p>
      <w:pPr>
        <w:pStyle w:val="Listnumber1"/>
        <w:numPr>
          <w:ilvl w:val="0"/>
          <w:numId w:val="43"/>
        </w:numPr>
      </w:pPr>
      <w:r>
        <w:t>Create a virtual environment and install the dependencies:</w:t>
      </w:r>
    </w:p>
    <w:p>
      <w:pPr>
        <w:spacing w:before="80" w:after="200" w:line="240" w:lineRule="auto"/>
        <w:ind w:left="157" w:right="94"/>
        <w:pBdr>
          <w:left w:val="single" w:sz="18" w:space="6" w:color="3411A3"/>
        </w:pBdr>
        <w:shd w:val="clear" w:color="auto" w:fill="F3F1FA"/>
      </w:pPr>
      <w:r>
        <w:rPr>
          <w:rFonts w:ascii="Consolas" w:hAnsi="Consolas"/>
          <w:color w:val="1D1C1C"/>
          <w:sz w:val="16"/>
        </w:rPr>
        <w:t>cd C:\dsn-fabric-mcp</w:t>
        <w:br/>
      </w:r>
      <w:r>
        <w:rPr>
          <w:rFonts w:ascii="Consolas" w:hAnsi="Consolas"/>
          <w:color w:val="1D1C1C"/>
          <w:sz w:val="16"/>
        </w:rPr>
        <w:t>python -m venv .venv</w:t>
        <w:br/>
      </w:r>
      <w:r>
        <w:rPr>
          <w:rFonts w:ascii="Consolas" w:hAnsi="Consolas"/>
          <w:color w:val="1D1C1C"/>
          <w:sz w:val="16"/>
        </w:rPr>
        <w:t>.venv\Scripts\activate</w:t>
        <w:br/>
      </w:r>
      <w:r>
        <w:rPr>
          <w:rFonts w:ascii="Consolas" w:hAnsi="Consolas"/>
          <w:color w:val="1D1C1C"/>
          <w:sz w:val="16"/>
        </w:rPr>
        <w:t>python -m pip install --upgrade pip</w:t>
        <w:br/>
      </w:r>
      <w:r>
        <w:rPr>
          <w:rFonts w:ascii="Consolas" w:hAnsi="Consolas"/>
          <w:color w:val="1D1C1C"/>
          <w:sz w:val="16"/>
        </w:rPr>
        <w:t>pip install -r requirements.txt</w:t>
      </w:r>
    </w:p>
    <w:p>
      <w:pPr>
        <w:pStyle w:val="Listnumber1"/>
        <w:numPr>
          <w:ilvl w:val="0"/>
          <w:numId w:val="44"/>
        </w:numPr>
      </w:pPr>
      <w:r>
        <w:t xml:space="preserve">Copy </w:t>
      </w:r>
      <w:r>
        <w:rPr>
          <w:rFonts w:ascii="Consolas" w:hAnsi="Consolas"/>
          <w:color w:val="3411A3"/>
          <w:sz w:val="18"/>
        </w:rPr>
        <w:t>.env.example</w:t>
      </w:r>
      <w:r>
        <w:t xml:space="preserve"> to </w:t>
      </w:r>
      <w:r>
        <w:rPr>
          <w:rFonts w:ascii="Consolas" w:hAnsi="Consolas"/>
          <w:color w:val="3411A3"/>
          <w:sz w:val="18"/>
        </w:rPr>
        <w:t>.env</w:t>
      </w:r>
      <w:r>
        <w:t xml:space="preserve"> and fill in the values from Section 3.2. Restrict the file so only the analyst can read it.</w:t>
      </w:r>
    </w:p>
    <w:p>
      <w:pPr>
        <w:pStyle w:val="Listnumber1"/>
        <w:numPr>
          <w:ilvl w:val="0"/>
          <w:numId w:val="44"/>
        </w:numPr>
      </w:pPr>
      <w:r>
        <w:t>Run the unit tests, then the integration test:</w:t>
      </w:r>
    </w:p>
    <w:p>
      <w:pPr>
        <w:spacing w:before="80" w:after="200" w:line="240" w:lineRule="auto"/>
        <w:ind w:left="157" w:right="94"/>
        <w:pBdr>
          <w:left w:val="single" w:sz="18" w:space="6" w:color="3411A3"/>
        </w:pBdr>
        <w:shd w:val="clear" w:color="auto" w:fill="F3F1FA"/>
      </w:pPr>
      <w:r>
        <w:rPr>
          <w:rFonts w:ascii="Consolas" w:hAnsi="Consolas"/>
          <w:color w:val="1D1C1C"/>
          <w:sz w:val="16"/>
        </w:rPr>
        <w:t>python -m unittest discover -s tests -p "test_*.py" -v</w:t>
        <w:br/>
      </w:r>
      <w:r>
        <w:rPr>
          <w:rFonts w:ascii="Consolas" w:hAnsi="Consolas"/>
          <w:color w:val="1D1C1C"/>
          <w:sz w:val="16"/>
        </w:rPr>
        <w:t>python tests\integration_test.py</w:t>
      </w:r>
    </w:p>
    <w:p>
      <w:r>
        <w:t xml:space="preserve">A healthy integration run prints </w:t>
      </w:r>
      <w:r>
        <w:rPr>
          <w:rFonts w:ascii="Consolas" w:hAnsi="Consolas"/>
          <w:color w:val="3411A3"/>
          <w:sz w:val="18"/>
        </w:rPr>
        <w:t>health: {'status': 'ok', ...}</w:t>
      </w:r>
      <w:r>
        <w:t xml:space="preserve"> followed by a short core-transactions preview.</w:t>
      </w:r>
    </w:p>
    <w:p>
      <w:pPr>
        <w:pStyle w:val="Heading2"/>
      </w:pPr>
      <w:r>
        <w:t>Connecting Claude Desktop</w:t>
      </w:r>
    </w:p>
    <w:p>
      <w:r>
        <w:t xml:space="preserve">Edit Claude Desktop's configuration file (Settings &gt; Developer &gt; Edit Config, which opens </w:t>
      </w:r>
      <w:r>
        <w:rPr>
          <w:rFonts w:ascii="Consolas" w:hAnsi="Consolas"/>
          <w:color w:val="3411A3"/>
          <w:sz w:val="18"/>
        </w:rPr>
        <w:t>claude_desktop_config.json</w:t>
      </w:r>
      <w:r>
        <w:t xml:space="preserve">). Add the server using </w:t>
      </w:r>
      <w:r>
        <w:rPr>
          <w:b/>
        </w:rPr>
        <w:t>absolute</w:t>
      </w:r>
      <w:r>
        <w:t xml:space="preserve"> paths to the virtual environment's Python and to </w:t>
      </w:r>
      <w:r>
        <w:rPr>
          <w:rFonts w:ascii="Consolas" w:hAnsi="Consolas"/>
          <w:color w:val="3411A3"/>
          <w:sz w:val="18"/>
        </w:rPr>
        <w:t>server.py</w:t>
      </w:r>
      <w:r>
        <w:t>:</w:t>
      </w:r>
    </w:p>
    <w:p>
      <w:pPr>
        <w:spacing w:before="80" w:after="200" w:line="240" w:lineRule="auto"/>
        <w:ind w:left="157" w:right="94"/>
        <w:pBdr>
          <w:left w:val="single" w:sz="18" w:space="6" w:color="3411A3"/>
        </w:pBdr>
        <w:shd w:val="clear" w:color="auto" w:fill="F3F1FA"/>
      </w:pPr>
      <w:r>
        <w:rPr>
          <w:rFonts w:ascii="Consolas" w:hAnsi="Consolas"/>
          <w:color w:val="1D1C1C"/>
          <w:sz w:val="16"/>
        </w:rPr>
        <w:t>{</w:t>
        <w:br/>
      </w:r>
      <w:r>
        <w:rPr>
          <w:rFonts w:ascii="Consolas" w:hAnsi="Consolas"/>
          <w:color w:val="1D1C1C"/>
          <w:sz w:val="16"/>
        </w:rPr>
        <w:t xml:space="preserve">  "mcpServers": {</w:t>
        <w:br/>
      </w:r>
      <w:r>
        <w:rPr>
          <w:rFonts w:ascii="Consolas" w:hAnsi="Consolas"/>
          <w:color w:val="1D1C1C"/>
          <w:sz w:val="16"/>
        </w:rPr>
        <w:t xml:space="preserve">    "dsn-fabric-mcp": {</w:t>
        <w:br/>
      </w:r>
      <w:r>
        <w:rPr>
          <w:rFonts w:ascii="Consolas" w:hAnsi="Consolas"/>
          <w:color w:val="1D1C1C"/>
          <w:sz w:val="16"/>
        </w:rPr>
        <w:t xml:space="preserve">      "command": "C:\\dsn-fabric-mcp\\.venv\\Scripts\\python.exe",</w:t>
        <w:br/>
      </w:r>
      <w:r>
        <w:rPr>
          <w:rFonts w:ascii="Consolas" w:hAnsi="Consolas"/>
          <w:color w:val="1D1C1C"/>
          <w:sz w:val="16"/>
        </w:rPr>
        <w:t xml:space="preserve">      "args": ["C:\\dsn-fabric-mcp\\server.py"]</w:t>
        <w:br/>
      </w:r>
      <w:r>
        <w:rPr>
          <w:rFonts w:ascii="Consolas" w:hAnsi="Consolas"/>
          <w:color w:val="1D1C1C"/>
          <w:sz w:val="16"/>
        </w:rPr>
        <w:t xml:space="preserve">    }</w:t>
        <w:br/>
      </w:r>
      <w:r>
        <w:rPr>
          <w:rFonts w:ascii="Consolas" w:hAnsi="Consolas"/>
          <w:color w:val="1D1C1C"/>
          <w:sz w:val="16"/>
        </w:rPr>
        <w:t xml:space="preserve">  }</w:t>
        <w:br/>
      </w:r>
      <w:r>
        <w:rPr>
          <w:rFonts w:ascii="Consolas" w:hAnsi="Consolas"/>
          <w:color w:val="1D1C1C"/>
          <w:sz w:val="16"/>
        </w:rPr>
        <w:t>}</w:t>
      </w:r>
    </w:p>
    <w:p>
      <w:r>
        <w:t xml:space="preserve">Quit Claude Desktop completely (including the system tray icon) and reopen it. The tools should appear under the </w:t>
      </w:r>
      <w:r>
        <w:rPr>
          <w:rFonts w:ascii="Consolas" w:hAnsi="Consolas"/>
          <w:color w:val="3411A3"/>
          <w:sz w:val="18"/>
        </w:rPr>
        <w:t>dsn-fabric-mcp</w:t>
      </w:r>
      <w:r>
        <w:t xml:space="preserve"> server.</w:t>
      </w:r>
    </w:p>
    <w:p>
      <w:pPr>
        <w:pStyle w:val="Heading2"/>
      </w:pPr>
      <w:r>
        <w:t>Installing the skill</w:t>
      </w:r>
    </w:p>
    <w:p>
      <w:r>
        <w:t xml:space="preserve">Upload </w:t>
      </w:r>
      <w:r>
        <w:rPr>
          <w:rFonts w:ascii="Consolas" w:hAnsi="Consolas"/>
          <w:color w:val="3411A3"/>
          <w:sz w:val="18"/>
        </w:rPr>
        <w:t>skill/dsn-fabric-analytics.zip</w:t>
      </w:r>
      <w:r>
        <w:t xml:space="preserve"> in the Skills area of Claude's settings. On Team and Enterprise plans, an owner can provision it for the whole organisation. The skill teaches Claude to use </w:t>
      </w:r>
      <w:r>
        <w:rPr>
          <w:rFonts w:ascii="Consolas" w:hAnsi="Consolas"/>
          <w:color w:val="3411A3"/>
          <w:sz w:val="18"/>
        </w:rPr>
        <w:t>dsn_query</w:t>
      </w:r>
      <w:r>
        <w:t xml:space="preserve"> first, to look up names with </w:t>
      </w:r>
      <w:r>
        <w:rPr>
          <w:rFonts w:ascii="Consolas" w:hAnsi="Consolas"/>
          <w:color w:val="3411A3"/>
          <w:sz w:val="18"/>
        </w:rPr>
        <w:t>dsn_catalog</w:t>
      </w:r>
      <w:r>
        <w:t xml:space="preserve">, and to report variances rather than change filters to force a match. If you edit </w:t>
      </w:r>
      <w:r>
        <w:rPr>
          <w:rFonts w:ascii="Consolas" w:hAnsi="Consolas"/>
          <w:color w:val="3411A3"/>
          <w:sz w:val="18"/>
        </w:rPr>
        <w:t>SKILL.md</w:t>
      </w:r>
      <w:r>
        <w:t xml:space="preserve"> or </w:t>
      </w:r>
      <w:r>
        <w:rPr>
          <w:rFonts w:ascii="Consolas" w:hAnsi="Consolas"/>
          <w:color w:val="3411A3"/>
          <w:sz w:val="18"/>
        </w:rPr>
        <w:t>references/methodology.md</w:t>
      </w:r>
      <w:r>
        <w:t>, rebuild the zip so the two copies stay the same.</w:t>
      </w:r>
    </w:p>
    <w:p>
      <w:pPr>
        <w:pStyle w:val="Heading2"/>
      </w:pPr>
      <w:r>
        <w:t>Verification</w:t>
      </w:r>
    </w:p>
    <w:p>
      <w:pPr>
        <w:keepNext/>
        <w:spacing w:before="160" w:after="80"/>
      </w:pPr>
      <w:r>
        <w:rPr>
          <w:b/>
          <w:color w:val="3411A3"/>
          <w:sz w:val="18"/>
        </w:rPr>
        <w:t xml:space="preserve">Table 12: </w:t>
      </w:r>
      <w:r>
        <w:rPr>
          <w:color w:val="3411A3"/>
          <w:sz w:val="18"/>
        </w:rPr>
        <w:t>Post-installation smoke test</w:t>
      </w:r>
    </w:p>
    <w:tbl>
      <w:tblPr>
        <w:tblStyle w:val="Style1"/>
        <w:tblLook w:firstColumn="1" w:firstRow="1" w:lastColumn="0" w:lastRow="0" w:noHBand="0" w:noVBand="1" w:val="04A0"/>
        <w:tblW w:w="9916" w:type="dxa"/>
        <w:tblCellMar>
          <w:top w:w="50" w:type="dxa"/>
          <w:left w:w="90" w:type="dxa"/>
          <w:bottom w:w="50" w:type="dxa"/>
          <w:right w:w="90" w:type="dxa"/>
        </w:tblCellMar>
        <w:tblLook w:val="04A0" w:firstRow="1" w:lastRow="0" w:firstColumn="0" w:lastColumn="0" w:noHBand="0" w:noVBand="1"/>
      </w:tblPr>
      <w:tblGrid>
        <w:gridCol w:w="762"/>
        <w:gridCol w:w="3967"/>
        <w:gridCol w:w="5187"/>
      </w:tblGrid>
      <w:tr>
        <w:trPr>
          <w:tblHeader w:val="true"/>
          <w:trHeight w:val="397"/>
          <w:cantSplit w:val="true"/>
        </w:trPr>
        <w:tc>
          <w:tcPr>
            <w:tcW w:type="dxa" w:w="3306"/>
            <w:tcW w:w="762" w:type="dxa"/>
          </w:tcPr>
          <w:p>
            <w:pPr>
              <w:spacing w:after="0" w:before="0"/>
            </w:pPr>
            <w:r>
              <w:rPr>
                <w:b/>
                <w:color w:val="FFFFFF"/>
                <w:sz w:val="17"/>
              </w:rPr>
              <w:t>Step</w:t>
            </w:r>
          </w:p>
        </w:tc>
        <w:tc>
          <w:tcPr>
            <w:tcW w:type="dxa" w:w="3306"/>
            <w:tcW w:w="3967" w:type="dxa"/>
          </w:tcPr>
          <w:p>
            <w:pPr>
              <w:spacing w:after="0" w:before="0"/>
            </w:pPr>
            <w:r>
              <w:rPr>
                <w:b/>
                <w:color w:val="FFFFFF"/>
                <w:sz w:val="17"/>
              </w:rPr>
              <w:t>Ask Claude to…</w:t>
            </w:r>
          </w:p>
        </w:tc>
        <w:tc>
          <w:tcPr>
            <w:tcW w:type="dxa" w:w="3306"/>
            <w:tcW w:w="5187" w:type="dxa"/>
          </w:tcPr>
          <w:p>
            <w:pPr>
              <w:spacing w:after="0" w:before="0"/>
            </w:pPr>
            <w:r>
              <w:rPr>
                <w:b/>
                <w:color w:val="FFFFFF"/>
                <w:sz w:val="17"/>
              </w:rPr>
              <w:t>Expected result</w:t>
            </w:r>
          </w:p>
        </w:tc>
      </w:tr>
      <w:tr>
        <w:trPr>
          <w:cantSplit w:val="true"/>
        </w:trPr>
        <w:tc>
          <w:tcPr>
            <w:tcW w:type="dxa" w:w="3306"/>
            <w:tcW w:w="762" w:type="dxa"/>
          </w:tcPr>
          <w:p>
            <w:pPr>
              <w:spacing w:after="0" w:before="0"/>
            </w:pPr>
            <w:r>
              <w:rPr>
                <w:sz w:val="17"/>
              </w:rPr>
              <w:t>1</w:t>
            </w:r>
          </w:p>
        </w:tc>
        <w:tc>
          <w:tcPr>
            <w:tcW w:type="dxa" w:w="3306"/>
            <w:tcW w:w="3967" w:type="dxa"/>
          </w:tcPr>
          <w:p>
            <w:pPr>
              <w:spacing w:after="0" w:before="0"/>
            </w:pPr>
            <w:r>
              <w:rPr>
                <w:sz w:val="17"/>
              </w:rPr>
              <w:t>Run the DSN health check</w:t>
            </w:r>
          </w:p>
        </w:tc>
        <w:tc>
          <w:tcPr>
            <w:tcW w:type="dxa" w:w="3306"/>
            <w:tcW w:w="5187" w:type="dxa"/>
          </w:tcPr>
          <w:p>
            <w:pPr>
              <w:spacing w:after="0" w:before="0"/>
            </w:pPr>
            <w:r>
              <w:rPr>
                <w:rFonts w:ascii="Consolas" w:hAnsi="Consolas"/>
                <w:color w:val="3411A3"/>
                <w:sz w:val="16"/>
              </w:rPr>
              <w:t>status=ok</w:t>
            </w:r>
            <w:r>
              <w:rPr>
                <w:sz w:val="17"/>
              </w:rPr>
              <w:t xml:space="preserve">, </w:t>
            </w:r>
            <w:r>
              <w:rPr>
                <w:rFonts w:ascii="Consolas" w:hAnsi="Consolas"/>
                <w:color w:val="3411A3"/>
                <w:sz w:val="16"/>
              </w:rPr>
              <w:t>connection=successful</w:t>
            </w:r>
            <w:r>
              <w:rPr>
                <w:sz w:val="17"/>
              </w:rPr>
              <w:t xml:space="preserve">; </w:t>
            </w:r>
            <w:r>
              <w:rPr>
                <w:rFonts w:ascii="Consolas" w:hAnsi="Consolas"/>
                <w:color w:val="3411A3"/>
                <w:sz w:val="16"/>
              </w:rPr>
              <w:t>transform_configured=true</w:t>
            </w:r>
            <w:r>
              <w:rPr>
                <w:sz w:val="17"/>
              </w:rPr>
              <w:t xml:space="preserve"> if MVD is set up</w:t>
            </w:r>
          </w:p>
        </w:tc>
      </w:tr>
      <w:tr>
        <w:trPr>
          <w:cantSplit w:val="true"/>
        </w:trPr>
        <w:tc>
          <w:tcPr>
            <w:tcW w:type="dxa" w:w="3306"/>
            <w:tcW w:w="762" w:type="dxa"/>
          </w:tcPr>
          <w:p>
            <w:pPr>
              <w:spacing w:after="0" w:before="0"/>
            </w:pPr>
            <w:r>
              <w:rPr>
                <w:sz w:val="17"/>
              </w:rPr>
              <w:t>2</w:t>
            </w:r>
          </w:p>
        </w:tc>
        <w:tc>
          <w:tcPr>
            <w:tcW w:type="dxa" w:w="3306"/>
            <w:tcW w:w="3967" w:type="dxa"/>
          </w:tcPr>
          <w:p>
            <w:pPr>
              <w:spacing w:after="0" w:before="0"/>
            </w:pPr>
            <w:r>
              <w:rPr>
                <w:sz w:val="17"/>
              </w:rPr>
              <w:t>List the approved DSN reports</w:t>
            </w:r>
          </w:p>
        </w:tc>
        <w:tc>
          <w:tcPr>
            <w:tcW w:type="dxa" w:w="3306"/>
            <w:tcW w:w="5187" w:type="dxa"/>
          </w:tcPr>
          <w:p>
            <w:pPr>
              <w:spacing w:after="0" w:before="0"/>
            </w:pPr>
            <w:r>
              <w:rPr>
                <w:sz w:val="17"/>
              </w:rPr>
              <w:t>Seven reports with their purposes</w:t>
            </w:r>
          </w:p>
        </w:tc>
      </w:tr>
      <w:tr>
        <w:trPr>
          <w:cantSplit w:val="true"/>
        </w:trPr>
        <w:tc>
          <w:tcPr>
            <w:tcW w:type="dxa" w:w="3306"/>
            <w:tcW w:w="762" w:type="dxa"/>
          </w:tcPr>
          <w:p>
            <w:pPr>
              <w:spacing w:after="0" w:before="0"/>
            </w:pPr>
            <w:r>
              <w:rPr>
                <w:sz w:val="17"/>
              </w:rPr>
              <w:t>3</w:t>
            </w:r>
          </w:p>
        </w:tc>
        <w:tc>
          <w:tcPr>
            <w:tcW w:type="dxa" w:w="3306"/>
            <w:tcW w:w="3967" w:type="dxa"/>
          </w:tcPr>
          <w:p>
            <w:pPr>
              <w:spacing w:after="0" w:before="0"/>
            </w:pPr>
            <w:r>
              <w:rPr>
                <w:sz w:val="17"/>
              </w:rPr>
              <w:t>Show core transactions for June 2026 by agency</w:t>
            </w:r>
          </w:p>
        </w:tc>
        <w:tc>
          <w:tcPr>
            <w:tcW w:type="dxa" w:w="3306"/>
            <w:tcW w:w="5187" w:type="dxa"/>
          </w:tcPr>
          <w:p>
            <w:pPr>
              <w:spacing w:after="0" w:before="0"/>
            </w:pPr>
            <w:r>
              <w:rPr>
                <w:sz w:val="17"/>
              </w:rPr>
              <w:t xml:space="preserve">Preview with </w:t>
            </w:r>
            <w:r>
              <w:rPr>
                <w:rFonts w:ascii="Consolas" w:hAnsi="Consolas"/>
                <w:color w:val="3411A3"/>
                <w:sz w:val="16"/>
              </w:rPr>
              <w:t>efs_txns</w:t>
            </w:r>
            <w:r>
              <w:rPr>
                <w:sz w:val="17"/>
              </w:rPr>
              <w:t xml:space="preserve">, </w:t>
            </w:r>
            <w:r>
              <w:rPr>
                <w:rFonts w:ascii="Consolas" w:hAnsi="Consolas"/>
                <w:color w:val="3411A3"/>
                <w:sz w:val="16"/>
              </w:rPr>
              <w:t>non_efs_txns</w:t>
            </w:r>
            <w:r>
              <w:rPr>
                <w:sz w:val="17"/>
              </w:rPr>
              <w:t xml:space="preserve">, </w:t>
            </w:r>
            <w:r>
              <w:rPr>
                <w:rFonts w:ascii="Consolas" w:hAnsi="Consolas"/>
                <w:color w:val="3411A3"/>
                <w:sz w:val="16"/>
              </w:rPr>
              <w:t>core_txns</w:t>
            </w:r>
            <w:r>
              <w:rPr>
                <w:sz w:val="17"/>
              </w:rPr>
              <w:t xml:space="preserve">, </w:t>
            </w:r>
            <w:r>
              <w:rPr>
                <w:rFonts w:ascii="Consolas" w:hAnsi="Consolas"/>
                <w:color w:val="3411A3"/>
                <w:sz w:val="16"/>
              </w:rPr>
              <w:t>all_txns</w:t>
            </w:r>
            <w:r>
              <w:rPr>
                <w:sz w:val="17"/>
              </w:rPr>
              <w:t>; scope 2026-06-01 to 2026-07-01</w:t>
            </w:r>
          </w:p>
        </w:tc>
      </w:tr>
      <w:tr>
        <w:trPr>
          <w:cantSplit w:val="true"/>
        </w:trPr>
        <w:tc>
          <w:tcPr>
            <w:tcW w:type="dxa" w:w="3306"/>
            <w:tcW w:w="762" w:type="dxa"/>
          </w:tcPr>
          <w:p>
            <w:pPr>
              <w:spacing w:after="0" w:before="0"/>
            </w:pPr>
            <w:r>
              <w:rPr>
                <w:sz w:val="17"/>
              </w:rPr>
              <w:t>4</w:t>
            </w:r>
          </w:p>
        </w:tc>
        <w:tc>
          <w:tcPr>
            <w:tcW w:type="dxa" w:w="3306"/>
            <w:tcW w:w="3967" w:type="dxa"/>
          </w:tcPr>
          <w:p>
            <w:pPr>
              <w:spacing w:after="0" w:before="0"/>
            </w:pPr>
            <w:r>
              <w:rPr>
                <w:sz w:val="17"/>
              </w:rPr>
              <w:t>Export that result to Excel</w:t>
            </w:r>
          </w:p>
        </w:tc>
        <w:tc>
          <w:tcPr>
            <w:tcW w:type="dxa" w:w="3306"/>
            <w:tcW w:w="5187" w:type="dxa"/>
          </w:tcPr>
          <w:p>
            <w:pPr>
              <w:spacing w:after="0" w:before="0"/>
            </w:pPr>
            <w:r>
              <w:rPr>
                <w:sz w:val="17"/>
              </w:rPr>
              <w:t xml:space="preserve">An </w:t>
            </w:r>
            <w:r>
              <w:rPr>
                <w:rFonts w:ascii="Consolas" w:hAnsi="Consolas"/>
                <w:color w:val="3411A3"/>
                <w:sz w:val="16"/>
              </w:rPr>
              <w:t>.xlsx</w:t>
            </w:r>
            <w:r>
              <w:rPr>
                <w:sz w:val="17"/>
              </w:rPr>
              <w:t xml:space="preserve"> in </w:t>
            </w:r>
            <w:r>
              <w:rPr>
                <w:rFonts w:ascii="Consolas" w:hAnsi="Consolas"/>
                <w:color w:val="3411A3"/>
                <w:sz w:val="16"/>
              </w:rPr>
              <w:t>exports/</w:t>
            </w:r>
            <w:r>
              <w:rPr>
                <w:sz w:val="17"/>
              </w:rPr>
              <w:t xml:space="preserve"> with a data sheet and a </w:t>
            </w:r>
            <w:r>
              <w:rPr>
                <w:rFonts w:ascii="Consolas" w:hAnsi="Consolas"/>
                <w:color w:val="3411A3"/>
                <w:sz w:val="16"/>
              </w:rPr>
              <w:t>_pull_info</w:t>
            </w:r>
            <w:r>
              <w:rPr>
                <w:sz w:val="17"/>
              </w:rPr>
              <w:t xml:space="preserve"> sheet</w:t>
            </w:r>
          </w:p>
        </w:tc>
      </w:tr>
      <w:tr>
        <w:trPr>
          <w:cantSplit w:val="true"/>
        </w:trPr>
        <w:tc>
          <w:tcPr>
            <w:tcW w:type="dxa" w:w="3306"/>
            <w:tcW w:w="762" w:type="dxa"/>
          </w:tcPr>
          <w:p>
            <w:pPr>
              <w:spacing w:after="0" w:before="0"/>
            </w:pPr>
            <w:r>
              <w:rPr>
                <w:sz w:val="17"/>
              </w:rPr>
              <w:t>5</w:t>
            </w:r>
          </w:p>
        </w:tc>
        <w:tc>
          <w:tcPr>
            <w:tcW w:type="dxa" w:w="3306"/>
            <w:tcW w:w="3967" w:type="dxa"/>
          </w:tcPr>
          <w:p>
            <w:pPr>
              <w:spacing w:after="0" w:before="0"/>
            </w:pPr>
            <w:r>
              <w:rPr>
                <w:sz w:val="17"/>
              </w:rPr>
              <w:t>Compare a known month against the legacy reconciled figure</w:t>
            </w:r>
          </w:p>
        </w:tc>
        <w:tc>
          <w:tcPr>
            <w:tcW w:type="dxa" w:w="3306"/>
            <w:tcW w:w="5187" w:type="dxa"/>
          </w:tcPr>
          <w:p>
            <w:pPr>
              <w:spacing w:after="0" w:before="0"/>
            </w:pPr>
            <w:r>
              <w:rPr>
                <w:sz w:val="17"/>
              </w:rPr>
              <w:t>Numbers match, or the variance is explained and recorded</w:t>
            </w:r>
          </w:p>
        </w:tc>
      </w:tr>
    </w:tbl>
    <w:p>
      <w:pPr>
        <w:spacing w:after="80"/>
      </w:pPr>
    </w:p>
    <w:p>
      <w:pPr>
        <w:pStyle w:val="Heading1"/>
        <w:pageBreakBefore/>
      </w:pPr>
      <w:r>
        <w:t>Operations</w:t>
      </w:r>
    </w:p>
    <w:p>
      <w:pPr>
        <w:pStyle w:val="Heading2"/>
      </w:pPr>
      <w:r>
        <w:t>Routine maintenance</w:t>
      </w:r>
    </w:p>
    <w:p>
      <w:pPr>
        <w:keepNext/>
        <w:spacing w:before="160" w:after="80"/>
      </w:pPr>
      <w:r>
        <w:rPr>
          <w:b/>
          <w:color w:val="3411A3"/>
          <w:sz w:val="18"/>
        </w:rPr>
        <w:t xml:space="preserve">Table 13: </w:t>
      </w:r>
      <w:r>
        <w:rPr>
          <w:color w:val="3411A3"/>
          <w:sz w:val="18"/>
        </w:rPr>
        <w:t>Maintenance schedule</w:t>
      </w:r>
    </w:p>
    <w:tbl>
      <w:tblPr>
        <w:tblStyle w:val="Style1"/>
        <w:tblLook w:firstColumn="1" w:firstRow="1" w:lastColumn="0" w:lastRow="0" w:noHBand="0" w:noVBand="1" w:val="04A0"/>
        <w:tblW w:w="9916" w:type="dxa"/>
        <w:tblCellMar>
          <w:top w:w="50" w:type="dxa"/>
          <w:left w:w="90" w:type="dxa"/>
          <w:bottom w:w="50" w:type="dxa"/>
          <w:right w:w="90" w:type="dxa"/>
        </w:tblCellMar>
        <w:tblLook w:val="04A0" w:firstRow="1" w:lastRow="0" w:firstColumn="0" w:lastColumn="0" w:noHBand="0" w:noVBand="1"/>
      </w:tblPr>
      <w:tblGrid>
        <w:gridCol w:w="2593"/>
        <w:gridCol w:w="2441"/>
        <w:gridCol w:w="4882"/>
      </w:tblGrid>
      <w:tr>
        <w:trPr>
          <w:tblHeader w:val="true"/>
          <w:trHeight w:val="397"/>
          <w:cantSplit w:val="true"/>
        </w:trPr>
        <w:tc>
          <w:tcPr>
            <w:tcW w:type="dxa" w:w="3306"/>
            <w:tcW w:w="2593" w:type="dxa"/>
          </w:tcPr>
          <w:p>
            <w:pPr>
              <w:spacing w:after="0" w:before="0"/>
            </w:pPr>
            <w:r>
              <w:rPr>
                <w:b/>
                <w:color w:val="FFFFFF"/>
                <w:sz w:val="17"/>
              </w:rPr>
              <w:t>Activity</w:t>
            </w:r>
          </w:p>
        </w:tc>
        <w:tc>
          <w:tcPr>
            <w:tcW w:type="dxa" w:w="3306"/>
            <w:tcW w:w="2441" w:type="dxa"/>
          </w:tcPr>
          <w:p>
            <w:pPr>
              <w:spacing w:after="0" w:before="0"/>
            </w:pPr>
            <w:r>
              <w:rPr>
                <w:b/>
                <w:color w:val="FFFFFF"/>
                <w:sz w:val="17"/>
              </w:rPr>
              <w:t>Frequency</w:t>
            </w:r>
          </w:p>
        </w:tc>
        <w:tc>
          <w:tcPr>
            <w:tcW w:type="dxa" w:w="3306"/>
            <w:tcW w:w="4882" w:type="dxa"/>
          </w:tcPr>
          <w:p>
            <w:pPr>
              <w:spacing w:after="0" w:before="0"/>
            </w:pPr>
            <w:r>
              <w:rPr>
                <w:b/>
                <w:color w:val="FFFFFF"/>
                <w:sz w:val="17"/>
              </w:rPr>
              <w:t>Details</w:t>
            </w:r>
          </w:p>
        </w:tc>
      </w:tr>
      <w:tr>
        <w:trPr>
          <w:cantSplit w:val="true"/>
        </w:trPr>
        <w:tc>
          <w:tcPr>
            <w:tcW w:type="dxa" w:w="3306"/>
            <w:tcW w:w="2593" w:type="dxa"/>
          </w:tcPr>
          <w:p>
            <w:pPr>
              <w:spacing w:after="0" w:before="0"/>
            </w:pPr>
            <w:r>
              <w:rPr>
                <w:sz w:val="17"/>
              </w:rPr>
              <w:t>Rotate the Service Principal secret</w:t>
            </w:r>
          </w:p>
        </w:tc>
        <w:tc>
          <w:tcPr>
            <w:tcW w:type="dxa" w:w="3306"/>
            <w:tcW w:w="2441" w:type="dxa"/>
          </w:tcPr>
          <w:p>
            <w:pPr>
              <w:spacing w:after="0" w:before="0"/>
            </w:pPr>
            <w:r>
              <w:rPr>
                <w:sz w:val="17"/>
              </w:rPr>
              <w:t>Before expiry (at least every 6-12 months)</w:t>
            </w:r>
          </w:p>
        </w:tc>
        <w:tc>
          <w:tcPr>
            <w:tcW w:type="dxa" w:w="3306"/>
            <w:tcW w:w="4882" w:type="dxa"/>
          </w:tcPr>
          <w:p>
            <w:pPr>
              <w:spacing w:after="0" w:before="0"/>
            </w:pPr>
            <w:r>
              <w:rPr>
                <w:sz w:val="17"/>
              </w:rPr>
              <w:t xml:space="preserve">Create a new secret, update every </w:t>
            </w:r>
            <w:r>
              <w:rPr>
                <w:rFonts w:ascii="Consolas" w:hAnsi="Consolas"/>
                <w:color w:val="3411A3"/>
                <w:sz w:val="16"/>
              </w:rPr>
              <w:t>.env</w:t>
            </w:r>
            <w:r>
              <w:rPr>
                <w:sz w:val="17"/>
              </w:rPr>
              <w:t xml:space="preserve"> (or Key Vault on a server), confirm with </w:t>
            </w:r>
            <w:r>
              <w:rPr>
                <w:rFonts w:ascii="Consolas" w:hAnsi="Consolas"/>
                <w:color w:val="3411A3"/>
                <w:sz w:val="16"/>
              </w:rPr>
              <w:t>health_check</w:t>
            </w:r>
            <w:r>
              <w:rPr>
                <w:sz w:val="17"/>
              </w:rPr>
              <w:t>, then delete the old secret.</w:t>
            </w:r>
          </w:p>
        </w:tc>
      </w:tr>
      <w:tr>
        <w:trPr>
          <w:cantSplit w:val="true"/>
        </w:trPr>
        <w:tc>
          <w:tcPr>
            <w:tcW w:type="dxa" w:w="3306"/>
            <w:tcW w:w="2593" w:type="dxa"/>
          </w:tcPr>
          <w:p>
            <w:pPr>
              <w:spacing w:after="0" w:before="0"/>
            </w:pPr>
            <w:r>
              <w:rPr>
                <w:sz w:val="17"/>
              </w:rPr>
              <w:t>Purge exports</w:t>
            </w:r>
          </w:p>
        </w:tc>
        <w:tc>
          <w:tcPr>
            <w:tcW w:type="dxa" w:w="3306"/>
            <w:tcW w:w="2441" w:type="dxa"/>
          </w:tcPr>
          <w:p>
            <w:pPr>
              <w:spacing w:after="0" w:before="0"/>
            </w:pPr>
            <w:r>
              <w:rPr>
                <w:sz w:val="17"/>
              </w:rPr>
              <w:t>Weekly, or set by policy</w:t>
            </w:r>
          </w:p>
        </w:tc>
        <w:tc>
          <w:tcPr>
            <w:tcW w:type="dxa" w:w="3306"/>
            <w:tcW w:w="4882" w:type="dxa"/>
          </w:tcPr>
          <w:p>
            <w:pPr>
              <w:spacing w:after="0" w:before="0"/>
            </w:pPr>
            <w:r>
              <w:rPr>
                <w:rFonts w:ascii="Consolas" w:hAnsi="Consolas"/>
                <w:color w:val="3411A3"/>
                <w:sz w:val="16"/>
              </w:rPr>
              <w:t>exports/</w:t>
            </w:r>
            <w:r>
              <w:rPr>
                <w:sz w:val="17"/>
              </w:rPr>
              <w:t xml:space="preserve"> is </w:t>
            </w:r>
            <w:r>
              <w:rPr>
                <w:b/>
                <w:sz w:val="17"/>
              </w:rPr>
              <w:t>never</w:t>
            </w:r>
            <w:r>
              <w:rPr>
                <w:sz w:val="17"/>
              </w:rPr>
              <w:t xml:space="preserve"> cleaned automatically (KI-01). Delete old XLSX files in line with DSN data-retention rules.</w:t>
            </w:r>
          </w:p>
        </w:tc>
      </w:tr>
      <w:tr>
        <w:trPr>
          <w:cantSplit w:val="true"/>
        </w:trPr>
        <w:tc>
          <w:tcPr>
            <w:tcW w:type="dxa" w:w="3306"/>
            <w:tcW w:w="2593" w:type="dxa"/>
          </w:tcPr>
          <w:p>
            <w:pPr>
              <w:spacing w:after="0" w:before="0"/>
            </w:pPr>
            <w:r>
              <w:rPr>
                <w:sz w:val="17"/>
              </w:rPr>
              <w:t>Check cache size</w:t>
            </w:r>
          </w:p>
        </w:tc>
        <w:tc>
          <w:tcPr>
            <w:tcW w:type="dxa" w:w="3306"/>
            <w:tcW w:w="2441" w:type="dxa"/>
          </w:tcPr>
          <w:p>
            <w:pPr>
              <w:spacing w:after="0" w:before="0"/>
            </w:pPr>
            <w:r>
              <w:rPr>
                <w:sz w:val="17"/>
              </w:rPr>
              <w:t>Monthly</w:t>
            </w:r>
          </w:p>
        </w:tc>
        <w:tc>
          <w:tcPr>
            <w:tcW w:type="dxa" w:w="3306"/>
            <w:tcW w:w="4882" w:type="dxa"/>
          </w:tcPr>
          <w:p>
            <w:pPr>
              <w:spacing w:after="0" w:before="0"/>
            </w:pPr>
            <w:r>
              <w:rPr>
                <w:rFonts w:ascii="Consolas" w:hAnsi="Consolas"/>
                <w:color w:val="3411A3"/>
                <w:sz w:val="16"/>
              </w:rPr>
              <w:t>runtime/results/</w:t>
            </w:r>
            <w:r>
              <w:rPr>
                <w:sz w:val="17"/>
              </w:rPr>
              <w:t xml:space="preserve"> is pruned only when a new query runs. Check disk use on busy machines.</w:t>
            </w:r>
          </w:p>
        </w:tc>
      </w:tr>
      <w:tr>
        <w:trPr>
          <w:cantSplit w:val="true"/>
        </w:trPr>
        <w:tc>
          <w:tcPr>
            <w:tcW w:type="dxa" w:w="3306"/>
            <w:tcW w:w="2593" w:type="dxa"/>
          </w:tcPr>
          <w:p>
            <w:pPr>
              <w:spacing w:after="0" w:before="0"/>
            </w:pPr>
            <w:r>
              <w:rPr>
                <w:sz w:val="17"/>
              </w:rPr>
              <w:t>Update dependencies</w:t>
            </w:r>
          </w:p>
        </w:tc>
        <w:tc>
          <w:tcPr>
            <w:tcW w:type="dxa" w:w="3306"/>
            <w:tcW w:w="2441" w:type="dxa"/>
          </w:tcPr>
          <w:p>
            <w:pPr>
              <w:spacing w:after="0" w:before="0"/>
            </w:pPr>
            <w:r>
              <w:rPr>
                <w:sz w:val="17"/>
              </w:rPr>
              <w:t>Quarterly</w:t>
            </w:r>
          </w:p>
        </w:tc>
        <w:tc>
          <w:tcPr>
            <w:tcW w:type="dxa" w:w="3306"/>
            <w:tcW w:w="4882" w:type="dxa"/>
          </w:tcPr>
          <w:p>
            <w:pPr>
              <w:spacing w:after="0" w:before="0"/>
            </w:pPr>
            <w:r>
              <w:rPr>
                <w:sz w:val="17"/>
              </w:rPr>
              <w:t>Update the Python packages and ODBC driver in a branch, run the unit and integration tests, then roll out.</w:t>
            </w:r>
          </w:p>
        </w:tc>
      </w:tr>
      <w:tr>
        <w:trPr>
          <w:cantSplit w:val="true"/>
        </w:trPr>
        <w:tc>
          <w:tcPr>
            <w:tcW w:type="dxa" w:w="3306"/>
            <w:tcW w:w="2593" w:type="dxa"/>
          </w:tcPr>
          <w:p>
            <w:pPr>
              <w:spacing w:after="0" w:before="0"/>
            </w:pPr>
            <w:r>
              <w:rPr>
                <w:sz w:val="17"/>
              </w:rPr>
              <w:t>Review business rules</w:t>
            </w:r>
          </w:p>
        </w:tc>
        <w:tc>
          <w:tcPr>
            <w:tcW w:type="dxa" w:w="3306"/>
            <w:tcW w:w="2441" w:type="dxa"/>
          </w:tcPr>
          <w:p>
            <w:pPr>
              <w:spacing w:after="0" w:before="0"/>
            </w:pPr>
            <w:r>
              <w:rPr>
                <w:sz w:val="17"/>
              </w:rPr>
              <w:t>Quarterly, or when DSN changes</w:t>
            </w:r>
          </w:p>
        </w:tc>
        <w:tc>
          <w:tcPr>
            <w:tcW w:type="dxa" w:w="3306"/>
            <w:tcW w:w="4882" w:type="dxa"/>
          </w:tcPr>
          <w:p>
            <w:pPr>
              <w:spacing w:after="0" w:before="0"/>
            </w:pPr>
            <w:r>
              <w:rPr>
                <w:sz w:val="17"/>
              </w:rPr>
              <w:t>Confirm the exclusion and keep lists are still right, especially the provisional aggregate exclusions.</w:t>
            </w:r>
          </w:p>
        </w:tc>
      </w:tr>
      <w:tr>
        <w:trPr>
          <w:cantSplit w:val="true"/>
        </w:trPr>
        <w:tc>
          <w:tcPr>
            <w:tcW w:type="dxa" w:w="3306"/>
            <w:tcW w:w="2593" w:type="dxa"/>
          </w:tcPr>
          <w:p>
            <w:pPr>
              <w:spacing w:after="0" w:before="0"/>
            </w:pPr>
            <w:r>
              <w:rPr>
                <w:sz w:val="17"/>
              </w:rPr>
              <w:t>Check for schema drift</w:t>
            </w:r>
          </w:p>
        </w:tc>
        <w:tc>
          <w:tcPr>
            <w:tcW w:type="dxa" w:w="3306"/>
            <w:tcW w:w="2441" w:type="dxa"/>
          </w:tcPr>
          <w:p>
            <w:pPr>
              <w:spacing w:after="0" w:before="0"/>
            </w:pPr>
            <w:r>
              <w:rPr>
                <w:sz w:val="17"/>
              </w:rPr>
              <w:t>After each Fabric model release</w:t>
            </w:r>
          </w:p>
        </w:tc>
        <w:tc>
          <w:tcPr>
            <w:tcW w:type="dxa" w:w="3306"/>
            <w:tcW w:w="4882" w:type="dxa"/>
          </w:tcPr>
          <w:p>
            <w:pPr>
              <w:spacing w:after="0" w:before="0"/>
            </w:pPr>
            <w:r>
              <w:rPr>
                <w:sz w:val="17"/>
              </w:rPr>
              <w:t>Run every report for a recent month. Column renames show up as query errors.</w:t>
            </w:r>
          </w:p>
        </w:tc>
      </w:tr>
      <w:tr>
        <w:trPr>
          <w:cantSplit w:val="true"/>
        </w:trPr>
        <w:tc>
          <w:tcPr>
            <w:tcW w:type="dxa" w:w="3306"/>
            <w:tcW w:w="2593" w:type="dxa"/>
          </w:tcPr>
          <w:p>
            <w:pPr>
              <w:spacing w:after="0" w:before="0"/>
            </w:pPr>
            <w:r>
              <w:rPr>
                <w:sz w:val="17"/>
              </w:rPr>
              <w:t>Keep the skill in sync</w:t>
            </w:r>
          </w:p>
        </w:tc>
        <w:tc>
          <w:tcPr>
            <w:tcW w:type="dxa" w:w="3306"/>
            <w:tcW w:w="2441" w:type="dxa"/>
          </w:tcPr>
          <w:p>
            <w:pPr>
              <w:spacing w:after="0" w:before="0"/>
            </w:pPr>
            <w:r>
              <w:rPr>
                <w:sz w:val="17"/>
              </w:rPr>
              <w:t>Whenever the skill or report list changes</w:t>
            </w:r>
          </w:p>
        </w:tc>
        <w:tc>
          <w:tcPr>
            <w:tcW w:type="dxa" w:w="3306"/>
            <w:tcW w:w="4882" w:type="dxa"/>
          </w:tcPr>
          <w:p>
            <w:pPr>
              <w:spacing w:after="0" w:before="0"/>
            </w:pPr>
            <w:r>
              <w:rPr>
                <w:sz w:val="17"/>
              </w:rPr>
              <w:t>Rebuild and re-upload the skill zip.</w:t>
            </w:r>
          </w:p>
        </w:tc>
      </w:tr>
    </w:tbl>
    <w:p>
      <w:pPr>
        <w:spacing w:after="80"/>
      </w:pPr>
    </w:p>
    <w:p>
      <w:pPr>
        <w:pStyle w:val="Heading2"/>
      </w:pPr>
      <w:r>
        <w:t>Changing a business rule</w:t>
      </w:r>
    </w:p>
    <w:p>
      <w:pPr>
        <w:pStyle w:val="Listnumber1"/>
        <w:numPr>
          <w:ilvl w:val="0"/>
          <w:numId w:val="45"/>
        </w:numPr>
      </w:pPr>
      <w:r>
        <w:t>Agree the change with the DSN data owner and record the decision and its reason.</w:t>
      </w:r>
    </w:p>
    <w:p>
      <w:pPr>
        <w:pStyle w:val="Listnumber1"/>
        <w:numPr>
          <w:ilvl w:val="0"/>
          <w:numId w:val="45"/>
        </w:numPr>
      </w:pPr>
      <w:r>
        <w:t xml:space="preserve">Edit </w:t>
      </w:r>
      <w:r>
        <w:rPr>
          <w:rFonts w:ascii="Consolas" w:hAnsi="Consolas"/>
          <w:color w:val="3411A3"/>
          <w:sz w:val="18"/>
        </w:rPr>
        <w:t>business_rules.py</w:t>
      </w:r>
      <w:r>
        <w:t xml:space="preserve"> (lists and methodology text), the relevant </w:t>
      </w:r>
      <w:r>
        <w:rPr>
          <w:rFonts w:ascii="Consolas" w:hAnsi="Consolas"/>
          <w:color w:val="3411A3"/>
          <w:sz w:val="18"/>
        </w:rPr>
        <w:t>queries/*.sql</w:t>
      </w:r>
      <w:r>
        <w:t xml:space="preserve">, and/or </w:t>
      </w:r>
      <w:r>
        <w:rPr>
          <w:rFonts w:ascii="Consolas" w:hAnsi="Consolas"/>
          <w:color w:val="3411A3"/>
          <w:sz w:val="18"/>
        </w:rPr>
        <w:t>query_builder.py</w:t>
      </w:r>
      <w:r>
        <w:t>.</w:t>
      </w:r>
    </w:p>
    <w:p>
      <w:pPr>
        <w:pStyle w:val="Listnumber1"/>
        <w:numPr>
          <w:ilvl w:val="0"/>
          <w:numId w:val="45"/>
        </w:numPr>
      </w:pPr>
      <w:r>
        <w:t xml:space="preserve">Change </w:t>
      </w:r>
      <w:r>
        <w:rPr>
          <w:rFonts w:ascii="Consolas" w:hAnsi="Consolas"/>
          <w:color w:val="3411A3"/>
          <w:sz w:val="18"/>
        </w:rPr>
        <w:t>BUSINESS_RULE_VERSION</w:t>
      </w:r>
      <w:r>
        <w:t xml:space="preserve">, for example </w:t>
      </w:r>
      <w:r>
        <w:rPr>
          <w:rFonts w:ascii="Consolas" w:hAnsi="Consolas"/>
          <w:color w:val="3411A3"/>
          <w:sz w:val="18"/>
        </w:rPr>
        <w:t>DSN_FABRIC_2026-11-01_V2</w:t>
      </w:r>
      <w:r>
        <w:t>. Every result and export records this value, which is how users can tell old numbers from new ones.</w:t>
      </w:r>
    </w:p>
    <w:p>
      <w:pPr>
        <w:pStyle w:val="Listnumber1"/>
        <w:numPr>
          <w:ilvl w:val="0"/>
          <w:numId w:val="45"/>
        </w:numPr>
      </w:pPr>
      <w:r>
        <w:t>Add or update unit tests, including placeholder and parameter parity, and run the integration test.</w:t>
      </w:r>
    </w:p>
    <w:p>
      <w:pPr>
        <w:pStyle w:val="Listnumber1"/>
        <w:numPr>
          <w:ilvl w:val="0"/>
          <w:numId w:val="45"/>
        </w:numPr>
      </w:pPr>
      <w:r>
        <w:t>Run the affected report for a reconciled month and compare it with the expected figures.</w:t>
      </w:r>
    </w:p>
    <w:p>
      <w:pPr>
        <w:pStyle w:val="Listnumber1"/>
        <w:numPr>
          <w:ilvl w:val="0"/>
          <w:numId w:val="45"/>
        </w:numPr>
      </w:pPr>
      <w:r>
        <w:t xml:space="preserve">Update </w:t>
      </w:r>
      <w:r>
        <w:rPr>
          <w:rFonts w:ascii="Consolas" w:hAnsi="Consolas"/>
          <w:color w:val="3411A3"/>
          <w:sz w:val="18"/>
        </w:rPr>
        <w:t>skill/.../methodology.md</w:t>
      </w:r>
      <w:r>
        <w:t xml:space="preserve"> if the explanation has changed, rebuild the zip, and redeploy.</w:t>
      </w:r>
    </w:p>
    <w:p>
      <w:pPr>
        <w:pStyle w:val="Heading2"/>
      </w:pPr>
      <w:r>
        <w:t>Adding a new report</w:t>
      </w:r>
    </w:p>
    <w:p>
      <w:pPr>
        <w:pStyle w:val="Listnumber1"/>
        <w:numPr>
          <w:ilvl w:val="0"/>
          <w:numId w:val="46"/>
        </w:numPr>
      </w:pPr>
      <w:r>
        <w:t xml:space="preserve">Add a value to </w:t>
      </w:r>
      <w:r>
        <w:rPr>
          <w:rFonts w:ascii="Consolas" w:hAnsi="Consolas"/>
          <w:color w:val="3411A3"/>
          <w:sz w:val="18"/>
        </w:rPr>
        <w:t>ReportType</w:t>
      </w:r>
      <w:r>
        <w:t xml:space="preserve"> in </w:t>
      </w:r>
      <w:r>
        <w:rPr>
          <w:rFonts w:ascii="Consolas" w:hAnsi="Consolas"/>
          <w:color w:val="3411A3"/>
          <w:sz w:val="18"/>
        </w:rPr>
        <w:t>models.py</w:t>
      </w:r>
      <w:r>
        <w:t>.</w:t>
      </w:r>
    </w:p>
    <w:p>
      <w:pPr>
        <w:pStyle w:val="Listnumber1"/>
        <w:numPr>
          <w:ilvl w:val="0"/>
          <w:numId w:val="46"/>
        </w:numPr>
      </w:pPr>
      <w:r>
        <w:t xml:space="preserve">Add a </w:t>
      </w:r>
      <w:r>
        <w:rPr>
          <w:rFonts w:ascii="Consolas" w:hAnsi="Consolas"/>
          <w:color w:val="3411A3"/>
          <w:sz w:val="18"/>
        </w:rPr>
        <w:t>REPORT_CATALOG</w:t>
      </w:r>
      <w:r>
        <w:t xml:space="preserve"> entry and a </w:t>
      </w:r>
      <w:r>
        <w:rPr>
          <w:rFonts w:ascii="Consolas" w:hAnsi="Consolas"/>
          <w:color w:val="3411A3"/>
          <w:sz w:val="18"/>
        </w:rPr>
        <w:t>methodology_for</w:t>
      </w:r>
      <w:r>
        <w:t xml:space="preserve"> branch in </w:t>
      </w:r>
      <w:r>
        <w:rPr>
          <w:rFonts w:ascii="Consolas" w:hAnsi="Consolas"/>
          <w:color w:val="3411A3"/>
          <w:sz w:val="18"/>
        </w:rPr>
        <w:t>business_rules.py</w:t>
      </w:r>
      <w:r>
        <w:t>.</w:t>
      </w:r>
    </w:p>
    <w:p>
      <w:pPr>
        <w:pStyle w:val="Listnumber1"/>
        <w:numPr>
          <w:ilvl w:val="0"/>
          <w:numId w:val="46"/>
        </w:numPr>
      </w:pPr>
      <w:r>
        <w:t xml:space="preserve">Create </w:t>
      </w:r>
      <w:r>
        <w:rPr>
          <w:rFonts w:ascii="Consolas" w:hAnsi="Consolas"/>
          <w:color w:val="3411A3"/>
          <w:sz w:val="18"/>
        </w:rPr>
        <w:t>queries/&lt;report&gt;.sql</w:t>
      </w:r>
      <w:r>
        <w:t xml:space="preserve"> using </w:t>
      </w:r>
      <w:r>
        <w:rPr>
          <w:rFonts w:ascii="Consolas" w:hAnsi="Consolas"/>
          <w:color w:val="3411A3"/>
          <w:sz w:val="18"/>
        </w:rPr>
        <w:t>?</w:t>
      </w:r>
      <w:r>
        <w:t xml:space="preserve"> parameters and </w:t>
      </w:r>
      <w:r>
        <w:rPr>
          <w:rFonts w:ascii="Consolas" w:hAnsi="Consolas"/>
          <w:color w:val="3411A3"/>
          <w:sz w:val="18"/>
        </w:rPr>
        <w:t>{{FILTERS}}</w:t>
      </w:r>
      <w:r>
        <w:t>-style tokens only.</w:t>
      </w:r>
    </w:p>
    <w:p>
      <w:pPr>
        <w:pStyle w:val="Listnumber1"/>
        <w:numPr>
          <w:ilvl w:val="0"/>
          <w:numId w:val="46"/>
        </w:numPr>
      </w:pPr>
      <w:r>
        <w:t xml:space="preserve">Add an option check in </w:t>
      </w:r>
      <w:r>
        <w:rPr>
          <w:rFonts w:ascii="Consolas" w:hAnsi="Consolas"/>
          <w:color w:val="3411A3"/>
          <w:sz w:val="18"/>
        </w:rPr>
        <w:t>_validate_report_options</w:t>
      </w:r>
      <w:r>
        <w:t xml:space="preserve"> and a </w:t>
      </w:r>
      <w:r>
        <w:rPr>
          <w:rFonts w:ascii="Consolas" w:hAnsi="Consolas"/>
          <w:color w:val="3411A3"/>
          <w:sz w:val="18"/>
        </w:rPr>
        <w:t>_&lt;report&gt;_plan</w:t>
      </w:r>
      <w:r>
        <w:t xml:space="preserve"> function, and dispatch it in </w:t>
      </w:r>
      <w:r>
        <w:rPr>
          <w:rFonts w:ascii="Consolas" w:hAnsi="Consolas"/>
          <w:color w:val="3411A3"/>
          <w:sz w:val="18"/>
        </w:rPr>
        <w:t>build_query_plan</w:t>
      </w:r>
      <w:r>
        <w:t>.</w:t>
      </w:r>
    </w:p>
    <w:p>
      <w:pPr>
        <w:pStyle w:val="Listnumber1"/>
        <w:numPr>
          <w:ilvl w:val="0"/>
          <w:numId w:val="46"/>
        </w:numPr>
      </w:pPr>
      <w:r>
        <w:t xml:space="preserve">Add the report to </w:t>
      </w:r>
      <w:r>
        <w:rPr>
          <w:rFonts w:ascii="Consolas" w:hAnsi="Consolas"/>
          <w:color w:val="3411A3"/>
          <w:sz w:val="18"/>
        </w:rPr>
        <w:t>test_all_plans_have_matching_parameters</w:t>
      </w:r>
      <w:r>
        <w:t>, plus targeted tests.</w:t>
      </w:r>
    </w:p>
    <w:p>
      <w:pPr>
        <w:pStyle w:val="Listnumber1"/>
        <w:numPr>
          <w:ilvl w:val="0"/>
          <w:numId w:val="46"/>
        </w:numPr>
      </w:pPr>
      <w:r>
        <w:t xml:space="preserve">Add the mapping to the skill's </w:t>
      </w:r>
      <w:r>
        <w:rPr>
          <w:i/>
        </w:rPr>
        <w:t>Typical mappings</w:t>
      </w:r>
      <w:r>
        <w:t xml:space="preserve"> list.</w:t>
      </w:r>
    </w:p>
    <w:p>
      <w:pPr>
        <w:pStyle w:val="Heading2"/>
      </w:pPr>
      <w:r>
        <w:t>Logging and monitoring</w:t>
      </w:r>
    </w:p>
    <w:p>
      <w:r>
        <w:t xml:space="preserve">The server logs to </w:t>
      </w:r>
      <w:r>
        <w:rPr>
          <w:b/>
        </w:rPr>
        <w:t>stderr</w:t>
      </w:r>
      <w:r>
        <w:t xml:space="preserve"> at INFO level, and Azure SDK logging is reduced to WARNING. Each </w:t>
      </w:r>
      <w:r>
        <w:rPr>
          <w:rFonts w:ascii="Consolas" w:hAnsi="Consolas"/>
          <w:color w:val="3411A3"/>
          <w:sz w:val="18"/>
        </w:rPr>
        <w:t>dsn_query</w:t>
      </w:r>
      <w:r>
        <w:t xml:space="preserve"> call logs the report and </w:t>
      </w:r>
      <w:r>
        <w:rPr>
          <w:rFonts w:ascii="Consolas" w:hAnsi="Consolas"/>
          <w:color w:val="3411A3"/>
          <w:sz w:val="18"/>
        </w:rPr>
        <w:t>query_id</w:t>
      </w:r>
      <w:r>
        <w:t xml:space="preserve">. Claude Desktop saves MCP server output to log files. On Windows these are in </w:t>
      </w:r>
      <w:r>
        <w:rPr>
          <w:rFonts w:ascii="Consolas" w:hAnsi="Consolas"/>
          <w:color w:val="3411A3"/>
          <w:sz w:val="18"/>
        </w:rPr>
        <w:t>%APPDATA%\Claude\logs\</w:t>
      </w:r>
      <w:r>
        <w:t xml:space="preserve"> (look for files whose names start with </w:t>
      </w:r>
      <w:r>
        <w:rPr>
          <w:rFonts w:ascii="Consolas" w:hAnsi="Consolas"/>
          <w:color w:val="3411A3"/>
          <w:sz w:val="18"/>
        </w:rPr>
        <w:t>mcp</w:t>
      </w:r>
      <w:r>
        <w:t>). Secrets and tokens are never logged.</w:t>
      </w:r>
    </w:p>
    <w:p>
      <w:r>
        <w:t>The local deployment has no central monitoring: each analyst's logs stay on their own machine. A central audit trail is one of the main reasons to move to a server (Section 7).</w:t>
      </w:r>
    </w:p>
    <w:p>
      <w:pPr>
        <w:pStyle w:val="Heading2"/>
      </w:pPr>
      <w:r>
        <w:t>Troubleshooting</w:t>
      </w:r>
    </w:p>
    <w:p>
      <w:pPr>
        <w:keepNext/>
        <w:spacing w:before="160" w:after="80"/>
      </w:pPr>
      <w:r>
        <w:rPr>
          <w:b/>
          <w:color w:val="3411A3"/>
          <w:sz w:val="18"/>
        </w:rPr>
        <w:t xml:space="preserve">Table 14: </w:t>
      </w:r>
      <w:r>
        <w:rPr>
          <w:color w:val="3411A3"/>
          <w:sz w:val="18"/>
        </w:rPr>
        <w:t>Troubleshooting guide</w:t>
      </w:r>
    </w:p>
    <w:tbl>
      <w:tblPr>
        <w:tblStyle w:val="Style1"/>
        <w:tblLook w:firstColumn="1" w:firstRow="1" w:lastColumn="0" w:lastRow="0" w:noHBand="0" w:noVBand="1" w:val="04A0"/>
        <w:tblW w:w="9917" w:type="dxa"/>
        <w:tblCellMar>
          <w:top w:w="50" w:type="dxa"/>
          <w:left w:w="90" w:type="dxa"/>
          <w:bottom w:w="50" w:type="dxa"/>
          <w:right w:w="90" w:type="dxa"/>
        </w:tblCellMar>
        <w:tblLook w:val="04A0" w:firstRow="1" w:lastRow="0" w:firstColumn="0" w:lastColumn="0" w:noHBand="0" w:noVBand="1"/>
      </w:tblPr>
      <w:tblGrid>
        <w:gridCol w:w="2975"/>
        <w:gridCol w:w="2899"/>
        <w:gridCol w:w="4043"/>
      </w:tblGrid>
      <w:tr>
        <w:trPr>
          <w:tblHeader w:val="true"/>
          <w:trHeight w:val="397"/>
          <w:cantSplit w:val="true"/>
        </w:trPr>
        <w:tc>
          <w:tcPr>
            <w:tcW w:type="dxa" w:w="3306"/>
            <w:tcW w:w="2975" w:type="dxa"/>
          </w:tcPr>
          <w:p>
            <w:pPr>
              <w:spacing w:after="0" w:before="0"/>
            </w:pPr>
            <w:r>
              <w:rPr>
                <w:b/>
                <w:color w:val="FFFFFF"/>
                <w:sz w:val="16"/>
              </w:rPr>
              <w:t>Symptom / message</w:t>
            </w:r>
          </w:p>
        </w:tc>
        <w:tc>
          <w:tcPr>
            <w:tcW w:type="dxa" w:w="3306"/>
            <w:tcW w:w="2899" w:type="dxa"/>
          </w:tcPr>
          <w:p>
            <w:pPr>
              <w:spacing w:after="0" w:before="0"/>
            </w:pPr>
            <w:r>
              <w:rPr>
                <w:b/>
                <w:color w:val="FFFFFF"/>
                <w:sz w:val="16"/>
              </w:rPr>
              <w:t>Likely cause</w:t>
            </w:r>
          </w:p>
        </w:tc>
        <w:tc>
          <w:tcPr>
            <w:tcW w:type="dxa" w:w="3306"/>
            <w:tcW w:w="4043" w:type="dxa"/>
          </w:tcPr>
          <w:p>
            <w:pPr>
              <w:spacing w:after="0" w:before="0"/>
            </w:pPr>
            <w:r>
              <w:rPr>
                <w:b/>
                <w:color w:val="FFFFFF"/>
                <w:sz w:val="16"/>
              </w:rPr>
              <w:t>Resolution</w:t>
            </w:r>
          </w:p>
        </w:tc>
      </w:tr>
      <w:tr>
        <w:trPr>
          <w:cantSplit w:val="true"/>
        </w:trPr>
        <w:tc>
          <w:tcPr>
            <w:tcW w:type="dxa" w:w="3306"/>
            <w:tcW w:w="2975" w:type="dxa"/>
          </w:tcPr>
          <w:p>
            <w:pPr>
              <w:spacing w:after="0" w:before="0"/>
            </w:pPr>
            <w:r>
              <w:rPr>
                <w:rFonts w:ascii="Consolas" w:hAnsi="Consolas"/>
                <w:color w:val="3411A3"/>
                <w:sz w:val="15"/>
              </w:rPr>
              <w:t>Missing required configuration: FABRIC_...</w:t>
            </w:r>
          </w:p>
        </w:tc>
        <w:tc>
          <w:tcPr>
            <w:tcW w:type="dxa" w:w="3306"/>
            <w:tcW w:w="2899" w:type="dxa"/>
          </w:tcPr>
          <w:p>
            <w:pPr>
              <w:spacing w:after="0" w:before="0"/>
            </w:pPr>
            <w:r>
              <w:rPr>
                <w:rFonts w:ascii="Consolas" w:hAnsi="Consolas"/>
                <w:color w:val="3411A3"/>
                <w:sz w:val="15"/>
              </w:rPr>
              <w:t>.env</w:t>
            </w:r>
            <w:r>
              <w:rPr>
                <w:sz w:val="16"/>
              </w:rPr>
              <w:t xml:space="preserve"> missing, in the wrong folder, or incomplete</w:t>
            </w:r>
          </w:p>
        </w:tc>
        <w:tc>
          <w:tcPr>
            <w:tcW w:type="dxa" w:w="3306"/>
            <w:tcW w:w="4043" w:type="dxa"/>
          </w:tcPr>
          <w:p>
            <w:pPr>
              <w:spacing w:after="0" w:before="0"/>
            </w:pPr>
            <w:r>
              <w:rPr>
                <w:rFonts w:ascii="Consolas" w:hAnsi="Consolas"/>
                <w:color w:val="3411A3"/>
                <w:sz w:val="15"/>
              </w:rPr>
              <w:t>.env</w:t>
            </w:r>
            <w:r>
              <w:rPr>
                <w:sz w:val="16"/>
              </w:rPr>
              <w:t xml:space="preserve"> must sit next to </w:t>
            </w:r>
            <w:r>
              <w:rPr>
                <w:rFonts w:ascii="Consolas" w:hAnsi="Consolas"/>
                <w:color w:val="3411A3"/>
                <w:sz w:val="15"/>
              </w:rPr>
              <w:t>config.py</w:t>
            </w:r>
            <w:r>
              <w:rPr>
                <w:sz w:val="16"/>
              </w:rPr>
              <w:t>. Fill in all five required variables.</w:t>
            </w:r>
          </w:p>
        </w:tc>
      </w:tr>
      <w:tr>
        <w:trPr>
          <w:cantSplit w:val="true"/>
        </w:trPr>
        <w:tc>
          <w:tcPr>
            <w:tcW w:type="dxa" w:w="3306"/>
            <w:tcW w:w="2975" w:type="dxa"/>
          </w:tcPr>
          <w:p>
            <w:pPr>
              <w:spacing w:after="0" w:before="0"/>
            </w:pPr>
            <w:r>
              <w:rPr>
                <w:rFonts w:ascii="Consolas" w:hAnsi="Consolas"/>
                <w:color w:val="3411A3"/>
                <w:sz w:val="15"/>
              </w:rPr>
              <w:t>Could not load 'ODBC Driver 18 for SQL Server'</w:t>
            </w:r>
          </w:p>
        </w:tc>
        <w:tc>
          <w:tcPr>
            <w:tcW w:type="dxa" w:w="3306"/>
            <w:tcW w:w="2899" w:type="dxa"/>
          </w:tcPr>
          <w:p>
            <w:pPr>
              <w:spacing w:after="0" w:before="0"/>
            </w:pPr>
            <w:r>
              <w:rPr>
                <w:sz w:val="16"/>
              </w:rPr>
              <w:t>Driver not installed, or 32/64-bit mismatch</w:t>
            </w:r>
          </w:p>
        </w:tc>
        <w:tc>
          <w:tcPr>
            <w:tcW w:type="dxa" w:w="3306"/>
            <w:tcW w:w="4043" w:type="dxa"/>
          </w:tcPr>
          <w:p>
            <w:pPr>
              <w:spacing w:after="0" w:before="0"/>
            </w:pPr>
            <w:r>
              <w:rPr>
                <w:sz w:val="16"/>
              </w:rPr>
              <w:t>Install the 64-bit ODBC Driver 18 and match it to the Python architecture.</w:t>
            </w:r>
          </w:p>
        </w:tc>
      </w:tr>
      <w:tr>
        <w:trPr>
          <w:cantSplit w:val="true"/>
        </w:trPr>
        <w:tc>
          <w:tcPr>
            <w:tcW w:type="dxa" w:w="3306"/>
            <w:tcW w:w="2975" w:type="dxa"/>
          </w:tcPr>
          <w:p>
            <w:pPr>
              <w:spacing w:after="0" w:before="0"/>
            </w:pPr>
            <w:r>
              <w:rPr>
                <w:rFonts w:ascii="Consolas" w:hAnsi="Consolas"/>
                <w:color w:val="3411A3"/>
                <w:sz w:val="15"/>
              </w:rPr>
              <w:t>Service Principal authentication failed</w:t>
            </w:r>
          </w:p>
        </w:tc>
        <w:tc>
          <w:tcPr>
            <w:tcW w:type="dxa" w:w="3306"/>
            <w:tcW w:w="2899" w:type="dxa"/>
          </w:tcPr>
          <w:p>
            <w:pPr>
              <w:spacing w:after="0" w:before="0"/>
            </w:pPr>
            <w:r>
              <w:rPr>
                <w:sz w:val="16"/>
              </w:rPr>
              <w:t>Wrong tenant/client/secret, or secret expired</w:t>
            </w:r>
          </w:p>
        </w:tc>
        <w:tc>
          <w:tcPr>
            <w:tcW w:type="dxa" w:w="3306"/>
            <w:tcW w:w="4043" w:type="dxa"/>
          </w:tcPr>
          <w:p>
            <w:pPr>
              <w:spacing w:after="0" w:before="0"/>
            </w:pPr>
            <w:r>
              <w:rPr>
                <w:sz w:val="16"/>
              </w:rPr>
              <w:t>Check the values in Entra. Rotate the secret if it has expired.</w:t>
            </w:r>
          </w:p>
        </w:tc>
      </w:tr>
      <w:tr>
        <w:trPr>
          <w:cantSplit w:val="true"/>
        </w:trPr>
        <w:tc>
          <w:tcPr>
            <w:tcW w:type="dxa" w:w="3306"/>
            <w:tcW w:w="2975" w:type="dxa"/>
          </w:tcPr>
          <w:p>
            <w:pPr>
              <w:spacing w:after="0" w:before="0"/>
            </w:pPr>
            <w:r>
              <w:rPr>
                <w:rFonts w:ascii="Consolas" w:hAnsi="Consolas"/>
                <w:color w:val="3411A3"/>
                <w:sz w:val="15"/>
              </w:rPr>
              <w:t>Could not connect to configured Fabric target</w:t>
            </w:r>
          </w:p>
        </w:tc>
        <w:tc>
          <w:tcPr>
            <w:tcW w:type="dxa" w:w="3306"/>
            <w:tcW w:w="2899" w:type="dxa"/>
          </w:tcPr>
          <w:p>
            <w:pPr>
              <w:spacing w:after="0" w:before="0"/>
            </w:pPr>
            <w:r>
              <w:rPr>
                <w:sz w:val="16"/>
              </w:rPr>
              <w:t>Wrong endpoint, missing workspace access, tenant setting off, or firewall</w:t>
            </w:r>
          </w:p>
        </w:tc>
        <w:tc>
          <w:tcPr>
            <w:tcW w:type="dxa" w:w="3306"/>
            <w:tcW w:w="4043" w:type="dxa"/>
          </w:tcPr>
          <w:p>
            <w:pPr>
              <w:spacing w:after="0" w:before="0"/>
            </w:pPr>
            <w:r>
              <w:rPr>
                <w:sz w:val="16"/>
              </w:rPr>
              <w:t>Check the endpoint host, the SP's warehouse access and the tenant setting, and test TCP 1433.</w:t>
            </w:r>
          </w:p>
        </w:tc>
      </w:tr>
      <w:tr>
        <w:trPr>
          <w:cantSplit w:val="true"/>
        </w:trPr>
        <w:tc>
          <w:tcPr>
            <w:tcW w:type="dxa" w:w="3306"/>
            <w:tcW w:w="2975" w:type="dxa"/>
          </w:tcPr>
          <w:p>
            <w:pPr>
              <w:spacing w:after="0" w:before="0"/>
            </w:pPr>
            <w:r>
              <w:rPr>
                <w:rFonts w:ascii="Consolas" w:hAnsi="Consolas"/>
                <w:color w:val="3411A3"/>
                <w:sz w:val="15"/>
              </w:rPr>
              <w:t>The MVD/lh_transform target is not configured</w:t>
            </w:r>
          </w:p>
        </w:tc>
        <w:tc>
          <w:tcPr>
            <w:tcW w:type="dxa" w:w="3306"/>
            <w:tcW w:w="2899" w:type="dxa"/>
          </w:tcPr>
          <w:p>
            <w:pPr>
              <w:spacing w:after="0" w:before="0"/>
            </w:pPr>
            <w:r>
              <w:rPr>
                <w:rFonts w:ascii="Consolas" w:hAnsi="Consolas"/>
                <w:color w:val="3411A3"/>
                <w:sz w:val="15"/>
              </w:rPr>
              <w:t>FABRIC_TRANSFORM_DATABASE</w:t>
            </w:r>
            <w:r>
              <w:rPr>
                <w:sz w:val="16"/>
              </w:rPr>
              <w:t xml:space="preserve"> not set</w:t>
            </w:r>
          </w:p>
        </w:tc>
        <w:tc>
          <w:tcPr>
            <w:tcW w:type="dxa" w:w="3306"/>
            <w:tcW w:w="4043" w:type="dxa"/>
          </w:tcPr>
          <w:p>
            <w:pPr>
              <w:spacing w:after="0" w:before="0"/>
            </w:pPr>
            <w:r>
              <w:rPr>
                <w:sz w:val="16"/>
              </w:rPr>
              <w:t>Set it (and the endpoint if it is different).</w:t>
            </w:r>
          </w:p>
        </w:tc>
      </w:tr>
      <w:tr>
        <w:trPr>
          <w:cantSplit w:val="true"/>
        </w:trPr>
        <w:tc>
          <w:tcPr>
            <w:tcW w:type="dxa" w:w="3306"/>
            <w:tcW w:w="2975" w:type="dxa"/>
          </w:tcPr>
          <w:p>
            <w:pPr>
              <w:spacing w:after="0" w:before="0"/>
            </w:pPr>
            <w:r>
              <w:rPr>
                <w:rFonts w:ascii="Consolas" w:hAnsi="Consolas"/>
                <w:color w:val="3411A3"/>
                <w:sz w:val="15"/>
              </w:rPr>
              <w:t>Query failed: ...</w:t>
            </w:r>
            <w:r>
              <w:rPr>
                <w:sz w:val="16"/>
              </w:rPr>
              <w:t xml:space="preserve"> timeout</w:t>
            </w:r>
          </w:p>
        </w:tc>
        <w:tc>
          <w:tcPr>
            <w:tcW w:type="dxa" w:w="3306"/>
            <w:tcW w:w="2899" w:type="dxa"/>
          </w:tcPr>
          <w:p>
            <w:pPr>
              <w:spacing w:after="0" w:before="0"/>
            </w:pPr>
            <w:r>
              <w:rPr>
                <w:sz w:val="16"/>
              </w:rPr>
              <w:t>Wide window at a detailed grain, or Fabric capacity under pressure</w:t>
            </w:r>
          </w:p>
        </w:tc>
        <w:tc>
          <w:tcPr>
            <w:tcW w:type="dxa" w:w="3306"/>
            <w:tcW w:w="4043" w:type="dxa"/>
          </w:tcPr>
          <w:p>
            <w:pPr>
              <w:spacing w:after="0" w:before="0"/>
            </w:pPr>
            <w:r>
              <w:rPr>
                <w:sz w:val="16"/>
              </w:rPr>
              <w:t xml:space="preserve">Narrow the window or grain, or increase </w:t>
            </w:r>
            <w:r>
              <w:rPr>
                <w:rFonts w:ascii="Consolas" w:hAnsi="Consolas"/>
                <w:color w:val="3411A3"/>
                <w:sz w:val="15"/>
              </w:rPr>
              <w:t>FABRIC_QUERY_TIMEOUT_SECONDS</w:t>
            </w:r>
            <w:r>
              <w:rPr>
                <w:sz w:val="16"/>
              </w:rPr>
              <w:t>. Check Fabric capacity metrics.</w:t>
            </w:r>
          </w:p>
        </w:tc>
      </w:tr>
      <w:tr>
        <w:trPr>
          <w:cantSplit w:val="true"/>
        </w:trPr>
        <w:tc>
          <w:tcPr>
            <w:tcW w:type="dxa" w:w="3306"/>
            <w:tcW w:w="2975" w:type="dxa"/>
          </w:tcPr>
          <w:p>
            <w:pPr>
              <w:spacing w:after="0" w:before="0"/>
            </w:pPr>
            <w:r>
              <w:rPr>
                <w:rFonts w:ascii="Consolas" w:hAnsi="Consolas"/>
                <w:color w:val="3411A3"/>
                <w:sz w:val="15"/>
              </w:rPr>
              <w:t>Result not found or expired</w:t>
            </w:r>
          </w:p>
        </w:tc>
        <w:tc>
          <w:tcPr>
            <w:tcW w:type="dxa" w:w="3306"/>
            <w:tcW w:w="2899" w:type="dxa"/>
          </w:tcPr>
          <w:p>
            <w:pPr>
              <w:spacing w:after="0" w:before="0"/>
            </w:pPr>
            <w:r>
              <w:rPr>
                <w:sz w:val="16"/>
              </w:rPr>
              <w:t>TTL passed or cache cleared</w:t>
            </w:r>
          </w:p>
        </w:tc>
        <w:tc>
          <w:tcPr>
            <w:tcW w:type="dxa" w:w="3306"/>
            <w:tcW w:w="4043" w:type="dxa"/>
          </w:tcPr>
          <w:p>
            <w:pPr>
              <w:spacing w:after="0" w:before="0"/>
            </w:pPr>
            <w:r>
              <w:rPr>
                <w:sz w:val="16"/>
              </w:rPr>
              <w:t xml:space="preserve">Run </w:t>
            </w:r>
            <w:r>
              <w:rPr>
                <w:rFonts w:ascii="Consolas" w:hAnsi="Consolas"/>
                <w:color w:val="3411A3"/>
                <w:sz w:val="15"/>
              </w:rPr>
              <w:t>dsn_query</w:t>
            </w:r>
            <w:r>
              <w:rPr>
                <w:sz w:val="16"/>
              </w:rPr>
              <w:t xml:space="preserve"> again.</w:t>
            </w:r>
          </w:p>
        </w:tc>
      </w:tr>
      <w:tr>
        <w:trPr>
          <w:cantSplit w:val="true"/>
        </w:trPr>
        <w:tc>
          <w:tcPr>
            <w:tcW w:type="dxa" w:w="3306"/>
            <w:tcW w:w="2975" w:type="dxa"/>
          </w:tcPr>
          <w:p>
            <w:pPr>
              <w:spacing w:after="0" w:before="0"/>
            </w:pPr>
            <w:r>
              <w:rPr>
                <w:rFonts w:ascii="Consolas" w:hAnsi="Consolas"/>
                <w:color w:val="3411A3"/>
                <w:sz w:val="15"/>
              </w:rPr>
              <w:t>This query has multiple datasets</w:t>
            </w:r>
          </w:p>
        </w:tc>
        <w:tc>
          <w:tcPr>
            <w:tcW w:type="dxa" w:w="3306"/>
            <w:tcW w:w="2899" w:type="dxa"/>
          </w:tcPr>
          <w:p>
            <w:pPr>
              <w:spacing w:after="0" w:before="0"/>
            </w:pPr>
            <w:r>
              <w:rPr>
                <w:sz w:val="16"/>
              </w:rPr>
              <w:t xml:space="preserve">Paging aggregate or reference results without naming </w:t>
            </w:r>
            <w:r>
              <w:rPr>
                <w:rFonts w:ascii="Consolas" w:hAnsi="Consolas"/>
                <w:color w:val="3411A3"/>
                <w:sz w:val="15"/>
              </w:rPr>
              <w:t>dataset</w:t>
            </w:r>
          </w:p>
        </w:tc>
        <w:tc>
          <w:tcPr>
            <w:tcW w:type="dxa" w:w="3306"/>
            <w:tcW w:w="4043" w:type="dxa"/>
          </w:tcPr>
          <w:p>
            <w:pPr>
              <w:spacing w:after="0" w:before="0"/>
            </w:pPr>
            <w:r>
              <w:rPr>
                <w:sz w:val="16"/>
              </w:rPr>
              <w:t xml:space="preserve">Pass </w:t>
            </w:r>
            <w:r>
              <w:rPr>
                <w:rFonts w:ascii="Consolas" w:hAnsi="Consolas"/>
                <w:color w:val="3411A3"/>
                <w:sz w:val="15"/>
              </w:rPr>
              <w:t>dataset</w:t>
            </w:r>
            <w:r>
              <w:rPr>
                <w:sz w:val="16"/>
              </w:rPr>
              <w:t xml:space="preserve"> exactly as shown, for example </w:t>
            </w:r>
            <w:r>
              <w:rPr>
                <w:rFonts w:ascii="Consolas" w:hAnsi="Consolas"/>
                <w:color w:val="3411A3"/>
                <w:sz w:val="15"/>
              </w:rPr>
              <w:t>Revenue by Source</w:t>
            </w:r>
            <w:r>
              <w:rPr>
                <w:sz w:val="16"/>
              </w:rPr>
              <w:t>.</w:t>
            </w:r>
          </w:p>
        </w:tc>
      </w:tr>
      <w:tr>
        <w:trPr>
          <w:cantSplit w:val="true"/>
        </w:trPr>
        <w:tc>
          <w:tcPr>
            <w:tcW w:type="dxa" w:w="3306"/>
            <w:tcW w:w="2975" w:type="dxa"/>
          </w:tcPr>
          <w:p>
            <w:pPr>
              <w:spacing w:after="0" w:before="0"/>
            </w:pPr>
            <w:r>
              <w:rPr>
                <w:rFonts w:ascii="Consolas" w:hAnsi="Consolas"/>
                <w:color w:val="3411A3"/>
                <w:sz w:val="15"/>
              </w:rPr>
              <w:t>parent_customer_detail</w:t>
            </w:r>
            <w:r>
              <w:rPr>
                <w:sz w:val="16"/>
              </w:rPr>
              <w:t xml:space="preserve"> returns 0 rows</w:t>
            </w:r>
          </w:p>
        </w:tc>
        <w:tc>
          <w:tcPr>
            <w:tcW w:type="dxa" w:w="3306"/>
            <w:tcW w:w="2899" w:type="dxa"/>
          </w:tcPr>
          <w:p>
            <w:pPr>
              <w:spacing w:after="0" w:before="0"/>
            </w:pPr>
            <w:r>
              <w:rPr>
                <w:sz w:val="16"/>
              </w:rPr>
              <w:t>Exact-match spelling or case differs</w:t>
            </w:r>
          </w:p>
        </w:tc>
        <w:tc>
          <w:tcPr>
            <w:tcW w:type="dxa" w:w="3306"/>
            <w:tcW w:w="4043" w:type="dxa"/>
          </w:tcPr>
          <w:p>
            <w:pPr>
              <w:spacing w:after="0" w:before="0"/>
            </w:pPr>
            <w:r>
              <w:rPr>
                <w:sz w:val="16"/>
              </w:rPr>
              <w:t xml:space="preserve">Use </w:t>
            </w:r>
            <w:r>
              <w:rPr>
                <w:rFonts w:ascii="Consolas" w:hAnsi="Consolas"/>
                <w:color w:val="3411A3"/>
                <w:sz w:val="15"/>
              </w:rPr>
              <w:t>dsn_catalog list_parent_customers</w:t>
            </w:r>
            <w:r>
              <w:rPr>
                <w:sz w:val="16"/>
              </w:rPr>
              <w:t xml:space="preserve"> with a search term, then use the stored name.</w:t>
            </w:r>
          </w:p>
        </w:tc>
      </w:tr>
      <w:tr>
        <w:trPr>
          <w:cantSplit w:val="true"/>
        </w:trPr>
        <w:tc>
          <w:tcPr>
            <w:tcW w:type="dxa" w:w="3306"/>
            <w:tcW w:w="2975" w:type="dxa"/>
          </w:tcPr>
          <w:p>
            <w:pPr>
              <w:spacing w:after="0" w:before="0"/>
            </w:pPr>
            <w:r>
              <w:rPr>
                <w:sz w:val="16"/>
              </w:rPr>
              <w:t>Truncation warning</w:t>
            </w:r>
          </w:p>
        </w:tc>
        <w:tc>
          <w:tcPr>
            <w:tcW w:type="dxa" w:w="3306"/>
            <w:tcW w:w="2899" w:type="dxa"/>
          </w:tcPr>
          <w:p>
            <w:pPr>
              <w:spacing w:after="0" w:before="0"/>
            </w:pPr>
            <w:r>
              <w:rPr>
                <w:sz w:val="16"/>
              </w:rPr>
              <w:t xml:space="preserve">Dataset exceeded </w:t>
            </w:r>
            <w:r>
              <w:rPr>
                <w:rFonts w:ascii="Consolas" w:hAnsi="Consolas"/>
                <w:color w:val="3411A3"/>
                <w:sz w:val="15"/>
              </w:rPr>
              <w:t>FABRIC_MAX_RESULT_ROWS</w:t>
            </w:r>
          </w:p>
        </w:tc>
        <w:tc>
          <w:tcPr>
            <w:tcW w:type="dxa" w:w="3306"/>
            <w:tcW w:w="4043" w:type="dxa"/>
          </w:tcPr>
          <w:p>
            <w:pPr>
              <w:spacing w:after="0" w:before="0"/>
            </w:pPr>
            <w:r>
              <w:rPr>
                <w:sz w:val="16"/>
              </w:rPr>
              <w:t>Narrow the scope. Raise the cap only after checking disk space and Excel limits.</w:t>
            </w:r>
          </w:p>
        </w:tc>
      </w:tr>
      <w:tr>
        <w:trPr>
          <w:cantSplit w:val="true"/>
        </w:trPr>
        <w:tc>
          <w:tcPr>
            <w:tcW w:type="dxa" w:w="3306"/>
            <w:tcW w:w="2975" w:type="dxa"/>
          </w:tcPr>
          <w:p>
            <w:pPr>
              <w:spacing w:after="0" w:before="0"/>
            </w:pPr>
            <w:r>
              <w:rPr>
                <w:rFonts w:ascii="Consolas" w:hAnsi="Consolas"/>
                <w:color w:val="3411A3"/>
                <w:sz w:val="15"/>
              </w:rPr>
              <w:t>Could not write '...xlsx'</w:t>
            </w:r>
          </w:p>
        </w:tc>
        <w:tc>
          <w:tcPr>
            <w:tcW w:type="dxa" w:w="3306"/>
            <w:tcW w:w="2899" w:type="dxa"/>
          </w:tcPr>
          <w:p>
            <w:pPr>
              <w:spacing w:after="0" w:before="0"/>
            </w:pPr>
            <w:r>
              <w:rPr>
                <w:sz w:val="16"/>
              </w:rPr>
              <w:t>File open in Excel, or no write permission</w:t>
            </w:r>
          </w:p>
        </w:tc>
        <w:tc>
          <w:tcPr>
            <w:tcW w:type="dxa" w:w="3306"/>
            <w:tcW w:w="4043" w:type="dxa"/>
          </w:tcPr>
          <w:p>
            <w:pPr>
              <w:spacing w:after="0" w:before="0"/>
            </w:pPr>
            <w:r>
              <w:rPr>
                <w:sz w:val="16"/>
              </w:rPr>
              <w:t>Close the file and retry.</w:t>
            </w:r>
          </w:p>
        </w:tc>
      </w:tr>
      <w:tr>
        <w:trPr>
          <w:cantSplit w:val="true"/>
        </w:trPr>
        <w:tc>
          <w:tcPr>
            <w:tcW w:type="dxa" w:w="3306"/>
            <w:tcW w:w="2975" w:type="dxa"/>
          </w:tcPr>
          <w:p>
            <w:pPr>
              <w:spacing w:after="0" w:before="0"/>
            </w:pPr>
            <w:r>
              <w:rPr>
                <w:sz w:val="16"/>
              </w:rPr>
              <w:t xml:space="preserve">Ad-hoc </w:t>
            </w:r>
            <w:r>
              <w:rPr>
                <w:rFonts w:ascii="Consolas" w:hAnsi="Consolas"/>
                <w:color w:val="3411A3"/>
                <w:sz w:val="15"/>
              </w:rPr>
              <w:t>disallowed keyword</w:t>
            </w:r>
            <w:r>
              <w:rPr>
                <w:sz w:val="16"/>
              </w:rPr>
              <w:t xml:space="preserve"> / </w:t>
            </w:r>
            <w:r>
              <w:rPr>
                <w:rFonts w:ascii="Consolas" w:hAnsi="Consolas"/>
                <w:color w:val="3411A3"/>
                <w:sz w:val="15"/>
              </w:rPr>
              <w:t>Schema ... not allowed</w:t>
            </w:r>
          </w:p>
        </w:tc>
        <w:tc>
          <w:tcPr>
            <w:tcW w:type="dxa" w:w="3306"/>
            <w:tcW w:w="2899" w:type="dxa"/>
          </w:tcPr>
          <w:p>
            <w:pPr>
              <w:spacing w:after="0" w:before="0"/>
            </w:pPr>
            <w:r>
              <w:rPr>
                <w:sz w:val="16"/>
              </w:rPr>
              <w:t>Validator rule (possibly a false positive on an identifier)</w:t>
            </w:r>
          </w:p>
        </w:tc>
        <w:tc>
          <w:tcPr>
            <w:tcW w:type="dxa" w:w="3306"/>
            <w:tcW w:w="4043" w:type="dxa"/>
          </w:tcPr>
          <w:p>
            <w:pPr>
              <w:spacing w:after="0" w:before="0"/>
            </w:pPr>
            <w:r>
              <w:rPr>
                <w:sz w:val="16"/>
              </w:rPr>
              <w:t>Use an approved report. If ad-hoc SQL is truly needed, rename the column with an alias or use an allowed schema.</w:t>
            </w:r>
          </w:p>
        </w:tc>
      </w:tr>
      <w:tr>
        <w:trPr>
          <w:cantSplit w:val="true"/>
        </w:trPr>
        <w:tc>
          <w:tcPr>
            <w:tcW w:type="dxa" w:w="3306"/>
            <w:tcW w:w="2975" w:type="dxa"/>
          </w:tcPr>
          <w:p>
            <w:pPr>
              <w:spacing w:after="0" w:before="0"/>
            </w:pPr>
            <w:r>
              <w:rPr>
                <w:sz w:val="16"/>
              </w:rPr>
              <w:t>Tools missing in Claude Desktop</w:t>
            </w:r>
          </w:p>
        </w:tc>
        <w:tc>
          <w:tcPr>
            <w:tcW w:type="dxa" w:w="3306"/>
            <w:tcW w:w="2899" w:type="dxa"/>
          </w:tcPr>
          <w:p>
            <w:pPr>
              <w:spacing w:after="0" w:before="0"/>
            </w:pPr>
            <w:r>
              <w:rPr>
                <w:sz w:val="16"/>
              </w:rPr>
              <w:t>Bad JSON, relative paths, or the app was not restarted</w:t>
            </w:r>
          </w:p>
        </w:tc>
        <w:tc>
          <w:tcPr>
            <w:tcW w:type="dxa" w:w="3306"/>
            <w:tcW w:w="4043" w:type="dxa"/>
          </w:tcPr>
          <w:p>
            <w:pPr>
              <w:spacing w:after="0" w:before="0"/>
            </w:pPr>
            <w:r>
              <w:rPr>
                <w:sz w:val="16"/>
              </w:rPr>
              <w:t>Validate the JSON, use absolute paths, quit fully from the system tray, and check the MCP logs.</w:t>
            </w:r>
          </w:p>
        </w:tc>
      </w:tr>
      <w:tr>
        <w:trPr>
          <w:cantSplit w:val="true"/>
        </w:trPr>
        <w:tc>
          <w:tcPr>
            <w:tcW w:type="dxa" w:w="3306"/>
            <w:tcW w:w="2975" w:type="dxa"/>
          </w:tcPr>
          <w:p>
            <w:pPr>
              <w:spacing w:after="0" w:before="0"/>
            </w:pPr>
            <w:r>
              <w:rPr>
                <w:sz w:val="16"/>
              </w:rPr>
              <w:t>Numbers do not reconcile</w:t>
            </w:r>
          </w:p>
        </w:tc>
        <w:tc>
          <w:tcPr>
            <w:tcW w:type="dxa" w:w="3306"/>
            <w:tcW w:w="2899" w:type="dxa"/>
          </w:tcPr>
          <w:p>
            <w:pPr>
              <w:spacing w:after="0" w:before="0"/>
            </w:pPr>
            <w:r>
              <w:rPr>
                <w:sz w:val="16"/>
              </w:rPr>
              <w:t>Different scope, data vintage, rule version, or a revenue fan-out comparison</w:t>
            </w:r>
          </w:p>
        </w:tc>
        <w:tc>
          <w:tcPr>
            <w:tcW w:type="dxa" w:w="3306"/>
            <w:tcW w:w="4043" w:type="dxa"/>
          </w:tcPr>
          <w:p>
            <w:pPr>
              <w:spacing w:after="0" w:before="0"/>
            </w:pPr>
            <w:r>
              <w:rPr>
                <w:sz w:val="16"/>
              </w:rPr>
              <w:t xml:space="preserve">Compare </w:t>
            </w:r>
            <w:r>
              <w:rPr>
                <w:rFonts w:ascii="Consolas" w:hAnsi="Consolas"/>
                <w:color w:val="3411A3"/>
                <w:sz w:val="15"/>
              </w:rPr>
              <w:t>_pull_info</w:t>
            </w:r>
            <w:r>
              <w:rPr>
                <w:sz w:val="16"/>
              </w:rPr>
              <w:t xml:space="preserve"> (scope, rule version, query hash). Check </w:t>
            </w:r>
            <w:r>
              <w:rPr>
                <w:rFonts w:ascii="Consolas" w:hAnsi="Consolas"/>
                <w:color w:val="3411A3"/>
                <w:sz w:val="15"/>
              </w:rPr>
              <w:t>all_txns</w:t>
            </w:r>
            <w:r>
              <w:rPr>
                <w:sz w:val="16"/>
              </w:rPr>
              <w:t xml:space="preserve"> against </w:t>
            </w:r>
            <w:r>
              <w:rPr>
                <w:rFonts w:ascii="Consolas" w:hAnsi="Consolas"/>
                <w:color w:val="3411A3"/>
                <w:sz w:val="15"/>
              </w:rPr>
              <w:t>core_txns</w:t>
            </w:r>
            <w:r>
              <w:rPr>
                <w:sz w:val="16"/>
              </w:rPr>
              <w:t xml:space="preserve">. Use </w:t>
            </w:r>
            <w:r>
              <w:rPr>
                <w:rFonts w:ascii="Consolas" w:hAnsi="Consolas"/>
                <w:color w:val="3411A3"/>
                <w:sz w:val="15"/>
              </w:rPr>
              <w:t>aggregate_summary</w:t>
            </w:r>
            <w:r>
              <w:rPr>
                <w:sz w:val="16"/>
              </w:rPr>
              <w:t xml:space="preserve"> for revenue. Do not change filters to force a match.</w:t>
            </w:r>
          </w:p>
        </w:tc>
      </w:tr>
    </w:tbl>
    <w:p>
      <w:pPr>
        <w:spacing w:after="80"/>
      </w:pPr>
    </w:p>
    <w:p>
      <w:pPr>
        <w:pStyle w:val="Heading2"/>
      </w:pPr>
      <w:r>
        <w:t>Support model</w:t>
      </w:r>
    </w:p>
    <w:p>
      <w:pPr>
        <w:keepNext/>
        <w:spacing w:before="160" w:after="80"/>
      </w:pPr>
      <w:r>
        <w:rPr>
          <w:b/>
          <w:color w:val="3411A3"/>
          <w:sz w:val="18"/>
        </w:rPr>
        <w:t xml:space="preserve">Table 15: </w:t>
      </w:r>
      <w:r>
        <w:rPr>
          <w:color w:val="3411A3"/>
          <w:sz w:val="18"/>
        </w:rPr>
        <w:t>Support tiers (names to be confirmed at handover)</w:t>
      </w:r>
    </w:p>
    <w:tbl>
      <w:tblPr>
        <w:tblStyle w:val="Style1"/>
        <w:tblLook w:firstColumn="1" w:firstRow="1" w:lastColumn="0" w:lastRow="0" w:noHBand="0" w:noVBand="1" w:val="04A0"/>
        <w:tblW w:w="9916" w:type="dxa"/>
        <w:tblCellMar>
          <w:top w:w="50" w:type="dxa"/>
          <w:left w:w="90" w:type="dxa"/>
          <w:bottom w:w="50" w:type="dxa"/>
          <w:right w:w="90" w:type="dxa"/>
        </w:tblCellMar>
        <w:tblLook w:val="04A0" w:firstRow="1" w:lastRow="0" w:firstColumn="0" w:lastColumn="0" w:noHBand="0" w:noVBand="1"/>
      </w:tblPr>
      <w:tblGrid>
        <w:gridCol w:w="1220"/>
        <w:gridCol w:w="3356"/>
        <w:gridCol w:w="5340"/>
      </w:tblGrid>
      <w:tr>
        <w:trPr>
          <w:tblHeader w:val="true"/>
          <w:trHeight w:val="397"/>
          <w:cantSplit w:val="true"/>
        </w:trPr>
        <w:tc>
          <w:tcPr>
            <w:tcW w:type="dxa" w:w="3306"/>
            <w:tcW w:w="1220" w:type="dxa"/>
          </w:tcPr>
          <w:p>
            <w:pPr>
              <w:spacing w:after="0" w:before="0"/>
            </w:pPr>
            <w:r>
              <w:rPr>
                <w:b/>
                <w:color w:val="FFFFFF"/>
                <w:sz w:val="17"/>
              </w:rPr>
              <w:t>Tier</w:t>
            </w:r>
          </w:p>
        </w:tc>
        <w:tc>
          <w:tcPr>
            <w:tcW w:type="dxa" w:w="3306"/>
            <w:tcW w:w="3356" w:type="dxa"/>
          </w:tcPr>
          <w:p>
            <w:pPr>
              <w:spacing w:after="0" w:before="0"/>
            </w:pPr>
            <w:r>
              <w:rPr>
                <w:b/>
                <w:color w:val="FFFFFF"/>
                <w:sz w:val="17"/>
              </w:rPr>
              <w:t>Who</w:t>
            </w:r>
          </w:p>
        </w:tc>
        <w:tc>
          <w:tcPr>
            <w:tcW w:type="dxa" w:w="3306"/>
            <w:tcW w:w="5340" w:type="dxa"/>
          </w:tcPr>
          <w:p>
            <w:pPr>
              <w:spacing w:after="0" w:before="0"/>
            </w:pPr>
            <w:r>
              <w:rPr>
                <w:b/>
                <w:color w:val="FFFFFF"/>
                <w:sz w:val="17"/>
              </w:rPr>
              <w:t>Handles</w:t>
            </w:r>
          </w:p>
        </w:tc>
      </w:tr>
      <w:tr>
        <w:trPr>
          <w:cantSplit w:val="true"/>
        </w:trPr>
        <w:tc>
          <w:tcPr>
            <w:tcW w:type="dxa" w:w="3306"/>
            <w:tcW w:w="1220" w:type="dxa"/>
          </w:tcPr>
          <w:p>
            <w:pPr>
              <w:spacing w:after="0" w:before="0"/>
            </w:pPr>
            <w:r>
              <w:rPr>
                <w:sz w:val="17"/>
              </w:rPr>
              <w:t>L1</w:t>
            </w:r>
          </w:p>
        </w:tc>
        <w:tc>
          <w:tcPr>
            <w:tcW w:type="dxa" w:w="3306"/>
            <w:tcW w:w="3356" w:type="dxa"/>
          </w:tcPr>
          <w:p>
            <w:pPr>
              <w:spacing w:after="0" w:before="0"/>
            </w:pPr>
            <w:r>
              <w:rPr>
                <w:sz w:val="17"/>
              </w:rPr>
              <w:t>Analyst / power user</w:t>
            </w:r>
          </w:p>
        </w:tc>
        <w:tc>
          <w:tcPr>
            <w:tcW w:type="dxa" w:w="3306"/>
            <w:tcW w:w="5340" w:type="dxa"/>
          </w:tcPr>
          <w:p>
            <w:pPr>
              <w:spacing w:after="0" w:before="0"/>
            </w:pPr>
            <w:r>
              <w:rPr>
                <w:sz w:val="17"/>
              </w:rPr>
              <w:t xml:space="preserve">Runs </w:t>
            </w:r>
            <w:r>
              <w:rPr>
                <w:rFonts w:ascii="Consolas" w:hAnsi="Consolas"/>
                <w:color w:val="3411A3"/>
                <w:sz w:val="16"/>
              </w:rPr>
              <w:t>health_check</w:t>
            </w:r>
            <w:r>
              <w:rPr>
                <w:sz w:val="17"/>
              </w:rPr>
              <w:t>, re-runs expired queries, looks up names in the catalog, closes files that block exports</w:t>
            </w:r>
          </w:p>
        </w:tc>
      </w:tr>
      <w:tr>
        <w:trPr>
          <w:cantSplit w:val="true"/>
        </w:trPr>
        <w:tc>
          <w:tcPr>
            <w:tcW w:type="dxa" w:w="3306"/>
            <w:tcW w:w="1220" w:type="dxa"/>
          </w:tcPr>
          <w:p>
            <w:pPr>
              <w:spacing w:after="0" w:before="0"/>
            </w:pPr>
            <w:r>
              <w:rPr>
                <w:sz w:val="17"/>
              </w:rPr>
              <w:t>L2</w:t>
            </w:r>
          </w:p>
        </w:tc>
        <w:tc>
          <w:tcPr>
            <w:tcW w:type="dxa" w:w="3306"/>
            <w:tcW w:w="3356" w:type="dxa"/>
          </w:tcPr>
          <w:p>
            <w:pPr>
              <w:spacing w:after="0" w:before="0"/>
            </w:pPr>
            <w:r>
              <w:rPr>
                <w:sz w:val="17"/>
              </w:rPr>
              <w:t>Solution engineer (owner of this repository)</w:t>
            </w:r>
          </w:p>
        </w:tc>
        <w:tc>
          <w:tcPr>
            <w:tcW w:type="dxa" w:w="3306"/>
            <w:tcW w:w="5340" w:type="dxa"/>
          </w:tcPr>
          <w:p>
            <w:pPr>
              <w:spacing w:after="0" w:before="0"/>
            </w:pPr>
            <w:r>
              <w:rPr>
                <w:sz w:val="17"/>
              </w:rPr>
              <w:t>Config and secrets, log review, query errors, validator issues, dependency updates, rule-version changes</w:t>
            </w:r>
          </w:p>
        </w:tc>
      </w:tr>
      <w:tr>
        <w:trPr>
          <w:cantSplit w:val="true"/>
        </w:trPr>
        <w:tc>
          <w:tcPr>
            <w:tcW w:type="dxa" w:w="3306"/>
            <w:tcW w:w="1220" w:type="dxa"/>
          </w:tcPr>
          <w:p>
            <w:pPr>
              <w:spacing w:after="0" w:before="0"/>
            </w:pPr>
            <w:r>
              <w:rPr>
                <w:sz w:val="17"/>
              </w:rPr>
              <w:t>L3</w:t>
            </w:r>
          </w:p>
        </w:tc>
        <w:tc>
          <w:tcPr>
            <w:tcW w:type="dxa" w:w="3306"/>
            <w:tcW w:w="3356" w:type="dxa"/>
          </w:tcPr>
          <w:p>
            <w:pPr>
              <w:spacing w:after="0" w:before="0"/>
            </w:pPr>
            <w:r>
              <w:rPr>
                <w:sz w:val="17"/>
              </w:rPr>
              <w:t>Fabric / data platform team</w:t>
            </w:r>
          </w:p>
        </w:tc>
        <w:tc>
          <w:tcPr>
            <w:tcW w:type="dxa" w:w="3306"/>
            <w:tcW w:w="5340" w:type="dxa"/>
          </w:tcPr>
          <w:p>
            <w:pPr>
              <w:spacing w:after="0" w:before="0"/>
            </w:pPr>
            <w:r>
              <w:rPr>
                <w:sz w:val="17"/>
              </w:rPr>
              <w:t xml:space="preserve">Capacity, permissions, tenant settings, schema changes, data quality in </w:t>
            </w:r>
            <w:r>
              <w:rPr>
                <w:rFonts w:ascii="Consolas" w:hAnsi="Consolas"/>
                <w:color w:val="3411A3"/>
                <w:sz w:val="16"/>
              </w:rPr>
              <w:t>datamart</w:t>
            </w:r>
          </w:p>
        </w:tc>
      </w:tr>
      <w:tr>
        <w:trPr>
          <w:cantSplit w:val="true"/>
        </w:trPr>
        <w:tc>
          <w:tcPr>
            <w:tcW w:type="dxa" w:w="3306"/>
            <w:tcW w:w="1220" w:type="dxa"/>
          </w:tcPr>
          <w:p>
            <w:pPr>
              <w:spacing w:after="0" w:before="0"/>
            </w:pPr>
            <w:r>
              <w:rPr>
                <w:sz w:val="17"/>
              </w:rPr>
              <w:t>Business owner</w:t>
            </w:r>
          </w:p>
        </w:tc>
        <w:tc>
          <w:tcPr>
            <w:tcW w:type="dxa" w:w="3306"/>
            <w:tcW w:w="3356" w:type="dxa"/>
          </w:tcPr>
          <w:p>
            <w:pPr>
              <w:spacing w:after="0" w:before="0"/>
            </w:pPr>
            <w:r>
              <w:rPr>
                <w:sz w:val="17"/>
              </w:rPr>
              <w:t>DSN analytics lead</w:t>
            </w:r>
          </w:p>
        </w:tc>
        <w:tc>
          <w:tcPr>
            <w:tcW w:type="dxa" w:w="3306"/>
            <w:tcW w:w="5340" w:type="dxa"/>
          </w:tcPr>
          <w:p>
            <w:pPr>
              <w:spacing w:after="0" w:before="0"/>
            </w:pPr>
            <w:r>
              <w:rPr>
                <w:sz w:val="17"/>
              </w:rPr>
              <w:t>Approves methodology changes and exclusion lists; signs off reconciliations</w:t>
            </w:r>
          </w:p>
        </w:tc>
      </w:tr>
    </w:tbl>
    <w:p>
      <w:pPr>
        <w:spacing w:after="80"/>
      </w:pPr>
    </w:p>
    <w:p>
      <w:r>
        <w:t xml:space="preserve">When escalating, include the </w:t>
      </w:r>
      <w:r>
        <w:rPr>
          <w:rFonts w:ascii="Consolas" w:hAnsi="Consolas"/>
          <w:color w:val="3411A3"/>
          <w:sz w:val="18"/>
        </w:rPr>
        <w:t>query_id</w:t>
      </w:r>
      <w:r>
        <w:t xml:space="preserve">, the report and scope, the </w:t>
      </w:r>
      <w:r>
        <w:rPr>
          <w:rFonts w:ascii="Consolas" w:hAnsi="Consolas"/>
          <w:color w:val="3411A3"/>
          <w:sz w:val="18"/>
        </w:rPr>
        <w:t>business_rule_version</w:t>
      </w:r>
      <w:r>
        <w:t xml:space="preserve">, the </w:t>
      </w:r>
      <w:r>
        <w:rPr>
          <w:rFonts w:ascii="Consolas" w:hAnsi="Consolas"/>
          <w:color w:val="3411A3"/>
          <w:sz w:val="18"/>
        </w:rPr>
        <w:t>_pull_info</w:t>
      </w:r>
      <w:r>
        <w:t xml:space="preserve"> sheet (if exported), the exact error text and the time. Never include </w:t>
      </w:r>
      <w:r>
        <w:rPr>
          <w:rFonts w:ascii="Consolas" w:hAnsi="Consolas"/>
          <w:color w:val="3411A3"/>
          <w:sz w:val="18"/>
        </w:rPr>
        <w:t>.env</w:t>
      </w:r>
      <w:r>
        <w:t xml:space="preserve"> contents.</w:t>
      </w:r>
    </w:p>
    <w:p>
      <w:pPr>
        <w:pStyle w:val="Heading1"/>
        <w:pageBreakBefore/>
      </w:pPr>
      <w:r>
        <w:t>Known issues, limitations and assumptions</w:t>
      </w:r>
    </w:p>
    <w:p>
      <w:pPr>
        <w:pStyle w:val="Heading2"/>
      </w:pPr>
      <w:r>
        <w:t>Known issues</w:t>
      </w:r>
    </w:p>
    <w:p>
      <w:r>
        <w:t xml:space="preserve">These were found during the code review for this document. None of them stops the current local deployment, but several must be fixed before a shared server deployment (marked </w:t>
      </w:r>
      <w:r>
        <w:rPr>
          <w:b/>
        </w:rPr>
        <w:t>S</w:t>
      </w:r>
      <w:r>
        <w:t>).</w:t>
      </w:r>
    </w:p>
    <w:p>
      <w:pPr>
        <w:keepNext/>
        <w:spacing w:before="160" w:after="80"/>
      </w:pPr>
      <w:r>
        <w:rPr>
          <w:b/>
          <w:color w:val="3411A3"/>
          <w:sz w:val="18"/>
        </w:rPr>
        <w:t xml:space="preserve">Table 16: </w:t>
      </w:r>
      <w:r>
        <w:rPr>
          <w:color w:val="3411A3"/>
          <w:sz w:val="18"/>
        </w:rPr>
        <w:t>Known issues (S = must fix before server deployment)</w:t>
      </w:r>
    </w:p>
    <w:tbl>
      <w:tblPr>
        <w:tblStyle w:val="Style1"/>
        <w:tblLook w:firstColumn="1" w:firstRow="1" w:lastColumn="0" w:lastRow="0" w:noHBand="0" w:noVBand="1" w:val="04A0"/>
        <w:tblW w:w="9916" w:type="dxa"/>
        <w:tblCellMar>
          <w:top w:w="50" w:type="dxa"/>
          <w:left w:w="90" w:type="dxa"/>
          <w:bottom w:w="50" w:type="dxa"/>
          <w:right w:w="90" w:type="dxa"/>
        </w:tblCellMar>
        <w:tblLook w:val="04A0" w:firstRow="1" w:lastRow="0" w:firstColumn="0" w:lastColumn="0" w:noHBand="0" w:noVBand="1"/>
      </w:tblPr>
      <w:tblGrid>
        <w:gridCol w:w="839"/>
        <w:gridCol w:w="3356"/>
        <w:gridCol w:w="2746"/>
        <w:gridCol w:w="2975"/>
      </w:tblGrid>
      <w:tr>
        <w:trPr>
          <w:tblHeader w:val="true"/>
          <w:trHeight w:val="397"/>
          <w:cantSplit w:val="true"/>
        </w:trPr>
        <w:tc>
          <w:tcPr>
            <w:tcW w:type="dxa" w:w="2479"/>
            <w:tcW w:w="839" w:type="dxa"/>
          </w:tcPr>
          <w:p>
            <w:pPr>
              <w:spacing w:after="0" w:before="0"/>
            </w:pPr>
            <w:r>
              <w:rPr>
                <w:b/>
                <w:color w:val="FFFFFF"/>
                <w:sz w:val="15"/>
              </w:rPr>
              <w:t>ID</w:t>
            </w:r>
          </w:p>
        </w:tc>
        <w:tc>
          <w:tcPr>
            <w:tcW w:type="dxa" w:w="2479"/>
            <w:tcW w:w="3356" w:type="dxa"/>
          </w:tcPr>
          <w:p>
            <w:pPr>
              <w:spacing w:after="0" w:before="0"/>
            </w:pPr>
            <w:r>
              <w:rPr>
                <w:b/>
                <w:color w:val="FFFFFF"/>
                <w:sz w:val="15"/>
              </w:rPr>
              <w:t>Issue</w:t>
            </w:r>
          </w:p>
        </w:tc>
        <w:tc>
          <w:tcPr>
            <w:tcW w:type="dxa" w:w="2479"/>
            <w:tcW w:w="2746" w:type="dxa"/>
          </w:tcPr>
          <w:p>
            <w:pPr>
              <w:spacing w:after="0" w:before="0"/>
            </w:pPr>
            <w:r>
              <w:rPr>
                <w:b/>
                <w:color w:val="FFFFFF"/>
                <w:sz w:val="15"/>
              </w:rPr>
              <w:t>Impact</w:t>
            </w:r>
          </w:p>
        </w:tc>
        <w:tc>
          <w:tcPr>
            <w:tcW w:type="dxa" w:w="2479"/>
            <w:tcW w:w="2975" w:type="dxa"/>
          </w:tcPr>
          <w:p>
            <w:pPr>
              <w:spacing w:after="0" w:before="0"/>
            </w:pPr>
            <w:r>
              <w:rPr>
                <w:b/>
                <w:color w:val="FFFFFF"/>
                <w:sz w:val="15"/>
              </w:rPr>
              <w:t>Recommendation</w:t>
            </w:r>
          </w:p>
        </w:tc>
      </w:tr>
      <w:tr>
        <w:trPr>
          <w:cantSplit w:val="true"/>
        </w:trPr>
        <w:tc>
          <w:tcPr>
            <w:tcW w:type="dxa" w:w="2479"/>
            <w:tcW w:w="839" w:type="dxa"/>
          </w:tcPr>
          <w:p>
            <w:pPr>
              <w:spacing w:after="0" w:before="0"/>
            </w:pPr>
            <w:r>
              <w:rPr>
                <w:sz w:val="15"/>
              </w:rPr>
              <w:t>KI-01</w:t>
            </w:r>
          </w:p>
        </w:tc>
        <w:tc>
          <w:tcPr>
            <w:tcW w:type="dxa" w:w="2479"/>
            <w:tcW w:w="3356" w:type="dxa"/>
          </w:tcPr>
          <w:p>
            <w:pPr>
              <w:spacing w:after="0" w:before="0"/>
            </w:pPr>
            <w:r>
              <w:rPr>
                <w:rFonts w:ascii="Consolas" w:hAnsi="Consolas"/>
                <w:color w:val="3411A3"/>
                <w:sz w:val="14"/>
              </w:rPr>
              <w:t>exports/</w:t>
            </w:r>
            <w:r>
              <w:rPr>
                <w:sz w:val="15"/>
              </w:rPr>
              <w:t xml:space="preserve"> is never cleaned up; TTL clean-up only covers </w:t>
            </w:r>
            <w:r>
              <w:rPr>
                <w:rFonts w:ascii="Consolas" w:hAnsi="Consolas"/>
                <w:color w:val="3411A3"/>
                <w:sz w:val="14"/>
              </w:rPr>
              <w:t>runtime/results/</w:t>
            </w:r>
            <w:r>
              <w:rPr>
                <w:sz w:val="15"/>
              </w:rPr>
              <w:t>.</w:t>
            </w:r>
          </w:p>
        </w:tc>
        <w:tc>
          <w:tcPr>
            <w:tcW w:type="dxa" w:w="2479"/>
            <w:tcW w:w="2746" w:type="dxa"/>
          </w:tcPr>
          <w:p>
            <w:pPr>
              <w:spacing w:after="0" w:before="0"/>
            </w:pPr>
            <w:r>
              <w:rPr>
                <w:sz w:val="15"/>
              </w:rPr>
              <w:t>Sensitive XLSX files pile up on disk indefinitely.</w:t>
            </w:r>
          </w:p>
        </w:tc>
        <w:tc>
          <w:tcPr>
            <w:tcW w:type="dxa" w:w="2479"/>
            <w:tcW w:w="2975" w:type="dxa"/>
          </w:tcPr>
          <w:p>
            <w:pPr>
              <w:spacing w:after="0" w:before="0"/>
            </w:pPr>
            <w:r>
              <w:rPr>
                <w:sz w:val="15"/>
              </w:rPr>
              <w:t xml:space="preserve">Add an export TTL or purge job. </w:t>
            </w:r>
            <w:r>
              <w:rPr>
                <w:b/>
                <w:sz w:val="15"/>
              </w:rPr>
              <w:t>S</w:t>
            </w:r>
          </w:p>
        </w:tc>
      </w:tr>
      <w:tr>
        <w:trPr>
          <w:cantSplit w:val="true"/>
        </w:trPr>
        <w:tc>
          <w:tcPr>
            <w:tcW w:type="dxa" w:w="2479"/>
            <w:tcW w:w="839" w:type="dxa"/>
          </w:tcPr>
          <w:p>
            <w:pPr>
              <w:spacing w:after="0" w:before="0"/>
            </w:pPr>
            <w:r>
              <w:rPr>
                <w:sz w:val="15"/>
              </w:rPr>
              <w:t>KI-02</w:t>
            </w:r>
          </w:p>
        </w:tc>
        <w:tc>
          <w:tcPr>
            <w:tcW w:type="dxa" w:w="2479"/>
            <w:tcW w:w="3356" w:type="dxa"/>
          </w:tcPr>
          <w:p>
            <w:pPr>
              <w:spacing w:after="0" w:before="0"/>
            </w:pPr>
            <w:r>
              <w:rPr>
                <w:rFonts w:ascii="Consolas" w:hAnsi="Consolas"/>
                <w:color w:val="3411A3"/>
                <w:sz w:val="14"/>
              </w:rPr>
              <w:t>dealer_service_summary</w:t>
            </w:r>
            <w:r>
              <w:rPr>
                <w:sz w:val="15"/>
              </w:rPr>
              <w:t xml:space="preserve"> takes the parent name from </w:t>
            </w:r>
            <w:r>
              <w:rPr>
                <w:rFonts w:ascii="Consolas" w:hAnsi="Consolas"/>
                <w:color w:val="3411A3"/>
                <w:sz w:val="14"/>
              </w:rPr>
              <w:t>dim_customer.parent_customer_name</w:t>
            </w:r>
            <w:r>
              <w:rPr>
                <w:sz w:val="15"/>
              </w:rPr>
              <w:t xml:space="preserve"> and uses INNER JOINs, while </w:t>
            </w:r>
            <w:r>
              <w:rPr>
                <w:rFonts w:ascii="Consolas" w:hAnsi="Consolas"/>
                <w:color w:val="3411A3"/>
                <w:sz w:val="14"/>
              </w:rPr>
              <w:t>core_transactions</w:t>
            </w:r>
            <w:r>
              <w:rPr>
                <w:sz w:val="15"/>
              </w:rPr>
              <w:t xml:space="preserve"> and parent detail use </w:t>
            </w:r>
            <w:r>
              <w:rPr>
                <w:rFonts w:ascii="Consolas" w:hAnsi="Consolas"/>
                <w:color w:val="3411A3"/>
                <w:sz w:val="14"/>
              </w:rPr>
              <w:t>dim_parent_customer</w:t>
            </w:r>
            <w:r>
              <w:rPr>
                <w:sz w:val="15"/>
              </w:rPr>
              <w:t xml:space="preserve"> through </w:t>
            </w:r>
            <w:r>
              <w:rPr>
                <w:rFonts w:ascii="Consolas" w:hAnsi="Consolas"/>
                <w:color w:val="3411A3"/>
                <w:sz w:val="14"/>
              </w:rPr>
              <w:t>parent_customer_key</w:t>
            </w:r>
            <w:r>
              <w:rPr>
                <w:sz w:val="15"/>
              </w:rPr>
              <w:t xml:space="preserve"> with LEFT JOINs.</w:t>
            </w:r>
          </w:p>
        </w:tc>
        <w:tc>
          <w:tcPr>
            <w:tcW w:type="dxa" w:w="2479"/>
            <w:tcW w:w="2746" w:type="dxa"/>
          </w:tcPr>
          <w:p>
            <w:pPr>
              <w:spacing w:after="0" w:before="0"/>
            </w:pPr>
            <w:r>
              <w:rPr>
                <w:sz w:val="15"/>
              </w:rPr>
              <w:t xml:space="preserve">The same </w:t>
            </w:r>
            <w:r>
              <w:rPr>
                <w:rFonts w:ascii="Consolas" w:hAnsi="Consolas"/>
                <w:color w:val="3411A3"/>
                <w:sz w:val="14"/>
              </w:rPr>
              <w:t>parent_customer</w:t>
            </w:r>
            <w:r>
              <w:rPr>
                <w:sz w:val="15"/>
              </w:rPr>
              <w:t xml:space="preserve"> filter can give different populations and totals in different reports.</w:t>
            </w:r>
          </w:p>
        </w:tc>
        <w:tc>
          <w:tcPr>
            <w:tcW w:type="dxa" w:w="2479"/>
            <w:tcW w:w="2975" w:type="dxa"/>
          </w:tcPr>
          <w:p>
            <w:pPr>
              <w:spacing w:after="0" w:before="0"/>
            </w:pPr>
            <w:r>
              <w:rPr>
                <w:sz w:val="15"/>
              </w:rPr>
              <w:t>Confirm the intended source with the business and align the joins.</w:t>
            </w:r>
          </w:p>
        </w:tc>
      </w:tr>
      <w:tr>
        <w:trPr>
          <w:cantSplit w:val="true"/>
        </w:trPr>
        <w:tc>
          <w:tcPr>
            <w:tcW w:type="dxa" w:w="2479"/>
            <w:tcW w:w="839" w:type="dxa"/>
          </w:tcPr>
          <w:p>
            <w:pPr>
              <w:spacing w:after="0" w:before="0"/>
            </w:pPr>
            <w:r>
              <w:rPr>
                <w:sz w:val="15"/>
              </w:rPr>
              <w:t>KI-03</w:t>
            </w:r>
          </w:p>
        </w:tc>
        <w:tc>
          <w:tcPr>
            <w:tcW w:type="dxa" w:w="2479"/>
            <w:tcW w:w="3356" w:type="dxa"/>
          </w:tcPr>
          <w:p>
            <w:pPr>
              <w:spacing w:after="0" w:before="0"/>
            </w:pPr>
            <w:r>
              <w:rPr>
                <w:rFonts w:ascii="Consolas" w:hAnsi="Consolas"/>
                <w:color w:val="3411A3"/>
                <w:sz w:val="14"/>
              </w:rPr>
              <w:t>core_transactions</w:t>
            </w:r>
            <w:r>
              <w:rPr>
                <w:sz w:val="15"/>
              </w:rPr>
              <w:t xml:space="preserve"> revenue is a </w:t>
            </w:r>
            <w:r>
              <w:rPr>
                <w:rFonts w:ascii="Consolas" w:hAnsi="Consolas"/>
                <w:color w:val="3411A3"/>
                <w:sz w:val="14"/>
              </w:rPr>
              <w:t>SUM</w:t>
            </w:r>
            <w:r>
              <w:rPr>
                <w:sz w:val="15"/>
              </w:rPr>
              <w:t xml:space="preserve"> across dimension joins.</w:t>
            </w:r>
          </w:p>
        </w:tc>
        <w:tc>
          <w:tcPr>
            <w:tcW w:type="dxa" w:w="2479"/>
            <w:tcW w:w="2746" w:type="dxa"/>
          </w:tcPr>
          <w:p>
            <w:pPr>
              <w:spacing w:after="0" w:before="0"/>
            </w:pPr>
            <w:r>
              <w:rPr>
                <w:sz w:val="15"/>
              </w:rPr>
              <w:t>Revenue can be overstated by fan-out (documented and warned in the response).</w:t>
            </w:r>
          </w:p>
        </w:tc>
        <w:tc>
          <w:tcPr>
            <w:tcW w:type="dxa" w:w="2479"/>
            <w:tcW w:w="2975" w:type="dxa"/>
          </w:tcPr>
          <w:p>
            <w:pPr>
              <w:spacing w:after="0" w:before="0"/>
            </w:pPr>
            <w:r>
              <w:rPr>
                <w:sz w:val="15"/>
              </w:rPr>
              <w:t>Keep the warning. Consider removing revenue from this report.</w:t>
            </w:r>
          </w:p>
        </w:tc>
      </w:tr>
      <w:tr>
        <w:trPr>
          <w:cantSplit w:val="true"/>
        </w:trPr>
        <w:tc>
          <w:tcPr>
            <w:tcW w:type="dxa" w:w="2479"/>
            <w:tcW w:w="839" w:type="dxa"/>
          </w:tcPr>
          <w:p>
            <w:pPr>
              <w:spacing w:after="0" w:before="0"/>
            </w:pPr>
            <w:r>
              <w:rPr>
                <w:sz w:val="15"/>
              </w:rPr>
              <w:t>KI-04</w:t>
            </w:r>
          </w:p>
        </w:tc>
        <w:tc>
          <w:tcPr>
            <w:tcW w:type="dxa" w:w="2479"/>
            <w:tcW w:w="3356" w:type="dxa"/>
          </w:tcPr>
          <w:p>
            <w:pPr>
              <w:spacing w:after="0" w:before="0"/>
            </w:pPr>
            <w:r>
              <w:rPr>
                <w:rFonts w:ascii="Consolas" w:hAnsi="Consolas"/>
                <w:color w:val="3411A3"/>
                <w:sz w:val="14"/>
              </w:rPr>
              <w:t>t.source = 'efs'</w:t>
            </w:r>
            <w:r>
              <w:rPr>
                <w:sz w:val="15"/>
              </w:rPr>
              <w:t>, the aggregate exclusions and the EOMV filters are exact, case-sensitive matches. Fabric Warehouse's default collation is case-sensitive.</w:t>
            </w:r>
          </w:p>
        </w:tc>
        <w:tc>
          <w:tcPr>
            <w:tcW w:type="dxa" w:w="2479"/>
            <w:tcW w:w="2746" w:type="dxa"/>
          </w:tcPr>
          <w:p>
            <w:pPr>
              <w:spacing w:after="0" w:before="0"/>
            </w:pPr>
            <w:r>
              <w:rPr>
                <w:sz w:val="15"/>
              </w:rPr>
              <w:t>If casing or whitespace changes upstream, rows are silently misclassified.</w:t>
            </w:r>
          </w:p>
        </w:tc>
        <w:tc>
          <w:tcPr>
            <w:tcW w:type="dxa" w:w="2479"/>
            <w:tcW w:w="2975" w:type="dxa"/>
          </w:tcPr>
          <w:p>
            <w:pPr>
              <w:spacing w:after="0" w:before="0"/>
            </w:pPr>
            <w:r>
              <w:rPr>
                <w:sz w:val="15"/>
              </w:rPr>
              <w:t>Normalise as the reference report does (</w:t>
            </w:r>
            <w:r>
              <w:rPr>
                <w:rFonts w:ascii="Consolas" w:hAnsi="Consolas"/>
                <w:color w:val="3411A3"/>
                <w:sz w:val="14"/>
              </w:rPr>
              <w:t>LOWER(LTRIM(RTRIM(...)))</w:t>
            </w:r>
            <w:r>
              <w:rPr>
                <w:sz w:val="15"/>
              </w:rPr>
              <w:t>), or add data-quality checks.</w:t>
            </w:r>
          </w:p>
        </w:tc>
      </w:tr>
      <w:tr>
        <w:trPr>
          <w:cantSplit w:val="true"/>
        </w:trPr>
        <w:tc>
          <w:tcPr>
            <w:tcW w:type="dxa" w:w="2479"/>
            <w:tcW w:w="839" w:type="dxa"/>
          </w:tcPr>
          <w:p>
            <w:pPr>
              <w:spacing w:after="0" w:before="0"/>
            </w:pPr>
            <w:r>
              <w:rPr>
                <w:sz w:val="15"/>
              </w:rPr>
              <w:t>KI-05</w:t>
            </w:r>
          </w:p>
        </w:tc>
        <w:tc>
          <w:tcPr>
            <w:tcW w:type="dxa" w:w="2479"/>
            <w:tcW w:w="3356" w:type="dxa"/>
          </w:tcPr>
          <w:p>
            <w:pPr>
              <w:spacing w:after="0" w:before="0"/>
            </w:pPr>
            <w:r>
              <w:rPr>
                <w:sz w:val="15"/>
              </w:rPr>
              <w:t xml:space="preserve">The ad-hoc validator lets one-part table names through (they resolve to the default schema), rejects keywords inside bracketed identifiers, and catalog </w:t>
            </w:r>
            <w:r>
              <w:rPr>
                <w:rFonts w:ascii="Consolas" w:hAnsi="Consolas"/>
                <w:color w:val="3411A3"/>
                <w:sz w:val="14"/>
              </w:rPr>
              <w:t>LIKE</w:t>
            </w:r>
            <w:r>
              <w:rPr>
                <w:sz w:val="15"/>
              </w:rPr>
              <w:t xml:space="preserve"> searches do not escape </w:t>
            </w:r>
            <w:r>
              <w:rPr>
                <w:rFonts w:ascii="Consolas" w:hAnsi="Consolas"/>
                <w:color w:val="3411A3"/>
                <w:sz w:val="14"/>
              </w:rPr>
              <w:t>%</w:t>
            </w:r>
            <w:r>
              <w:rPr>
                <w:sz w:val="15"/>
              </w:rPr>
              <w:t xml:space="preserve"> or </w:t>
            </w:r>
            <w:r>
              <w:rPr>
                <w:rFonts w:ascii="Consolas" w:hAnsi="Consolas"/>
                <w:color w:val="3411A3"/>
                <w:sz w:val="14"/>
              </w:rPr>
              <w:t>_</w:t>
            </w:r>
            <w:r>
              <w:rPr>
                <w:sz w:val="15"/>
              </w:rPr>
              <w:t>.</w:t>
            </w:r>
          </w:p>
        </w:tc>
        <w:tc>
          <w:tcPr>
            <w:tcW w:type="dxa" w:w="2479"/>
            <w:tcW w:w="2746" w:type="dxa"/>
          </w:tcPr>
          <w:p>
            <w:pPr>
              <w:spacing w:after="0" w:before="0"/>
            </w:pPr>
            <w:r>
              <w:rPr>
                <w:sz w:val="15"/>
              </w:rPr>
              <w:t>The schema allow-list can be bypassed, and some valid queries are wrongly rejected.</w:t>
            </w:r>
          </w:p>
        </w:tc>
        <w:tc>
          <w:tcPr>
            <w:tcW w:type="dxa" w:w="2479"/>
            <w:tcW w:w="2975" w:type="dxa"/>
          </w:tcPr>
          <w:p>
            <w:pPr>
              <w:spacing w:after="0" w:before="0"/>
            </w:pPr>
            <w:r>
              <w:rPr>
                <w:sz w:val="15"/>
              </w:rPr>
              <w:t xml:space="preserve">Rely on Fabric permissions. Consider a proper SQL parser such as </w:t>
            </w:r>
            <w:r>
              <w:rPr>
                <w:rFonts w:ascii="Consolas" w:hAnsi="Consolas"/>
                <w:color w:val="3411A3"/>
                <w:sz w:val="14"/>
              </w:rPr>
              <w:t>sqlglot</w:t>
            </w:r>
            <w:r>
              <w:rPr>
                <w:sz w:val="15"/>
              </w:rPr>
              <w:t xml:space="preserve">, or disable ad-hoc SQL in production. </w:t>
            </w:r>
            <w:r>
              <w:rPr>
                <w:b/>
                <w:sz w:val="15"/>
              </w:rPr>
              <w:t>S</w:t>
            </w:r>
          </w:p>
        </w:tc>
      </w:tr>
      <w:tr>
        <w:trPr>
          <w:cantSplit w:val="true"/>
        </w:trPr>
        <w:tc>
          <w:tcPr>
            <w:tcW w:type="dxa" w:w="2479"/>
            <w:tcW w:w="839" w:type="dxa"/>
          </w:tcPr>
          <w:p>
            <w:pPr>
              <w:spacing w:after="0" w:before="0"/>
            </w:pPr>
            <w:r>
              <w:rPr>
                <w:sz w:val="15"/>
              </w:rPr>
              <w:t>KI-06</w:t>
            </w:r>
          </w:p>
        </w:tc>
        <w:tc>
          <w:tcPr>
            <w:tcW w:type="dxa" w:w="2479"/>
            <w:tcW w:w="3356" w:type="dxa"/>
          </w:tcPr>
          <w:p>
            <w:pPr>
              <w:spacing w:after="0" w:before="0"/>
            </w:pPr>
            <w:r>
              <w:rPr>
                <w:rFonts w:ascii="Consolas" w:hAnsi="Consolas"/>
                <w:color w:val="3411A3"/>
                <w:sz w:val="14"/>
              </w:rPr>
              <w:t>FABRIC_DEFAULT_PREVIEW_ROWS</w:t>
            </w:r>
            <w:r>
              <w:rPr>
                <w:sz w:val="15"/>
              </w:rPr>
              <w:t xml:space="preserve"> is not used, and the 500 preview limit is built into the code. </w:t>
            </w:r>
            <w:r>
              <w:rPr>
                <w:rFonts w:ascii="Consolas" w:hAnsi="Consolas"/>
                <w:color w:val="3411A3"/>
                <w:sz w:val="14"/>
              </w:rPr>
              <w:t>FABRIC_WORKSPACE_ID</w:t>
            </w:r>
            <w:r>
              <w:rPr>
                <w:sz w:val="15"/>
              </w:rPr>
              <w:t>/</w:t>
            </w:r>
            <w:r>
              <w:rPr>
                <w:rFonts w:ascii="Consolas" w:hAnsi="Consolas"/>
                <w:color w:val="3411A3"/>
                <w:sz w:val="14"/>
              </w:rPr>
              <w:t>WAREHOUSE_ID</w:t>
            </w:r>
            <w:r>
              <w:rPr>
                <w:sz w:val="15"/>
              </w:rPr>
              <w:t xml:space="preserve"> are not used.</w:t>
            </w:r>
          </w:p>
        </w:tc>
        <w:tc>
          <w:tcPr>
            <w:tcW w:type="dxa" w:w="2479"/>
            <w:tcW w:w="2746" w:type="dxa"/>
          </w:tcPr>
          <w:p>
            <w:pPr>
              <w:spacing w:after="0" w:before="0"/>
            </w:pPr>
            <w:r>
              <w:rPr>
                <w:sz w:val="15"/>
              </w:rPr>
              <w:t>The configuration suggests settings that have no effect.</w:t>
            </w:r>
          </w:p>
        </w:tc>
        <w:tc>
          <w:tcPr>
            <w:tcW w:type="dxa" w:w="2479"/>
            <w:tcW w:w="2975" w:type="dxa"/>
          </w:tcPr>
          <w:p>
            <w:pPr>
              <w:spacing w:after="0" w:before="0"/>
            </w:pPr>
            <w:r>
              <w:rPr>
                <w:sz w:val="15"/>
              </w:rPr>
              <w:t>Wire them up or remove them.</w:t>
            </w:r>
          </w:p>
        </w:tc>
      </w:tr>
      <w:tr>
        <w:trPr>
          <w:cantSplit w:val="true"/>
        </w:trPr>
        <w:tc>
          <w:tcPr>
            <w:tcW w:type="dxa" w:w="2479"/>
            <w:tcW w:w="839" w:type="dxa"/>
          </w:tcPr>
          <w:p>
            <w:pPr>
              <w:spacing w:after="0" w:before="0"/>
            </w:pPr>
            <w:r>
              <w:rPr>
                <w:sz w:val="15"/>
              </w:rPr>
              <w:t>KI-07</w:t>
            </w:r>
          </w:p>
        </w:tc>
        <w:tc>
          <w:tcPr>
            <w:tcW w:type="dxa" w:w="2479"/>
            <w:tcW w:w="3356" w:type="dxa"/>
          </w:tcPr>
          <w:p>
            <w:pPr>
              <w:spacing w:after="0" w:before="0"/>
            </w:pPr>
            <w:r>
              <w:rPr>
                <w:rFonts w:ascii="Consolas" w:hAnsi="Consolas"/>
                <w:color w:val="3411A3"/>
                <w:sz w:val="14"/>
              </w:rPr>
              <w:t>health_check</w:t>
            </w:r>
            <w:r>
              <w:rPr>
                <w:sz w:val="15"/>
              </w:rPr>
              <w:t xml:space="preserve"> tests </w:t>
            </w:r>
            <w:r>
              <w:rPr>
                <w:rFonts w:ascii="Consolas" w:hAnsi="Consolas"/>
                <w:color w:val="3411A3"/>
                <w:sz w:val="14"/>
              </w:rPr>
              <w:t>dwh_report</w:t>
            </w:r>
            <w:r>
              <w:rPr>
                <w:sz w:val="15"/>
              </w:rPr>
              <w:t xml:space="preserve"> only.</w:t>
            </w:r>
          </w:p>
        </w:tc>
        <w:tc>
          <w:tcPr>
            <w:tcW w:type="dxa" w:w="2479"/>
            <w:tcW w:w="2746" w:type="dxa"/>
          </w:tcPr>
          <w:p>
            <w:pPr>
              <w:spacing w:after="0" w:before="0"/>
            </w:pPr>
            <w:r>
              <w:rPr>
                <w:sz w:val="15"/>
              </w:rPr>
              <w:t>A broken MVD/</w:t>
            </w:r>
            <w:r>
              <w:rPr>
                <w:rFonts w:ascii="Consolas" w:hAnsi="Consolas"/>
                <w:color w:val="3411A3"/>
                <w:sz w:val="14"/>
              </w:rPr>
              <w:t>lh_transform</w:t>
            </w:r>
            <w:r>
              <w:rPr>
                <w:sz w:val="15"/>
              </w:rPr>
              <w:t xml:space="preserve"> connection only shows up when someone runs a query.</w:t>
            </w:r>
          </w:p>
        </w:tc>
        <w:tc>
          <w:tcPr>
            <w:tcW w:type="dxa" w:w="2479"/>
            <w:tcW w:w="2975" w:type="dxa"/>
          </w:tcPr>
          <w:p>
            <w:pPr>
              <w:spacing w:after="0" w:before="0"/>
            </w:pPr>
            <w:r>
              <w:rPr>
                <w:sz w:val="15"/>
              </w:rPr>
              <w:t>Add an optional check of the transform target.</w:t>
            </w:r>
          </w:p>
        </w:tc>
      </w:tr>
      <w:tr>
        <w:trPr>
          <w:cantSplit w:val="true"/>
        </w:trPr>
        <w:tc>
          <w:tcPr>
            <w:tcW w:type="dxa" w:w="2479"/>
            <w:tcW w:w="839" w:type="dxa"/>
          </w:tcPr>
          <w:p>
            <w:pPr>
              <w:spacing w:after="0" w:before="0"/>
            </w:pPr>
            <w:r>
              <w:rPr>
                <w:sz w:val="15"/>
              </w:rPr>
              <w:t>KI-08</w:t>
            </w:r>
          </w:p>
        </w:tc>
        <w:tc>
          <w:tcPr>
            <w:tcW w:type="dxa" w:w="2479"/>
            <w:tcW w:w="3356" w:type="dxa"/>
          </w:tcPr>
          <w:p>
            <w:pPr>
              <w:spacing w:after="0" w:before="0"/>
            </w:pPr>
            <w:r>
              <w:rPr>
                <w:rFonts w:ascii="Consolas" w:hAnsi="Consolas"/>
                <w:color w:val="3411A3"/>
                <w:sz w:val="14"/>
              </w:rPr>
              <w:t>get_page</w:t>
            </w:r>
            <w:r>
              <w:rPr>
                <w:sz w:val="15"/>
              </w:rPr>
              <w:t xml:space="preserve"> reads the JSONL file from the beginning every time.</w:t>
            </w:r>
          </w:p>
        </w:tc>
        <w:tc>
          <w:tcPr>
            <w:tcW w:type="dxa" w:w="2479"/>
            <w:tcW w:w="2746" w:type="dxa"/>
          </w:tcPr>
          <w:p>
            <w:pPr>
              <w:spacing w:after="0" w:before="0"/>
            </w:pPr>
            <w:r>
              <w:rPr>
                <w:sz w:val="15"/>
              </w:rPr>
              <w:t>Pages deep into a 250,000-row result are slow.</w:t>
            </w:r>
          </w:p>
        </w:tc>
        <w:tc>
          <w:tcPr>
            <w:tcW w:type="dxa" w:w="2479"/>
            <w:tcW w:w="2975" w:type="dxa"/>
          </w:tcPr>
          <w:p>
            <w:pPr>
              <w:spacing w:after="0" w:before="0"/>
            </w:pPr>
            <w:r>
              <w:rPr>
                <w:sz w:val="15"/>
              </w:rPr>
              <w:t>Store byte offsets, or switch to a columnar or SQLite cache.</w:t>
            </w:r>
          </w:p>
        </w:tc>
      </w:tr>
      <w:tr>
        <w:trPr>
          <w:cantSplit w:val="true"/>
        </w:trPr>
        <w:tc>
          <w:tcPr>
            <w:tcW w:type="dxa" w:w="2479"/>
            <w:tcW w:w="839" w:type="dxa"/>
          </w:tcPr>
          <w:p>
            <w:pPr>
              <w:spacing w:after="0" w:before="0"/>
            </w:pPr>
            <w:r>
              <w:rPr>
                <w:sz w:val="15"/>
              </w:rPr>
              <w:t>KI-09</w:t>
            </w:r>
          </w:p>
        </w:tc>
        <w:tc>
          <w:tcPr>
            <w:tcW w:type="dxa" w:w="2479"/>
            <w:tcW w:w="3356" w:type="dxa"/>
          </w:tcPr>
          <w:p>
            <w:pPr>
              <w:spacing w:after="0" w:before="0"/>
            </w:pPr>
            <w:r>
              <w:rPr>
                <w:sz w:val="15"/>
              </w:rPr>
              <w:t>Export builds the whole workbook in memory and applies number formats cell by cell after loading.</w:t>
            </w:r>
          </w:p>
        </w:tc>
        <w:tc>
          <w:tcPr>
            <w:tcW w:type="dxa" w:w="2479"/>
            <w:tcW w:w="2746" w:type="dxa"/>
          </w:tcPr>
          <w:p>
            <w:pPr>
              <w:spacing w:after="0" w:before="0"/>
            </w:pPr>
            <w:r>
              <w:rPr>
                <w:sz w:val="15"/>
              </w:rPr>
              <w:t>Large exports are slow and use a lot of memory.</w:t>
            </w:r>
          </w:p>
        </w:tc>
        <w:tc>
          <w:tcPr>
            <w:tcW w:type="dxa" w:w="2479"/>
            <w:tcW w:w="2975" w:type="dxa"/>
          </w:tcPr>
          <w:p>
            <w:pPr>
              <w:spacing w:after="0" w:before="0"/>
            </w:pPr>
            <w:r>
              <w:rPr>
                <w:sz w:val="15"/>
              </w:rPr>
              <w:t xml:space="preserve">Use openpyxl </w:t>
            </w:r>
            <w:r>
              <w:rPr>
                <w:rFonts w:ascii="Consolas" w:hAnsi="Consolas"/>
                <w:color w:val="3411A3"/>
                <w:sz w:val="14"/>
              </w:rPr>
              <w:t>write_only</w:t>
            </w:r>
            <w:r>
              <w:rPr>
                <w:sz w:val="15"/>
              </w:rPr>
              <w:t xml:space="preserve"> mode and set formats while writing rows. </w:t>
            </w:r>
            <w:r>
              <w:rPr>
                <w:b/>
                <w:sz w:val="15"/>
              </w:rPr>
              <w:t>S</w:t>
            </w:r>
          </w:p>
        </w:tc>
      </w:tr>
      <w:tr>
        <w:trPr>
          <w:cantSplit w:val="true"/>
        </w:trPr>
        <w:tc>
          <w:tcPr>
            <w:tcW w:type="dxa" w:w="2479"/>
            <w:tcW w:w="839" w:type="dxa"/>
          </w:tcPr>
          <w:p>
            <w:pPr>
              <w:spacing w:after="0" w:before="0"/>
            </w:pPr>
            <w:r>
              <w:rPr>
                <w:sz w:val="15"/>
              </w:rPr>
              <w:t>KI-10</w:t>
            </w:r>
          </w:p>
        </w:tc>
        <w:tc>
          <w:tcPr>
            <w:tcW w:type="dxa" w:w="2479"/>
            <w:tcW w:w="3356" w:type="dxa"/>
          </w:tcPr>
          <w:p>
            <w:pPr>
              <w:spacing w:after="0" w:before="0"/>
            </w:pPr>
            <w:r>
              <w:rPr>
                <w:rFonts w:ascii="Consolas" w:hAnsi="Consolas"/>
                <w:color w:val="3411A3"/>
                <w:sz w:val="14"/>
              </w:rPr>
              <w:t>meta.json</w:t>
            </w:r>
            <w:r>
              <w:rPr>
                <w:sz w:val="15"/>
              </w:rPr>
              <w:t xml:space="preserve"> is read, changed and rewritten without locks, and service set-up is not thread-safe. The SDK runs tool calls in worker threads.</w:t>
            </w:r>
          </w:p>
        </w:tc>
        <w:tc>
          <w:tcPr>
            <w:tcW w:type="dxa" w:w="2479"/>
            <w:tcW w:w="2746" w:type="dxa"/>
          </w:tcPr>
          <w:p>
            <w:pPr>
              <w:spacing w:after="0" w:before="0"/>
            </w:pPr>
            <w:r>
              <w:rPr>
                <w:sz w:val="15"/>
              </w:rPr>
              <w:t>Concurrent calls, or several worker processes, can race and corrupt metadata.</w:t>
            </w:r>
          </w:p>
        </w:tc>
        <w:tc>
          <w:tcPr>
            <w:tcW w:type="dxa" w:w="2479"/>
            <w:tcW w:w="2975" w:type="dxa"/>
          </w:tcPr>
          <w:p>
            <w:pPr>
              <w:spacing w:after="0" w:before="0"/>
            </w:pPr>
            <w:r>
              <w:rPr>
                <w:sz w:val="15"/>
              </w:rPr>
              <w:t xml:space="preserve">Add locking or move metadata to a transactional store. </w:t>
            </w:r>
            <w:r>
              <w:rPr>
                <w:b/>
                <w:sz w:val="15"/>
              </w:rPr>
              <w:t>S</w:t>
            </w:r>
          </w:p>
        </w:tc>
      </w:tr>
      <w:tr>
        <w:trPr>
          <w:cantSplit w:val="true"/>
        </w:trPr>
        <w:tc>
          <w:tcPr>
            <w:tcW w:type="dxa" w:w="2479"/>
            <w:tcW w:w="839" w:type="dxa"/>
          </w:tcPr>
          <w:p>
            <w:pPr>
              <w:spacing w:after="0" w:before="0"/>
            </w:pPr>
            <w:r>
              <w:rPr>
                <w:sz w:val="15"/>
              </w:rPr>
              <w:t>KI-11</w:t>
            </w:r>
          </w:p>
        </w:tc>
        <w:tc>
          <w:tcPr>
            <w:tcW w:type="dxa" w:w="2479"/>
            <w:tcW w:w="3356" w:type="dxa"/>
          </w:tcPr>
          <w:p>
            <w:pPr>
              <w:spacing w:after="0" w:before="0"/>
            </w:pPr>
            <w:r>
              <w:rPr>
                <w:sz w:val="15"/>
              </w:rPr>
              <w:t>Raw ODBC error text is passed back to Claude (</w:t>
            </w:r>
            <w:r>
              <w:rPr>
                <w:rFonts w:ascii="Consolas" w:hAnsi="Consolas"/>
                <w:color w:val="3411A3"/>
                <w:sz w:val="14"/>
              </w:rPr>
              <w:t>Query failed: ...</w:t>
            </w:r>
            <w:r>
              <w:rPr>
                <w:sz w:val="15"/>
              </w:rPr>
              <w:t>).</w:t>
            </w:r>
          </w:p>
        </w:tc>
        <w:tc>
          <w:tcPr>
            <w:tcW w:type="dxa" w:w="2479"/>
            <w:tcW w:w="2746" w:type="dxa"/>
          </w:tcPr>
          <w:p>
            <w:pPr>
              <w:spacing w:after="0" w:before="0"/>
            </w:pPr>
            <w:r>
              <w:rPr>
                <w:sz w:val="15"/>
              </w:rPr>
              <w:t>May reveal internal object names to the user.</w:t>
            </w:r>
          </w:p>
        </w:tc>
        <w:tc>
          <w:tcPr>
            <w:tcW w:type="dxa" w:w="2479"/>
            <w:tcW w:w="2975" w:type="dxa"/>
          </w:tcPr>
          <w:p>
            <w:pPr>
              <w:spacing w:after="0" w:before="0"/>
            </w:pPr>
            <w:r>
              <w:rPr>
                <w:sz w:val="15"/>
              </w:rPr>
              <w:t xml:space="preserve">Log the full error on the server and return a sanitised message plus a correlation ID. </w:t>
            </w:r>
            <w:r>
              <w:rPr>
                <w:b/>
                <w:sz w:val="15"/>
              </w:rPr>
              <w:t>S</w:t>
            </w:r>
          </w:p>
        </w:tc>
      </w:tr>
      <w:tr>
        <w:trPr>
          <w:cantSplit w:val="true"/>
        </w:trPr>
        <w:tc>
          <w:tcPr>
            <w:tcW w:type="dxa" w:w="2479"/>
            <w:tcW w:w="839" w:type="dxa"/>
          </w:tcPr>
          <w:p>
            <w:pPr>
              <w:spacing w:after="0" w:before="0"/>
            </w:pPr>
            <w:r>
              <w:rPr>
                <w:sz w:val="15"/>
              </w:rPr>
              <w:t>KI-12</w:t>
            </w:r>
          </w:p>
        </w:tc>
        <w:tc>
          <w:tcPr>
            <w:tcW w:type="dxa" w:w="2479"/>
            <w:tcW w:w="3356" w:type="dxa"/>
          </w:tcPr>
          <w:p>
            <w:pPr>
              <w:spacing w:after="0" w:before="0"/>
            </w:pPr>
            <w:r>
              <w:rPr>
                <w:sz w:val="15"/>
              </w:rPr>
              <w:t xml:space="preserve">If the driver does not support </w:t>
            </w:r>
            <w:r>
              <w:rPr>
                <w:rFonts w:ascii="Consolas" w:hAnsi="Consolas"/>
                <w:color w:val="3411A3"/>
                <w:sz w:val="14"/>
              </w:rPr>
              <w:t>cursor.timeout</w:t>
            </w:r>
            <w:r>
              <w:rPr>
                <w:sz w:val="15"/>
              </w:rPr>
              <w:t>, the error is silently ignored.</w:t>
            </w:r>
          </w:p>
        </w:tc>
        <w:tc>
          <w:tcPr>
            <w:tcW w:type="dxa" w:w="2479"/>
            <w:tcW w:w="2746" w:type="dxa"/>
          </w:tcPr>
          <w:p>
            <w:pPr>
              <w:spacing w:after="0" w:before="0"/>
            </w:pPr>
            <w:r>
              <w:rPr>
                <w:sz w:val="15"/>
              </w:rPr>
              <w:t>The query timeout may not be enforced.</w:t>
            </w:r>
          </w:p>
        </w:tc>
        <w:tc>
          <w:tcPr>
            <w:tcW w:type="dxa" w:w="2479"/>
            <w:tcW w:w="2975" w:type="dxa"/>
          </w:tcPr>
          <w:p>
            <w:pPr>
              <w:spacing w:after="0" w:before="0"/>
            </w:pPr>
            <w:r>
              <w:rPr>
                <w:sz w:val="15"/>
              </w:rPr>
              <w:t>Log when the timeout cannot be set, and use Fabric query limits as a backstop.</w:t>
            </w:r>
          </w:p>
        </w:tc>
      </w:tr>
      <w:tr>
        <w:trPr>
          <w:cantSplit w:val="true"/>
        </w:trPr>
        <w:tc>
          <w:tcPr>
            <w:tcW w:type="dxa" w:w="2479"/>
            <w:tcW w:w="839" w:type="dxa"/>
          </w:tcPr>
          <w:p>
            <w:pPr>
              <w:spacing w:after="0" w:before="0"/>
            </w:pPr>
            <w:r>
              <w:rPr>
                <w:sz w:val="15"/>
              </w:rPr>
              <w:t>KI-13</w:t>
            </w:r>
          </w:p>
        </w:tc>
        <w:tc>
          <w:tcPr>
            <w:tcW w:type="dxa" w:w="2479"/>
            <w:tcW w:w="3356" w:type="dxa"/>
          </w:tcPr>
          <w:p>
            <w:pPr>
              <w:spacing w:after="0" w:before="0"/>
            </w:pPr>
            <w:r>
              <w:rPr>
                <w:sz w:val="15"/>
              </w:rPr>
              <w:t>The skill exists both as a folder and as a zip in the repository.</w:t>
            </w:r>
          </w:p>
        </w:tc>
        <w:tc>
          <w:tcPr>
            <w:tcW w:type="dxa" w:w="2479"/>
            <w:tcW w:w="2746" w:type="dxa"/>
          </w:tcPr>
          <w:p>
            <w:pPr>
              <w:spacing w:after="0" w:before="0"/>
            </w:pPr>
            <w:r>
              <w:rPr>
                <w:sz w:val="15"/>
              </w:rPr>
              <w:t>The two copies can drift apart.</w:t>
            </w:r>
          </w:p>
        </w:tc>
        <w:tc>
          <w:tcPr>
            <w:tcW w:type="dxa" w:w="2479"/>
            <w:tcW w:w="2975" w:type="dxa"/>
          </w:tcPr>
          <w:p>
            <w:pPr>
              <w:spacing w:after="0" w:before="0"/>
            </w:pPr>
            <w:r>
              <w:rPr>
                <w:sz w:val="15"/>
              </w:rPr>
              <w:t>Build the zip in CI and stop committing it.</w:t>
            </w:r>
          </w:p>
        </w:tc>
      </w:tr>
    </w:tbl>
    <w:p>
      <w:pPr>
        <w:spacing w:after="80"/>
      </w:pPr>
    </w:p>
    <w:p>
      <w:pPr>
        <w:pStyle w:val="Heading2"/>
      </w:pPr>
      <w:r>
        <w:t>Limitations</w:t>
      </w:r>
    </w:p>
    <w:p>
      <w:pPr>
        <w:pStyle w:val="Bullet"/>
      </w:pPr>
      <w:r>
        <w:rPr>
          <w:b/>
        </w:rPr>
        <w:t>Local, single-user only.</w:t>
      </w:r>
      <w:r>
        <w:t xml:space="preserve"> The server uses stdio, so it runs as a child process of one Claude Desktop install. There is no remote access, shared cache or central audit log.</w:t>
      </w:r>
    </w:p>
    <w:p>
      <w:pPr>
        <w:pStyle w:val="Bullet"/>
      </w:pPr>
      <w:r>
        <w:rPr>
          <w:b/>
        </w:rPr>
        <w:t>One identity for all users.</w:t>
      </w:r>
      <w:r>
        <w:t xml:space="preserve"> Every query runs as the same Service Principal, so Fabric row-level security cannot be applied per user and Fabric audit logs show the SP, not the analyst.</w:t>
      </w:r>
    </w:p>
    <w:p>
      <w:pPr>
        <w:pStyle w:val="Bullet"/>
      </w:pPr>
      <w:r>
        <w:rPr>
          <w:b/>
        </w:rPr>
        <w:t>Exports are local files.</w:t>
      </w:r>
      <w:r>
        <w:t xml:space="preserve"> </w:t>
      </w:r>
      <w:r>
        <w:rPr>
          <w:rFonts w:ascii="Consolas" w:hAnsi="Consolas"/>
          <w:color w:val="3411A3"/>
          <w:sz w:val="18"/>
        </w:rPr>
        <w:t>export_path</w:t>
      </w:r>
      <w:r>
        <w:t xml:space="preserve"> and </w:t>
      </w:r>
      <w:r>
        <w:rPr>
          <w:rFonts w:ascii="Consolas" w:hAnsi="Consolas"/>
          <w:color w:val="3411A3"/>
          <w:sz w:val="18"/>
        </w:rPr>
        <w:t>export_uri</w:t>
      </w:r>
      <w:r>
        <w:t xml:space="preserve"> are </w:t>
      </w:r>
      <w:r>
        <w:rPr>
          <w:rFonts w:ascii="Consolas" w:hAnsi="Consolas"/>
          <w:color w:val="3411A3"/>
          <w:sz w:val="18"/>
        </w:rPr>
        <w:t>file://</w:t>
      </w:r>
      <w:r>
        <w:t xml:space="preserve"> paths on the machine running the server.</w:t>
      </w:r>
    </w:p>
    <w:p>
      <w:pPr>
        <w:pStyle w:val="Bullet"/>
      </w:pPr>
      <w:r>
        <w:rPr>
          <w:b/>
        </w:rPr>
        <w:t>Fixed set of reports.</w:t>
      </w:r>
      <w:r>
        <w:t xml:space="preserve"> Only seven workflows are approved. Anything else needs the ad-hoc fallback (where the methodology is not enforced) or a code change.</w:t>
      </w:r>
    </w:p>
    <w:p>
      <w:pPr>
        <w:pStyle w:val="Bullet"/>
      </w:pPr>
      <w:r>
        <w:rPr>
          <w:b/>
        </w:rPr>
        <w:t>Date windows.</w:t>
      </w:r>
      <w:r>
        <w:t xml:space="preserve"> </w:t>
      </w:r>
      <w:r>
        <w:rPr>
          <w:rFonts w:ascii="Consolas" w:hAnsi="Consolas"/>
          <w:color w:val="3411A3"/>
          <w:sz w:val="18"/>
        </w:rPr>
        <w:t>months</w:t>
      </w:r>
      <w:r>
        <w:t xml:space="preserve"> must be contiguous within one </w:t>
      </w:r>
      <w:r>
        <w:rPr>
          <w:rFonts w:ascii="Consolas" w:hAnsi="Consolas"/>
          <w:color w:val="3411A3"/>
          <w:sz w:val="18"/>
        </w:rPr>
        <w:t>year</w:t>
      </w:r>
      <w:r>
        <w:t xml:space="preserve">. Windows that cross a year boundary need </w:t>
      </w:r>
      <w:r>
        <w:rPr>
          <w:rFonts w:ascii="Consolas" w:hAnsi="Consolas"/>
          <w:color w:val="3411A3"/>
          <w:sz w:val="18"/>
        </w:rPr>
        <w:t>from_date</w:t>
      </w:r>
      <w:r>
        <w:t xml:space="preserve"> and </w:t>
      </w:r>
      <w:r>
        <w:rPr>
          <w:rFonts w:ascii="Consolas" w:hAnsi="Consolas"/>
          <w:color w:val="3411A3"/>
          <w:sz w:val="18"/>
        </w:rPr>
        <w:t>to_date</w:t>
      </w:r>
      <w:r>
        <w:t>. Comparing non-contiguous periods means running separate queries.</w:t>
      </w:r>
    </w:p>
    <w:p>
      <w:pPr>
        <w:pStyle w:val="Bullet"/>
      </w:pPr>
      <w:r>
        <w:rPr>
          <w:b/>
        </w:rPr>
        <w:t>Size limits.</w:t>
      </w:r>
      <w:r>
        <w:t xml:space="preserve"> Each dataset is capped at </w:t>
      </w:r>
      <w:r>
        <w:rPr>
          <w:rFonts w:ascii="Consolas" w:hAnsi="Consolas"/>
          <w:color w:val="3411A3"/>
          <w:sz w:val="18"/>
        </w:rPr>
        <w:t>FABRIC_MAX_RESULT_ROWS</w:t>
      </w:r>
      <w:r>
        <w:t xml:space="preserve"> (250,000 by default). Excel's limit of 1,048,576 rows per sheet sets the practical ceiling if the cap is raised.</w:t>
      </w:r>
    </w:p>
    <w:p>
      <w:pPr>
        <w:pStyle w:val="Bullet"/>
      </w:pPr>
      <w:r>
        <w:rPr>
          <w:b/>
        </w:rPr>
        <w:t>No result reuse.</w:t>
      </w:r>
      <w:r>
        <w:t xml:space="preserve"> Running the same query twice queries Fabric twice. The cache is for paging and export only.</w:t>
      </w:r>
    </w:p>
    <w:p>
      <w:pPr>
        <w:pStyle w:val="Bullet"/>
      </w:pPr>
      <w:r>
        <w:rPr>
          <w:b/>
        </w:rPr>
        <w:t>No CI pipeline.</w:t>
      </w:r>
      <w:r>
        <w:t xml:space="preserve"> Tests are run by hand.</w:t>
      </w:r>
    </w:p>
    <w:p>
      <w:pPr>
        <w:pStyle w:val="Heading2"/>
      </w:pPr>
      <w:r>
        <w:t>Assumptions</w:t>
      </w:r>
    </w:p>
    <w:p>
      <w:pPr>
        <w:pStyle w:val="Bullet"/>
      </w:pPr>
      <w:r>
        <w:t xml:space="preserve">The Fabric schema is stable: </w:t>
      </w:r>
      <w:r>
        <w:rPr>
          <w:rFonts w:ascii="Consolas" w:hAnsi="Consolas"/>
          <w:color w:val="3411A3"/>
          <w:sz w:val="18"/>
        </w:rPr>
        <w:t>datamart.fact_transaction</w:t>
      </w:r>
      <w:r>
        <w:t xml:space="preserve"> and the </w:t>
      </w:r>
      <w:r>
        <w:rPr>
          <w:rFonts w:ascii="Consolas" w:hAnsi="Consolas"/>
          <w:color w:val="3411A3"/>
          <w:sz w:val="18"/>
        </w:rPr>
        <w:t>dim_*</w:t>
      </w:r>
      <w:r>
        <w:t xml:space="preserve"> tables, and </w:t>
      </w:r>
      <w:r>
        <w:rPr>
          <w:rFonts w:ascii="Consolas" w:hAnsi="Consolas"/>
          <w:color w:val="3411A3"/>
          <w:sz w:val="18"/>
        </w:rPr>
        <w:t>mvd.transaction</w:t>
      </w:r>
      <w:r>
        <w:t>, keep the column names used in the templates.</w:t>
      </w:r>
    </w:p>
    <w:p>
      <w:pPr>
        <w:pStyle w:val="Bullet"/>
      </w:pPr>
      <w:r>
        <w:rPr>
          <w:rFonts w:ascii="Consolas" w:hAnsi="Consolas"/>
          <w:color w:val="3411A3"/>
          <w:sz w:val="18"/>
        </w:rPr>
        <w:t>transaction_id</w:t>
      </w:r>
      <w:r>
        <w:t xml:space="preserve"> is the business transaction key. Fact rows can repeat it because of service-level fan-out.</w:t>
      </w:r>
    </w:p>
    <w:p>
      <w:pPr>
        <w:pStyle w:val="Bullet"/>
      </w:pPr>
      <w:r>
        <w:t>Source codes are stored in lower case (</w:t>
      </w:r>
      <w:r>
        <w:rPr>
          <w:rFonts w:ascii="Consolas" w:hAnsi="Consolas"/>
          <w:color w:val="3411A3"/>
          <w:sz w:val="18"/>
        </w:rPr>
        <w:t>efs</w:t>
      </w:r>
      <w:r>
        <w:t xml:space="preserve">, </w:t>
      </w:r>
      <w:r>
        <w:rPr>
          <w:rFonts w:ascii="Consolas" w:hAnsi="Consolas"/>
          <w:color w:val="3411A3"/>
          <w:sz w:val="18"/>
        </w:rPr>
        <w:t>atares</w:t>
      </w:r>
      <w:r>
        <w:t>) and sub-service names match the approved list once upper-cased.</w:t>
      </w:r>
    </w:p>
    <w:p>
      <w:pPr>
        <w:pStyle w:val="Bullet"/>
      </w:pPr>
      <w:r>
        <w:rPr>
          <w:rFonts w:ascii="Consolas" w:hAnsi="Consolas"/>
          <w:color w:val="3411A3"/>
          <w:sz w:val="18"/>
        </w:rPr>
        <w:t>dim_entity.agency_code</w:t>
      </w:r>
      <w:r>
        <w:t xml:space="preserve"> is the authoritative agency mapping, and agency_code is NULL for EOMV retail rows.</w:t>
      </w:r>
    </w:p>
    <w:p>
      <w:pPr>
        <w:pStyle w:val="Bullet"/>
      </w:pPr>
      <w:r>
        <w:t xml:space="preserve">The aggregate exclusion lists are </w:t>
      </w:r>
      <w:r>
        <w:rPr>
          <w:b/>
        </w:rPr>
        <w:t>provisional</w:t>
      </w:r>
      <w:r>
        <w:t xml:space="preserve"> and still need formal business sign-off. The reference lists copy the legacy reference workbook.</w:t>
      </w:r>
    </w:p>
    <w:p>
      <w:pPr>
        <w:pStyle w:val="Bullet"/>
      </w:pPr>
      <w:r>
        <w:rPr>
          <w:rFonts w:ascii="Consolas" w:hAnsi="Consolas"/>
          <w:color w:val="3411A3"/>
          <w:sz w:val="18"/>
        </w:rPr>
        <w:t>DSNL</w:t>
      </w:r>
      <w:r>
        <w:t xml:space="preserve"> behaviour is a cube or service-line effect, not missing data (as stated in the skill).</w:t>
      </w:r>
    </w:p>
    <w:p>
      <w:pPr>
        <w:pStyle w:val="Bullet"/>
      </w:pPr>
      <w:r>
        <w:t>The Service Principal is read-only and limited to the schemas the server needs.</w:t>
      </w:r>
    </w:p>
    <w:p>
      <w:pPr>
        <w:pStyle w:val="Bullet"/>
      </w:pPr>
      <w:r>
        <w:t>Analyst workstations are managed, encrypted and not synced to uncontrolled storage, because cached results and exports contain business-sensitive data.</w:t>
      </w:r>
    </w:p>
    <w:p>
      <w:pPr>
        <w:pStyle w:val="Heading1"/>
        <w:pageBreakBefore/>
      </w:pPr>
      <w:r>
        <w:t>Recommended next steps and enhancements</w:t>
      </w:r>
    </w:p>
    <w:p>
      <w:pPr>
        <w:keepNext/>
        <w:spacing w:before="160" w:after="80"/>
      </w:pPr>
      <w:r>
        <w:rPr>
          <w:b/>
          <w:color w:val="3411A3"/>
          <w:sz w:val="18"/>
        </w:rPr>
        <w:t xml:space="preserve">Table 17: </w:t>
      </w:r>
      <w:r>
        <w:rPr>
          <w:color w:val="3411A3"/>
          <w:sz w:val="18"/>
        </w:rPr>
        <w:t>Prioritised roadmap (effort: S &lt; 1 week, M 1-3 weeks, L &gt; 3 weeks)</w:t>
      </w:r>
    </w:p>
    <w:tbl>
      <w:tblPr>
        <w:tblStyle w:val="Style1"/>
        <w:tblLook w:firstColumn="1" w:firstRow="1" w:lastColumn="0" w:lastRow="0" w:noHBand="0" w:noVBand="1" w:val="04A0"/>
        <w:tblW w:w="9917" w:type="dxa"/>
        <w:tblCellMar>
          <w:top w:w="50" w:type="dxa"/>
          <w:left w:w="90" w:type="dxa"/>
          <w:bottom w:w="50" w:type="dxa"/>
          <w:right w:w="90" w:type="dxa"/>
        </w:tblCellMar>
        <w:tblLook w:val="04A0" w:firstRow="1" w:lastRow="0" w:firstColumn="0" w:lastColumn="0" w:noHBand="0" w:noVBand="1"/>
      </w:tblPr>
      <w:tblGrid>
        <w:gridCol w:w="1144"/>
        <w:gridCol w:w="4196"/>
        <w:gridCol w:w="3509"/>
        <w:gridCol w:w="1068"/>
      </w:tblGrid>
      <w:tr>
        <w:trPr>
          <w:tblHeader w:val="true"/>
          <w:trHeight w:val="397"/>
          <w:cantSplit w:val="true"/>
        </w:trPr>
        <w:tc>
          <w:tcPr>
            <w:tcW w:type="dxa" w:w="2479"/>
            <w:tcW w:w="1144" w:type="dxa"/>
          </w:tcPr>
          <w:p>
            <w:pPr>
              <w:spacing w:after="0" w:before="0"/>
            </w:pPr>
            <w:r>
              <w:rPr>
                <w:b/>
                <w:color w:val="FFFFFF"/>
                <w:sz w:val="16"/>
              </w:rPr>
              <w:t>Priority</w:t>
            </w:r>
          </w:p>
        </w:tc>
        <w:tc>
          <w:tcPr>
            <w:tcW w:type="dxa" w:w="2479"/>
            <w:tcW w:w="4196" w:type="dxa"/>
          </w:tcPr>
          <w:p>
            <w:pPr>
              <w:spacing w:after="0" w:before="0"/>
            </w:pPr>
            <w:r>
              <w:rPr>
                <w:b/>
                <w:color w:val="FFFFFF"/>
                <w:sz w:val="16"/>
              </w:rPr>
              <w:t>Recommendation</w:t>
            </w:r>
          </w:p>
        </w:tc>
        <w:tc>
          <w:tcPr>
            <w:tcW w:type="dxa" w:w="2479"/>
            <w:tcW w:w="3509" w:type="dxa"/>
          </w:tcPr>
          <w:p>
            <w:pPr>
              <w:spacing w:after="0" w:before="0"/>
            </w:pPr>
            <w:r>
              <w:rPr>
                <w:b/>
                <w:color w:val="FFFFFF"/>
                <w:sz w:val="16"/>
              </w:rPr>
              <w:t>Why</w:t>
            </w:r>
          </w:p>
        </w:tc>
        <w:tc>
          <w:tcPr>
            <w:tcW w:type="dxa" w:w="2479"/>
            <w:tcW w:w="1068" w:type="dxa"/>
          </w:tcPr>
          <w:p>
            <w:pPr>
              <w:spacing w:after="0" w:before="0"/>
            </w:pPr>
            <w:r>
              <w:rPr>
                <w:b/>
                <w:color w:val="FFFFFF"/>
                <w:sz w:val="16"/>
              </w:rPr>
              <w:t>Effort</w:t>
            </w:r>
          </w:p>
        </w:tc>
      </w:tr>
      <w:tr>
        <w:trPr>
          <w:cantSplit w:val="true"/>
        </w:trPr>
        <w:tc>
          <w:tcPr>
            <w:tcW w:type="dxa" w:w="2479"/>
            <w:tcW w:w="1144" w:type="dxa"/>
          </w:tcPr>
          <w:p>
            <w:pPr>
              <w:spacing w:after="0" w:before="0"/>
            </w:pPr>
            <w:r>
              <w:rPr>
                <w:sz w:val="16"/>
              </w:rPr>
              <w:t>High</w:t>
            </w:r>
          </w:p>
        </w:tc>
        <w:tc>
          <w:tcPr>
            <w:tcW w:type="dxa" w:w="2479"/>
            <w:tcW w:w="4196" w:type="dxa"/>
          </w:tcPr>
          <w:p>
            <w:pPr>
              <w:spacing w:after="0" w:before="0"/>
            </w:pPr>
            <w:r>
              <w:rPr>
                <w:sz w:val="16"/>
              </w:rPr>
              <w:t>Get business sign-off on the provisional aggregate exclusions and on the parent-customer source (KI-02)</w:t>
            </w:r>
          </w:p>
        </w:tc>
        <w:tc>
          <w:tcPr>
            <w:tcW w:type="dxa" w:w="2479"/>
            <w:tcW w:w="3509" w:type="dxa"/>
          </w:tcPr>
          <w:p>
            <w:pPr>
              <w:spacing w:after="0" w:before="0"/>
            </w:pPr>
            <w:r>
              <w:rPr>
                <w:sz w:val="16"/>
              </w:rPr>
              <w:t>These directly affect reported numbers</w:t>
            </w:r>
          </w:p>
        </w:tc>
        <w:tc>
          <w:tcPr>
            <w:tcW w:type="dxa" w:w="2479"/>
            <w:tcW w:w="1068" w:type="dxa"/>
          </w:tcPr>
          <w:p>
            <w:pPr>
              <w:spacing w:after="0" w:before="0"/>
            </w:pPr>
            <w:r>
              <w:rPr>
                <w:sz w:val="16"/>
              </w:rPr>
              <w:t>S</w:t>
            </w:r>
          </w:p>
        </w:tc>
      </w:tr>
      <w:tr>
        <w:trPr>
          <w:cantSplit w:val="true"/>
        </w:trPr>
        <w:tc>
          <w:tcPr>
            <w:tcW w:type="dxa" w:w="2479"/>
            <w:tcW w:w="1144" w:type="dxa"/>
          </w:tcPr>
          <w:p>
            <w:pPr>
              <w:spacing w:after="0" w:before="0"/>
            </w:pPr>
            <w:r>
              <w:rPr>
                <w:sz w:val="16"/>
              </w:rPr>
              <w:t>High</w:t>
            </w:r>
          </w:p>
        </w:tc>
        <w:tc>
          <w:tcPr>
            <w:tcW w:type="dxa" w:w="2479"/>
            <w:tcW w:w="4196" w:type="dxa"/>
          </w:tcPr>
          <w:p>
            <w:pPr>
              <w:spacing w:after="0" w:before="0"/>
            </w:pPr>
            <w:r>
              <w:rPr>
                <w:sz w:val="16"/>
              </w:rPr>
              <w:t>Build golden-number regression tests from reconciled months for each report</w:t>
            </w:r>
          </w:p>
        </w:tc>
        <w:tc>
          <w:tcPr>
            <w:tcW w:type="dxa" w:w="2479"/>
            <w:tcW w:w="3509" w:type="dxa"/>
          </w:tcPr>
          <w:p>
            <w:pPr>
              <w:spacing w:after="0" w:before="0"/>
            </w:pPr>
            <w:r>
              <w:rPr>
                <w:sz w:val="16"/>
              </w:rPr>
              <w:t>Catches changes in methodology or schema before users do</w:t>
            </w:r>
          </w:p>
        </w:tc>
        <w:tc>
          <w:tcPr>
            <w:tcW w:type="dxa" w:w="2479"/>
            <w:tcW w:w="1068" w:type="dxa"/>
          </w:tcPr>
          <w:p>
            <w:pPr>
              <w:spacing w:after="0" w:before="0"/>
            </w:pPr>
            <w:r>
              <w:rPr>
                <w:sz w:val="16"/>
              </w:rPr>
              <w:t>M</w:t>
            </w:r>
          </w:p>
        </w:tc>
      </w:tr>
      <w:tr>
        <w:trPr>
          <w:cantSplit w:val="true"/>
        </w:trPr>
        <w:tc>
          <w:tcPr>
            <w:tcW w:type="dxa" w:w="2479"/>
            <w:tcW w:w="1144" w:type="dxa"/>
          </w:tcPr>
          <w:p>
            <w:pPr>
              <w:spacing w:after="0" w:before="0"/>
            </w:pPr>
            <w:r>
              <w:rPr>
                <w:sz w:val="16"/>
              </w:rPr>
              <w:t>High</w:t>
            </w:r>
          </w:p>
        </w:tc>
        <w:tc>
          <w:tcPr>
            <w:tcW w:type="dxa" w:w="2479"/>
            <w:tcW w:w="4196" w:type="dxa"/>
          </w:tcPr>
          <w:p>
            <w:pPr>
              <w:spacing w:after="0" w:before="0"/>
            </w:pPr>
            <w:r>
              <w:rPr>
                <w:sz w:val="16"/>
              </w:rPr>
              <w:t>Set up CI (for example GitHub Actions or Azure DevOps): unit tests, linting, a pinned lock file and a skill zip build</w:t>
            </w:r>
          </w:p>
        </w:tc>
        <w:tc>
          <w:tcPr>
            <w:tcW w:type="dxa" w:w="2479"/>
            <w:tcW w:w="3509" w:type="dxa"/>
          </w:tcPr>
          <w:p>
            <w:pPr>
              <w:spacing w:after="0" w:before="0"/>
            </w:pPr>
            <w:r>
              <w:rPr>
                <w:sz w:val="16"/>
              </w:rPr>
              <w:t>Repeatable, reviewable releases</w:t>
            </w:r>
          </w:p>
        </w:tc>
        <w:tc>
          <w:tcPr>
            <w:tcW w:type="dxa" w:w="2479"/>
            <w:tcW w:w="1068" w:type="dxa"/>
          </w:tcPr>
          <w:p>
            <w:pPr>
              <w:spacing w:after="0" w:before="0"/>
            </w:pPr>
            <w:r>
              <w:rPr>
                <w:sz w:val="16"/>
              </w:rPr>
              <w:t>S</w:t>
            </w:r>
          </w:p>
        </w:tc>
      </w:tr>
      <w:tr>
        <w:trPr>
          <w:cantSplit w:val="true"/>
        </w:trPr>
        <w:tc>
          <w:tcPr>
            <w:tcW w:type="dxa" w:w="2479"/>
            <w:tcW w:w="1144" w:type="dxa"/>
          </w:tcPr>
          <w:p>
            <w:pPr>
              <w:spacing w:after="0" w:before="0"/>
            </w:pPr>
            <w:r>
              <w:rPr>
                <w:sz w:val="16"/>
              </w:rPr>
              <w:t>High</w:t>
            </w:r>
          </w:p>
        </w:tc>
        <w:tc>
          <w:tcPr>
            <w:tcW w:type="dxa" w:w="2479"/>
            <w:tcW w:w="4196" w:type="dxa"/>
          </w:tcPr>
          <w:p>
            <w:pPr>
              <w:spacing w:after="0" w:before="0"/>
            </w:pPr>
            <w:r>
              <w:rPr>
                <w:sz w:val="16"/>
              </w:rPr>
              <w:t>Fix KI-01, KI-04 and KI-06</w:t>
            </w:r>
          </w:p>
        </w:tc>
        <w:tc>
          <w:tcPr>
            <w:tcW w:type="dxa" w:w="2479"/>
            <w:tcW w:w="3509" w:type="dxa"/>
          </w:tcPr>
          <w:p>
            <w:pPr>
              <w:spacing w:after="0" w:before="0"/>
            </w:pPr>
            <w:r>
              <w:rPr>
                <w:sz w:val="16"/>
              </w:rPr>
              <w:t>Data retention, correctness and configuration clarity</w:t>
            </w:r>
          </w:p>
        </w:tc>
        <w:tc>
          <w:tcPr>
            <w:tcW w:type="dxa" w:w="2479"/>
            <w:tcW w:w="1068" w:type="dxa"/>
          </w:tcPr>
          <w:p>
            <w:pPr>
              <w:spacing w:after="0" w:before="0"/>
            </w:pPr>
            <w:r>
              <w:rPr>
                <w:sz w:val="16"/>
              </w:rPr>
              <w:t>S</w:t>
            </w:r>
          </w:p>
        </w:tc>
      </w:tr>
      <w:tr>
        <w:trPr>
          <w:cantSplit w:val="true"/>
        </w:trPr>
        <w:tc>
          <w:tcPr>
            <w:tcW w:type="dxa" w:w="2479"/>
            <w:tcW w:w="1144" w:type="dxa"/>
          </w:tcPr>
          <w:p>
            <w:pPr>
              <w:spacing w:after="0" w:before="0"/>
            </w:pPr>
            <w:r>
              <w:rPr>
                <w:sz w:val="16"/>
              </w:rPr>
              <w:t>High</w:t>
            </w:r>
          </w:p>
        </w:tc>
        <w:tc>
          <w:tcPr>
            <w:tcW w:type="dxa" w:w="2479"/>
            <w:tcW w:w="4196" w:type="dxa"/>
          </w:tcPr>
          <w:p>
            <w:pPr>
              <w:spacing w:after="0" w:before="0"/>
            </w:pPr>
            <w:r>
              <w:rPr>
                <w:sz w:val="16"/>
              </w:rPr>
              <w:t>Move to a central server deployment (Section 7)</w:t>
            </w:r>
          </w:p>
        </w:tc>
        <w:tc>
          <w:tcPr>
            <w:tcW w:type="dxa" w:w="2479"/>
            <w:tcW w:w="3509" w:type="dxa"/>
          </w:tcPr>
          <w:p>
            <w:pPr>
              <w:spacing w:after="0" w:before="0"/>
            </w:pPr>
            <w:r>
              <w:rPr>
                <w:sz w:val="16"/>
              </w:rPr>
              <w:t>One install, central audit, no secrets on laptops, shared exports</w:t>
            </w:r>
          </w:p>
        </w:tc>
        <w:tc>
          <w:tcPr>
            <w:tcW w:type="dxa" w:w="2479"/>
            <w:tcW w:w="1068" w:type="dxa"/>
          </w:tcPr>
          <w:p>
            <w:pPr>
              <w:spacing w:after="0" w:before="0"/>
            </w:pPr>
            <w:r>
              <w:rPr>
                <w:sz w:val="16"/>
              </w:rPr>
              <w:t>L</w:t>
            </w:r>
          </w:p>
        </w:tc>
      </w:tr>
      <w:tr>
        <w:trPr>
          <w:cantSplit w:val="true"/>
        </w:trPr>
        <w:tc>
          <w:tcPr>
            <w:tcW w:type="dxa" w:w="2479"/>
            <w:tcW w:w="1144" w:type="dxa"/>
          </w:tcPr>
          <w:p>
            <w:pPr>
              <w:spacing w:after="0" w:before="0"/>
            </w:pPr>
            <w:r>
              <w:rPr>
                <w:sz w:val="16"/>
              </w:rPr>
              <w:t>Medium</w:t>
            </w:r>
          </w:p>
        </w:tc>
        <w:tc>
          <w:tcPr>
            <w:tcW w:type="dxa" w:w="2479"/>
            <w:tcW w:w="4196" w:type="dxa"/>
          </w:tcPr>
          <w:p>
            <w:pPr>
              <w:spacing w:after="0" w:before="0"/>
            </w:pPr>
            <w:r>
              <w:rPr>
                <w:sz w:val="16"/>
              </w:rPr>
              <w:t>Use managed identity or Key Vault instead of client secrets</w:t>
            </w:r>
          </w:p>
        </w:tc>
        <w:tc>
          <w:tcPr>
            <w:tcW w:type="dxa" w:w="2479"/>
            <w:tcW w:w="3509" w:type="dxa"/>
          </w:tcPr>
          <w:p>
            <w:pPr>
              <w:spacing w:after="0" w:before="0"/>
            </w:pPr>
            <w:r>
              <w:rPr>
                <w:sz w:val="16"/>
              </w:rPr>
              <w:t>Removes long-lived secrets</w:t>
            </w:r>
          </w:p>
        </w:tc>
        <w:tc>
          <w:tcPr>
            <w:tcW w:type="dxa" w:w="2479"/>
            <w:tcW w:w="1068" w:type="dxa"/>
          </w:tcPr>
          <w:p>
            <w:pPr>
              <w:spacing w:after="0" w:before="0"/>
            </w:pPr>
            <w:r>
              <w:rPr>
                <w:sz w:val="16"/>
              </w:rPr>
              <w:t>S-M</w:t>
            </w:r>
          </w:p>
        </w:tc>
      </w:tr>
      <w:tr>
        <w:trPr>
          <w:cantSplit w:val="true"/>
        </w:trPr>
        <w:tc>
          <w:tcPr>
            <w:tcW w:type="dxa" w:w="2479"/>
            <w:tcW w:w="1144" w:type="dxa"/>
          </w:tcPr>
          <w:p>
            <w:pPr>
              <w:spacing w:after="0" w:before="0"/>
            </w:pPr>
            <w:r>
              <w:rPr>
                <w:sz w:val="16"/>
              </w:rPr>
              <w:t>Medium</w:t>
            </w:r>
          </w:p>
        </w:tc>
        <w:tc>
          <w:tcPr>
            <w:tcW w:type="dxa" w:w="2479"/>
            <w:tcW w:w="4196" w:type="dxa"/>
          </w:tcPr>
          <w:p>
            <w:pPr>
              <w:spacing w:after="0" w:before="0"/>
            </w:pPr>
            <w:r>
              <w:rPr>
                <w:sz w:val="16"/>
              </w:rPr>
              <w:t>Write exports in streaming mode and add an indexed cache (KI-08, KI-09)</w:t>
            </w:r>
          </w:p>
        </w:tc>
        <w:tc>
          <w:tcPr>
            <w:tcW w:type="dxa" w:w="2479"/>
            <w:tcW w:w="3509" w:type="dxa"/>
          </w:tcPr>
          <w:p>
            <w:pPr>
              <w:spacing w:after="0" w:before="0"/>
            </w:pPr>
            <w:r>
              <w:rPr>
                <w:sz w:val="16"/>
              </w:rPr>
              <w:t>Faster large exports and paging</w:t>
            </w:r>
          </w:p>
        </w:tc>
        <w:tc>
          <w:tcPr>
            <w:tcW w:type="dxa" w:w="2479"/>
            <w:tcW w:w="1068" w:type="dxa"/>
          </w:tcPr>
          <w:p>
            <w:pPr>
              <w:spacing w:after="0" w:before="0"/>
            </w:pPr>
            <w:r>
              <w:rPr>
                <w:sz w:val="16"/>
              </w:rPr>
              <w:t>M</w:t>
            </w:r>
          </w:p>
        </w:tc>
      </w:tr>
      <w:tr>
        <w:trPr>
          <w:cantSplit w:val="true"/>
        </w:trPr>
        <w:tc>
          <w:tcPr>
            <w:tcW w:type="dxa" w:w="2479"/>
            <w:tcW w:w="1144" w:type="dxa"/>
          </w:tcPr>
          <w:p>
            <w:pPr>
              <w:spacing w:after="0" w:before="0"/>
            </w:pPr>
            <w:r>
              <w:rPr>
                <w:sz w:val="16"/>
              </w:rPr>
              <w:t>Medium</w:t>
            </w:r>
          </w:p>
        </w:tc>
        <w:tc>
          <w:tcPr>
            <w:tcW w:type="dxa" w:w="2479"/>
            <w:tcW w:w="4196" w:type="dxa"/>
          </w:tcPr>
          <w:p>
            <w:pPr>
              <w:spacing w:after="0" w:before="0"/>
            </w:pPr>
            <w:r>
              <w:rPr>
                <w:sz w:val="16"/>
              </w:rPr>
              <w:t>Structured audit log (user, tool, report, scope, rows, duration, query hash)</w:t>
            </w:r>
          </w:p>
        </w:tc>
        <w:tc>
          <w:tcPr>
            <w:tcW w:type="dxa" w:w="2479"/>
            <w:tcW w:w="3509" w:type="dxa"/>
          </w:tcPr>
          <w:p>
            <w:pPr>
              <w:spacing w:after="0" w:before="0"/>
            </w:pPr>
            <w:r>
              <w:rPr>
                <w:sz w:val="16"/>
              </w:rPr>
              <w:t>Governance and usage insight</w:t>
            </w:r>
          </w:p>
        </w:tc>
        <w:tc>
          <w:tcPr>
            <w:tcW w:type="dxa" w:w="2479"/>
            <w:tcW w:w="1068" w:type="dxa"/>
          </w:tcPr>
          <w:p>
            <w:pPr>
              <w:spacing w:after="0" w:before="0"/>
            </w:pPr>
            <w:r>
              <w:rPr>
                <w:sz w:val="16"/>
              </w:rPr>
              <w:t>S</w:t>
            </w:r>
          </w:p>
        </w:tc>
      </w:tr>
      <w:tr>
        <w:trPr>
          <w:cantSplit w:val="true"/>
        </w:trPr>
        <w:tc>
          <w:tcPr>
            <w:tcW w:type="dxa" w:w="2479"/>
            <w:tcW w:w="1144" w:type="dxa"/>
          </w:tcPr>
          <w:p>
            <w:pPr>
              <w:spacing w:after="0" w:before="0"/>
            </w:pPr>
            <w:r>
              <w:rPr>
                <w:sz w:val="16"/>
              </w:rPr>
              <w:t>Medium</w:t>
            </w:r>
          </w:p>
        </w:tc>
        <w:tc>
          <w:tcPr>
            <w:tcW w:type="dxa" w:w="2479"/>
            <w:tcW w:w="4196" w:type="dxa"/>
          </w:tcPr>
          <w:p>
            <w:pPr>
              <w:spacing w:after="0" w:before="0"/>
            </w:pPr>
            <w:r>
              <w:rPr>
                <w:sz w:val="16"/>
              </w:rPr>
              <w:t>Reuse results when the same query hash runs within the TTL</w:t>
            </w:r>
          </w:p>
        </w:tc>
        <w:tc>
          <w:tcPr>
            <w:tcW w:type="dxa" w:w="2479"/>
            <w:tcW w:w="3509" w:type="dxa"/>
          </w:tcPr>
          <w:p>
            <w:pPr>
              <w:spacing w:after="0" w:before="0"/>
            </w:pPr>
            <w:r>
              <w:rPr>
                <w:sz w:val="16"/>
              </w:rPr>
              <w:t>Lower Fabric load and faster answers</w:t>
            </w:r>
          </w:p>
        </w:tc>
        <w:tc>
          <w:tcPr>
            <w:tcW w:type="dxa" w:w="2479"/>
            <w:tcW w:w="1068" w:type="dxa"/>
          </w:tcPr>
          <w:p>
            <w:pPr>
              <w:spacing w:after="0" w:before="0"/>
            </w:pPr>
            <w:r>
              <w:rPr>
                <w:sz w:val="16"/>
              </w:rPr>
              <w:t>S</w:t>
            </w:r>
          </w:p>
        </w:tc>
      </w:tr>
      <w:tr>
        <w:trPr>
          <w:cantSplit w:val="true"/>
        </w:trPr>
        <w:tc>
          <w:tcPr>
            <w:tcW w:type="dxa" w:w="2479"/>
            <w:tcW w:w="1144" w:type="dxa"/>
          </w:tcPr>
          <w:p>
            <w:pPr>
              <w:spacing w:after="0" w:before="0"/>
            </w:pPr>
            <w:r>
              <w:rPr>
                <w:sz w:val="16"/>
              </w:rPr>
              <w:t>Medium</w:t>
            </w:r>
          </w:p>
        </w:tc>
        <w:tc>
          <w:tcPr>
            <w:tcW w:type="dxa" w:w="2479"/>
            <w:tcW w:w="4196" w:type="dxa"/>
          </w:tcPr>
          <w:p>
            <w:pPr>
              <w:spacing w:after="0" w:before="0"/>
            </w:pPr>
            <w:r>
              <w:rPr>
                <w:sz w:val="16"/>
              </w:rPr>
              <w:t xml:space="preserve">Add a transform-target check to </w:t>
            </w:r>
            <w:r>
              <w:rPr>
                <w:rFonts w:ascii="Consolas" w:hAnsi="Consolas"/>
                <w:color w:val="3411A3"/>
                <w:sz w:val="15"/>
              </w:rPr>
              <w:t>health_check</w:t>
            </w:r>
            <w:r>
              <w:rPr>
                <w:sz w:val="16"/>
              </w:rPr>
              <w:t xml:space="preserve"> (KI-07)</w:t>
            </w:r>
          </w:p>
        </w:tc>
        <w:tc>
          <w:tcPr>
            <w:tcW w:type="dxa" w:w="2479"/>
            <w:tcW w:w="3509" w:type="dxa"/>
          </w:tcPr>
          <w:p>
            <w:pPr>
              <w:spacing w:after="0" w:before="0"/>
            </w:pPr>
            <w:r>
              <w:rPr>
                <w:sz w:val="16"/>
              </w:rPr>
              <w:t>Finds MVD problems earlier</w:t>
            </w:r>
          </w:p>
        </w:tc>
        <w:tc>
          <w:tcPr>
            <w:tcW w:type="dxa" w:w="2479"/>
            <w:tcW w:w="1068" w:type="dxa"/>
          </w:tcPr>
          <w:p>
            <w:pPr>
              <w:spacing w:after="0" w:before="0"/>
            </w:pPr>
            <w:r>
              <w:rPr>
                <w:sz w:val="16"/>
              </w:rPr>
              <w:t>S</w:t>
            </w:r>
          </w:p>
        </w:tc>
      </w:tr>
      <w:tr>
        <w:trPr>
          <w:cantSplit w:val="true"/>
        </w:trPr>
        <w:tc>
          <w:tcPr>
            <w:tcW w:type="dxa" w:w="2479"/>
            <w:tcW w:w="1144" w:type="dxa"/>
          </w:tcPr>
          <w:p>
            <w:pPr>
              <w:spacing w:after="0" w:before="0"/>
            </w:pPr>
            <w:r>
              <w:rPr>
                <w:sz w:val="16"/>
              </w:rPr>
              <w:t>Low</w:t>
            </w:r>
          </w:p>
        </w:tc>
        <w:tc>
          <w:tcPr>
            <w:tcW w:type="dxa" w:w="2479"/>
            <w:tcW w:w="4196" w:type="dxa"/>
          </w:tcPr>
          <w:p>
            <w:pPr>
              <w:spacing w:after="0" w:before="0"/>
            </w:pPr>
            <w:r>
              <w:rPr>
                <w:sz w:val="16"/>
              </w:rPr>
              <w:t>New approved reports, for example period-over-period comparison or agency trend</w:t>
            </w:r>
          </w:p>
        </w:tc>
        <w:tc>
          <w:tcPr>
            <w:tcW w:type="dxa" w:w="2479"/>
            <w:tcW w:w="3509" w:type="dxa"/>
          </w:tcPr>
          <w:p>
            <w:pPr>
              <w:spacing w:after="0" w:before="0"/>
            </w:pPr>
            <w:r>
              <w:rPr>
                <w:sz w:val="16"/>
              </w:rPr>
              <w:t>Removes common ad-hoc requests</w:t>
            </w:r>
          </w:p>
        </w:tc>
        <w:tc>
          <w:tcPr>
            <w:tcW w:type="dxa" w:w="2479"/>
            <w:tcW w:w="1068" w:type="dxa"/>
          </w:tcPr>
          <w:p>
            <w:pPr>
              <w:spacing w:after="0" w:before="0"/>
            </w:pPr>
            <w:r>
              <w:rPr>
                <w:sz w:val="16"/>
              </w:rPr>
              <w:t>M</w:t>
            </w:r>
          </w:p>
        </w:tc>
      </w:tr>
      <w:tr>
        <w:trPr>
          <w:cantSplit w:val="true"/>
        </w:trPr>
        <w:tc>
          <w:tcPr>
            <w:tcW w:type="dxa" w:w="2479"/>
            <w:tcW w:w="1144" w:type="dxa"/>
          </w:tcPr>
          <w:p>
            <w:pPr>
              <w:spacing w:after="0" w:before="0"/>
            </w:pPr>
            <w:r>
              <w:rPr>
                <w:sz w:val="16"/>
              </w:rPr>
              <w:t>Low</w:t>
            </w:r>
          </w:p>
        </w:tc>
        <w:tc>
          <w:tcPr>
            <w:tcW w:type="dxa" w:w="2479"/>
            <w:tcW w:w="4196" w:type="dxa"/>
          </w:tcPr>
          <w:p>
            <w:pPr>
              <w:spacing w:after="0" w:before="0"/>
            </w:pPr>
            <w:r>
              <w:rPr>
                <w:sz w:val="16"/>
              </w:rPr>
              <w:t>A Claude tool-selection evaluation set (questions mapped to expected report and parameters)</w:t>
            </w:r>
          </w:p>
        </w:tc>
        <w:tc>
          <w:tcPr>
            <w:tcW w:type="dxa" w:w="2479"/>
            <w:tcW w:w="3509" w:type="dxa"/>
          </w:tcPr>
          <w:p>
            <w:pPr>
              <w:spacing w:after="0" w:before="0"/>
            </w:pPr>
            <w:r>
              <w:rPr>
                <w:sz w:val="16"/>
              </w:rPr>
              <w:t>Catches regressions when the skill or tool descriptions change</w:t>
            </w:r>
          </w:p>
        </w:tc>
        <w:tc>
          <w:tcPr>
            <w:tcW w:type="dxa" w:w="2479"/>
            <w:tcW w:w="1068" w:type="dxa"/>
          </w:tcPr>
          <w:p>
            <w:pPr>
              <w:spacing w:after="0" w:before="0"/>
            </w:pPr>
            <w:r>
              <w:rPr>
                <w:sz w:val="16"/>
              </w:rPr>
              <w:t>M</w:t>
            </w:r>
          </w:p>
        </w:tc>
      </w:tr>
      <w:tr>
        <w:trPr>
          <w:cantSplit w:val="true"/>
        </w:trPr>
        <w:tc>
          <w:tcPr>
            <w:tcW w:type="dxa" w:w="2479"/>
            <w:tcW w:w="1144" w:type="dxa"/>
          </w:tcPr>
          <w:p>
            <w:pPr>
              <w:spacing w:after="0" w:before="0"/>
            </w:pPr>
            <w:r>
              <w:rPr>
                <w:sz w:val="16"/>
              </w:rPr>
              <w:t>Low</w:t>
            </w:r>
          </w:p>
        </w:tc>
        <w:tc>
          <w:tcPr>
            <w:tcW w:type="dxa" w:w="2479"/>
            <w:tcW w:w="4196" w:type="dxa"/>
          </w:tcPr>
          <w:p>
            <w:pPr>
              <w:spacing w:after="0" w:before="0"/>
            </w:pPr>
            <w:r>
              <w:rPr>
                <w:sz w:val="16"/>
              </w:rPr>
              <w:t>Move rule lists from Python to a version-controlled YAML file with schema validation</w:t>
            </w:r>
          </w:p>
        </w:tc>
        <w:tc>
          <w:tcPr>
            <w:tcW w:type="dxa" w:w="2479"/>
            <w:tcW w:w="3509" w:type="dxa"/>
          </w:tcPr>
          <w:p>
            <w:pPr>
              <w:spacing w:after="0" w:before="0"/>
            </w:pPr>
            <w:r>
              <w:rPr>
                <w:sz w:val="16"/>
              </w:rPr>
              <w:t>Lets analysts propose changes through pull requests</w:t>
            </w:r>
          </w:p>
        </w:tc>
        <w:tc>
          <w:tcPr>
            <w:tcW w:type="dxa" w:w="2479"/>
            <w:tcW w:w="1068" w:type="dxa"/>
          </w:tcPr>
          <w:p>
            <w:pPr>
              <w:spacing w:after="0" w:before="0"/>
            </w:pPr>
            <w:r>
              <w:rPr>
                <w:sz w:val="16"/>
              </w:rPr>
              <w:t>M</w:t>
            </w:r>
          </w:p>
        </w:tc>
      </w:tr>
    </w:tbl>
    <w:p>
      <w:pPr>
        <w:spacing w:after="80"/>
      </w:pPr>
    </w:p>
    <w:p>
      <w:pPr>
        <w:pStyle w:val="Heading1"/>
        <w:pageBreakBefore/>
      </w:pPr>
      <w:r>
        <w:t>Deploying the MCP server on a shared server</w:t>
      </w:r>
    </w:p>
    <w:p>
      <w:r>
        <w:t>This section is for the team that will host the MCP server centrally instead of on each analyst's laptop. It explains what changes, which code changes are required first, and gives a step-by-step runbook and go-live checklist.</w:t>
      </w:r>
    </w:p>
    <w:p>
      <w:pPr>
        <w:spacing w:before="120" w:after="200"/>
        <w:ind w:left="157"/>
        <w:pBdr>
          <w:left w:val="single" w:sz="18" w:space="6" w:color="E0A100"/>
        </w:pBdr>
        <w:shd w:val="clear" w:color="auto" w:fill="FFF7E0"/>
      </w:pPr>
      <w:r>
        <w:rPr>
          <w:b/>
          <w:color w:val="19105B"/>
        </w:rPr>
        <w:t xml:space="preserve">Important:  </w:t>
      </w:r>
      <w:r>
        <w:t xml:space="preserve">The current code is built for </w:t>
      </w:r>
      <w:r>
        <w:rPr>
          <w:b/>
        </w:rPr>
        <w:t>local stdio</w:t>
      </w:r>
      <w:r>
        <w:t xml:space="preserve"> use. Copying the repository to a server and running </w:t>
      </w:r>
      <w:r>
        <w:rPr>
          <w:rFonts w:ascii="Consolas" w:hAnsi="Consolas"/>
          <w:color w:val="3411A3"/>
          <w:sz w:val="18"/>
        </w:rPr>
        <w:t>python server.py</w:t>
      </w:r>
      <w:r>
        <w:t xml:space="preserve"> will </w:t>
      </w:r>
      <w:r>
        <w:rPr>
          <w:b/>
        </w:rPr>
        <w:t>not</w:t>
      </w:r>
      <w:r>
        <w:t xml:space="preserve"> give you a usable shared service. Complete the mandatory changes in Section 7.3 first.</w:t>
      </w:r>
    </w:p>
    <w:p>
      <w:pPr>
        <w:pStyle w:val="Heading2"/>
      </w:pPr>
      <w:r>
        <w:t>What changes when it runs on a server</w:t>
      </w:r>
    </w:p>
    <w:p>
      <w:pPr>
        <w:keepNext/>
        <w:spacing w:before="160" w:after="80"/>
      </w:pPr>
      <w:r>
        <w:rPr>
          <w:b/>
          <w:color w:val="3411A3"/>
          <w:sz w:val="18"/>
        </w:rPr>
        <w:t xml:space="preserve">Table 18: </w:t>
      </w:r>
      <w:r>
        <w:rPr>
          <w:color w:val="3411A3"/>
          <w:sz w:val="18"/>
        </w:rPr>
        <w:t>Local vs. server deployment</w:t>
      </w:r>
    </w:p>
    <w:tbl>
      <w:tblPr>
        <w:tblStyle w:val="Style1"/>
        <w:tblLook w:firstColumn="1" w:firstRow="1" w:lastColumn="0" w:lastRow="0" w:noHBand="0" w:noVBand="1" w:val="04A0"/>
        <w:tblW w:w="9916" w:type="dxa"/>
        <w:tblCellMar>
          <w:top w:w="50" w:type="dxa"/>
          <w:left w:w="90" w:type="dxa"/>
          <w:bottom w:w="50" w:type="dxa"/>
          <w:right w:w="90" w:type="dxa"/>
        </w:tblCellMar>
        <w:tblLook w:val="04A0" w:firstRow="1" w:lastRow="0" w:firstColumn="0" w:lastColumn="0" w:noHBand="0" w:noVBand="1"/>
      </w:tblPr>
      <w:tblGrid>
        <w:gridCol w:w="1983"/>
        <w:gridCol w:w="3356"/>
        <w:gridCol w:w="4577"/>
      </w:tblGrid>
      <w:tr>
        <w:trPr>
          <w:tblHeader w:val="true"/>
          <w:trHeight w:val="397"/>
          <w:cantSplit w:val="true"/>
        </w:trPr>
        <w:tc>
          <w:tcPr>
            <w:tcW w:type="dxa" w:w="3306"/>
            <w:tcW w:w="1983" w:type="dxa"/>
          </w:tcPr>
          <w:p>
            <w:pPr>
              <w:spacing w:after="0" w:before="0"/>
            </w:pPr>
            <w:r>
              <w:rPr>
                <w:b/>
                <w:color w:val="FFFFFF"/>
                <w:sz w:val="17"/>
              </w:rPr>
              <w:t>Concern</w:t>
            </w:r>
          </w:p>
        </w:tc>
        <w:tc>
          <w:tcPr>
            <w:tcW w:type="dxa" w:w="3306"/>
            <w:tcW w:w="3356" w:type="dxa"/>
          </w:tcPr>
          <w:p>
            <w:pPr>
              <w:spacing w:after="0" w:before="0"/>
            </w:pPr>
            <w:r>
              <w:rPr>
                <w:b/>
                <w:color w:val="FFFFFF"/>
                <w:sz w:val="17"/>
              </w:rPr>
              <w:t>Today (local stdio)</w:t>
            </w:r>
          </w:p>
        </w:tc>
        <w:tc>
          <w:tcPr>
            <w:tcW w:type="dxa" w:w="3306"/>
            <w:tcW w:w="4577" w:type="dxa"/>
          </w:tcPr>
          <w:p>
            <w:pPr>
              <w:spacing w:after="0" w:before="0"/>
            </w:pPr>
            <w:r>
              <w:rPr>
                <w:b/>
                <w:color w:val="FFFFFF"/>
                <w:sz w:val="17"/>
              </w:rPr>
              <w:t>On a shared server</w:t>
            </w:r>
          </w:p>
        </w:tc>
      </w:tr>
      <w:tr>
        <w:trPr>
          <w:cantSplit w:val="true"/>
        </w:trPr>
        <w:tc>
          <w:tcPr>
            <w:tcW w:type="dxa" w:w="3306"/>
            <w:tcW w:w="1983" w:type="dxa"/>
          </w:tcPr>
          <w:p>
            <w:pPr>
              <w:spacing w:after="0" w:before="0"/>
            </w:pPr>
            <w:r>
              <w:rPr>
                <w:sz w:val="17"/>
              </w:rPr>
              <w:t>Transport</w:t>
            </w:r>
          </w:p>
        </w:tc>
        <w:tc>
          <w:tcPr>
            <w:tcW w:type="dxa" w:w="3306"/>
            <w:tcW w:w="3356" w:type="dxa"/>
          </w:tcPr>
          <w:p>
            <w:pPr>
              <w:spacing w:after="0" w:before="0"/>
            </w:pPr>
            <w:r>
              <w:rPr>
                <w:sz w:val="17"/>
              </w:rPr>
              <w:t>stdio child process of Claude Desktop</w:t>
            </w:r>
          </w:p>
        </w:tc>
        <w:tc>
          <w:tcPr>
            <w:tcW w:type="dxa" w:w="3306"/>
            <w:tcW w:w="4577" w:type="dxa"/>
          </w:tcPr>
          <w:p>
            <w:pPr>
              <w:spacing w:after="0" w:before="0"/>
            </w:pPr>
            <w:r>
              <w:rPr>
                <w:sz w:val="17"/>
              </w:rPr>
              <w:t xml:space="preserve">Streamable HTTP over HTTPS at a stable URL (for example </w:t>
            </w:r>
            <w:r>
              <w:rPr>
                <w:rFonts w:ascii="Consolas" w:hAnsi="Consolas"/>
                <w:color w:val="3411A3"/>
                <w:sz w:val="16"/>
              </w:rPr>
              <w:t>https://dsn-mcp.&lt;domain&gt;/mcp</w:t>
            </w:r>
            <w:r>
              <w:rPr>
                <w:sz w:val="17"/>
              </w:rPr>
              <w:t>)</w:t>
            </w:r>
          </w:p>
        </w:tc>
      </w:tr>
      <w:tr>
        <w:trPr>
          <w:cantSplit w:val="true"/>
        </w:trPr>
        <w:tc>
          <w:tcPr>
            <w:tcW w:type="dxa" w:w="3306"/>
            <w:tcW w:w="1983" w:type="dxa"/>
          </w:tcPr>
          <w:p>
            <w:pPr>
              <w:spacing w:after="0" w:before="0"/>
            </w:pPr>
            <w:r>
              <w:rPr>
                <w:sz w:val="17"/>
              </w:rPr>
              <w:t>Who can call it</w:t>
            </w:r>
          </w:p>
        </w:tc>
        <w:tc>
          <w:tcPr>
            <w:tcW w:type="dxa" w:w="3306"/>
            <w:tcW w:w="3356" w:type="dxa"/>
          </w:tcPr>
          <w:p>
            <w:pPr>
              <w:spacing w:after="0" w:before="0"/>
            </w:pPr>
            <w:r>
              <w:rPr>
                <w:sz w:val="17"/>
              </w:rPr>
              <w:t>Only the local user</w:t>
            </w:r>
          </w:p>
        </w:tc>
        <w:tc>
          <w:tcPr>
            <w:tcW w:type="dxa" w:w="3306"/>
            <w:tcW w:w="4577" w:type="dxa"/>
          </w:tcPr>
          <w:p>
            <w:pPr>
              <w:spacing w:after="0" w:before="0"/>
            </w:pPr>
            <w:r>
              <w:rPr>
                <w:sz w:val="17"/>
              </w:rPr>
              <w:t xml:space="preserve">Anyone who can reach the URL, so OAuth authentication is </w:t>
            </w:r>
            <w:r>
              <w:rPr>
                <w:b/>
                <w:sz w:val="17"/>
              </w:rPr>
              <w:t>mandatory</w:t>
            </w:r>
          </w:p>
        </w:tc>
      </w:tr>
      <w:tr>
        <w:trPr>
          <w:cantSplit w:val="true"/>
        </w:trPr>
        <w:tc>
          <w:tcPr>
            <w:tcW w:type="dxa" w:w="3306"/>
            <w:tcW w:w="1983" w:type="dxa"/>
          </w:tcPr>
          <w:p>
            <w:pPr>
              <w:spacing w:after="0" w:before="0"/>
            </w:pPr>
            <w:r>
              <w:rPr>
                <w:sz w:val="17"/>
              </w:rPr>
              <w:t>Fabric credentials</w:t>
            </w:r>
          </w:p>
        </w:tc>
        <w:tc>
          <w:tcPr>
            <w:tcW w:type="dxa" w:w="3306"/>
            <w:tcW w:w="3356" w:type="dxa"/>
          </w:tcPr>
          <w:p>
            <w:pPr>
              <w:spacing w:after="0" w:before="0"/>
            </w:pPr>
            <w:r>
              <w:rPr>
                <w:sz w:val="17"/>
              </w:rPr>
              <w:t xml:space="preserve">SP secret in </w:t>
            </w:r>
            <w:r>
              <w:rPr>
                <w:rFonts w:ascii="Consolas" w:hAnsi="Consolas"/>
                <w:color w:val="3411A3"/>
                <w:sz w:val="16"/>
              </w:rPr>
              <w:t>.env</w:t>
            </w:r>
            <w:r>
              <w:rPr>
                <w:sz w:val="17"/>
              </w:rPr>
              <w:t xml:space="preserve"> on every laptop</w:t>
            </w:r>
          </w:p>
        </w:tc>
        <w:tc>
          <w:tcPr>
            <w:tcW w:type="dxa" w:w="3306"/>
            <w:tcW w:w="4577" w:type="dxa"/>
          </w:tcPr>
          <w:p>
            <w:pPr>
              <w:spacing w:after="0" w:before="0"/>
            </w:pPr>
            <w:r>
              <w:rPr>
                <w:sz w:val="17"/>
              </w:rPr>
              <w:t>One managed identity or Key Vault secret, never on laptops</w:t>
            </w:r>
          </w:p>
        </w:tc>
      </w:tr>
      <w:tr>
        <w:trPr>
          <w:cantSplit w:val="true"/>
        </w:trPr>
        <w:tc>
          <w:tcPr>
            <w:tcW w:type="dxa" w:w="3306"/>
            <w:tcW w:w="1983" w:type="dxa"/>
          </w:tcPr>
          <w:p>
            <w:pPr>
              <w:spacing w:after="0" w:before="0"/>
            </w:pPr>
            <w:r>
              <w:rPr>
                <w:sz w:val="17"/>
              </w:rPr>
              <w:t>Result cache</w:t>
            </w:r>
          </w:p>
        </w:tc>
        <w:tc>
          <w:tcPr>
            <w:tcW w:type="dxa" w:w="3306"/>
            <w:tcW w:w="3356" w:type="dxa"/>
          </w:tcPr>
          <w:p>
            <w:pPr>
              <w:spacing w:after="0" w:before="0"/>
            </w:pPr>
            <w:r>
              <w:rPr>
                <w:sz w:val="17"/>
              </w:rPr>
              <w:t>Private to one user</w:t>
            </w:r>
          </w:p>
        </w:tc>
        <w:tc>
          <w:tcPr>
            <w:tcW w:type="dxa" w:w="3306"/>
            <w:tcW w:w="4577" w:type="dxa"/>
          </w:tcPr>
          <w:p>
            <w:pPr>
              <w:spacing w:after="0" w:before="0"/>
            </w:pPr>
            <w:r>
              <w:rPr>
                <w:sz w:val="17"/>
              </w:rPr>
              <w:t>Shared, so it must be isolated per user</w:t>
            </w:r>
          </w:p>
        </w:tc>
      </w:tr>
      <w:tr>
        <w:trPr>
          <w:cantSplit w:val="true"/>
        </w:trPr>
        <w:tc>
          <w:tcPr>
            <w:tcW w:type="dxa" w:w="3306"/>
            <w:tcW w:w="1983" w:type="dxa"/>
          </w:tcPr>
          <w:p>
            <w:pPr>
              <w:spacing w:after="0" w:before="0"/>
            </w:pPr>
            <w:r>
              <w:rPr>
                <w:sz w:val="17"/>
              </w:rPr>
              <w:t>Exports</w:t>
            </w:r>
          </w:p>
        </w:tc>
        <w:tc>
          <w:tcPr>
            <w:tcW w:type="dxa" w:w="3306"/>
            <w:tcW w:w="3356" w:type="dxa"/>
          </w:tcPr>
          <w:p>
            <w:pPr>
              <w:spacing w:after="0" w:before="0"/>
            </w:pPr>
            <w:r>
              <w:rPr>
                <w:rFonts w:ascii="Consolas" w:hAnsi="Consolas"/>
                <w:color w:val="3411A3"/>
                <w:sz w:val="16"/>
              </w:rPr>
              <w:t>file://</w:t>
            </w:r>
            <w:r>
              <w:rPr>
                <w:sz w:val="17"/>
              </w:rPr>
              <w:t xml:space="preserve"> path the user can open</w:t>
            </w:r>
          </w:p>
        </w:tc>
        <w:tc>
          <w:tcPr>
            <w:tcW w:type="dxa" w:w="3306"/>
            <w:tcW w:w="4577" w:type="dxa"/>
          </w:tcPr>
          <w:p>
            <w:pPr>
              <w:spacing w:after="0" w:before="0"/>
            </w:pPr>
            <w:r>
              <w:rPr>
                <w:sz w:val="17"/>
              </w:rPr>
              <w:t>Must be delivered as a secure, time-limited download link</w:t>
            </w:r>
          </w:p>
        </w:tc>
      </w:tr>
      <w:tr>
        <w:trPr>
          <w:cantSplit w:val="true"/>
        </w:trPr>
        <w:tc>
          <w:tcPr>
            <w:tcW w:type="dxa" w:w="3306"/>
            <w:tcW w:w="1983" w:type="dxa"/>
          </w:tcPr>
          <w:p>
            <w:pPr>
              <w:spacing w:after="0" w:before="0"/>
            </w:pPr>
            <w:r>
              <w:rPr>
                <w:sz w:val="17"/>
              </w:rPr>
              <w:t>Concurrency</w:t>
            </w:r>
          </w:p>
        </w:tc>
        <w:tc>
          <w:tcPr>
            <w:tcW w:type="dxa" w:w="3306"/>
            <w:tcW w:w="3356" w:type="dxa"/>
          </w:tcPr>
          <w:p>
            <w:pPr>
              <w:spacing w:after="0" w:before="0"/>
            </w:pPr>
            <w:r>
              <w:rPr>
                <w:sz w:val="17"/>
              </w:rPr>
              <w:t>One user at a time</w:t>
            </w:r>
          </w:p>
        </w:tc>
        <w:tc>
          <w:tcPr>
            <w:tcW w:type="dxa" w:w="3306"/>
            <w:tcW w:w="4577" w:type="dxa"/>
          </w:tcPr>
          <w:p>
            <w:pPr>
              <w:spacing w:after="0" w:before="0"/>
            </w:pPr>
            <w:r>
              <w:rPr>
                <w:sz w:val="17"/>
              </w:rPr>
              <w:t>Many simultaneous calls, so locking and Fabric capacity matter</w:t>
            </w:r>
          </w:p>
        </w:tc>
      </w:tr>
      <w:tr>
        <w:trPr>
          <w:cantSplit w:val="true"/>
        </w:trPr>
        <w:tc>
          <w:tcPr>
            <w:tcW w:type="dxa" w:w="3306"/>
            <w:tcW w:w="1983" w:type="dxa"/>
          </w:tcPr>
          <w:p>
            <w:pPr>
              <w:spacing w:after="0" w:before="0"/>
            </w:pPr>
            <w:r>
              <w:rPr>
                <w:sz w:val="17"/>
              </w:rPr>
              <w:t>Logs</w:t>
            </w:r>
          </w:p>
        </w:tc>
        <w:tc>
          <w:tcPr>
            <w:tcW w:type="dxa" w:w="3306"/>
            <w:tcW w:w="3356" w:type="dxa"/>
          </w:tcPr>
          <w:p>
            <w:pPr>
              <w:spacing w:after="0" w:before="0"/>
            </w:pPr>
            <w:r>
              <w:rPr>
                <w:sz w:val="17"/>
              </w:rPr>
              <w:t>Scattered across laptops</w:t>
            </w:r>
          </w:p>
        </w:tc>
        <w:tc>
          <w:tcPr>
            <w:tcW w:type="dxa" w:w="3306"/>
            <w:tcW w:w="4577" w:type="dxa"/>
          </w:tcPr>
          <w:p>
            <w:pPr>
              <w:spacing w:after="0" w:before="0"/>
            </w:pPr>
            <w:r>
              <w:rPr>
                <w:sz w:val="17"/>
              </w:rPr>
              <w:t>Central audit and monitoring</w:t>
            </w:r>
          </w:p>
        </w:tc>
      </w:tr>
    </w:tbl>
    <w:p>
      <w:pPr>
        <w:spacing w:after="80"/>
      </w:pPr>
    </w:p>
    <w:p>
      <w:pPr>
        <w:pStyle w:val="Heading2"/>
      </w:pPr>
      <w:r>
        <w:t>Target architecture</w:t>
      </w:r>
    </w:p>
    <w:p>
      <w:pPr>
        <w:keepNext/>
        <w:spacing w:before="120"/>
        <w:jc w:val="center"/>
      </w:pPr>
      <w:r>
        <w:drawing>
          <wp:inline xmlns:a="http://schemas.openxmlformats.org/drawingml/2006/main" xmlns:pic="http://schemas.openxmlformats.org/drawingml/2006/picture">
            <wp:extent cx="5164302" cy="4332294"/>
            <wp:docPr id="297" name="Picture 297"/>
            <wp:cNvGraphicFramePr>
              <a:graphicFrameLocks noChangeAspect="1"/>
            </wp:cNvGraphicFramePr>
            <a:graphic>
              <a:graphicData uri="http://schemas.openxmlformats.org/drawingml/2006/picture">
                <pic:pic>
                  <pic:nvPicPr>
                    <pic:cNvPr id="0" name="arch_target.png"/>
                    <pic:cNvPicPr/>
                  </pic:nvPicPr>
                  <pic:blipFill>
                    <a:blip r:embed="rId27"/>
                    <a:stretch>
                      <a:fillRect/>
                    </a:stretch>
                  </pic:blipFill>
                  <pic:spPr>
                    <a:xfrm>
                      <a:off x="0" y="0"/>
                      <a:ext cx="5164302" cy="4332294"/>
                    </a:xfrm>
                    <a:prstGeom prst="rect"/>
                  </pic:spPr>
                </pic:pic>
              </a:graphicData>
            </a:graphic>
          </wp:inline>
        </w:drawing>
      </w:r>
    </w:p>
    <w:p>
      <w:pPr>
        <w:keepNext w:val="0"/>
        <w:spacing w:before="40" w:after="240"/>
        <w:jc w:val="center"/>
      </w:pPr>
      <w:r>
        <w:rPr>
          <w:b/>
          <w:color w:val="3411A3"/>
          <w:sz w:val="18"/>
        </w:rPr>
        <w:t xml:space="preserve">Figure 2: </w:t>
      </w:r>
      <w:r>
        <w:rPr>
          <w:color w:val="3411A3"/>
          <w:sz w:val="18"/>
        </w:rPr>
        <w:t>Recommended server deployment on Azure</w:t>
      </w:r>
    </w:p>
    <w:p>
      <w:r>
        <w:t>Azure is recommended because Fabric, Entra ID and Key Vault are already in the client's Microsoft estate. Any container platform that offers HTTPS ingress, managed identity and persistent storage will work.</w:t>
      </w:r>
    </w:p>
    <w:p>
      <w:pPr>
        <w:spacing w:before="120" w:after="200"/>
        <w:ind w:left="157"/>
        <w:pBdr>
          <w:left w:val="single" w:sz="18" w:space="6" w:color="FF6196"/>
        </w:pBdr>
        <w:shd w:val="clear" w:color="auto" w:fill="FFF0F5"/>
      </w:pPr>
      <w:r>
        <w:rPr>
          <w:b/>
          <w:color w:val="19105B"/>
        </w:rPr>
        <w:t xml:space="preserve">Networking:  </w:t>
      </w:r>
      <w:r>
        <w:t>Remote MCP connectors in claude.ai (and connectors added through Claude's connector settings) are called from Anthropic's cloud, not from the user's laptop. An endpoint that is only reachable on a private network will not work for them. Plan for public HTTPS ingress, restricted to Anthropic's published outbound IP ranges and protected by OAuth. Check the current Anthropic connector documentation before finalising the network design.</w:t>
      </w:r>
    </w:p>
    <w:p>
      <w:pPr>
        <w:pStyle w:val="Heading2"/>
      </w:pPr>
      <w:r>
        <w:t>Mandatory code changes before deployment</w:t>
      </w:r>
    </w:p>
    <w:p>
      <w:pPr>
        <w:pStyle w:val="Listnumber1"/>
        <w:numPr>
          <w:ilvl w:val="0"/>
          <w:numId w:val="47"/>
        </w:numPr>
      </w:pPr>
      <w:r>
        <w:rPr>
          <w:b/>
        </w:rPr>
        <w:t>Switch to the Streamable HTTP transport.</w:t>
      </w:r>
      <w:r>
        <w:t xml:space="preserve"> MCP SDK 2.x supports this natively. Make the transport configurable so the local stdio mode keeps working:</w:t>
      </w:r>
    </w:p>
    <w:p>
      <w:pPr>
        <w:spacing w:before="80" w:after="200" w:line="240" w:lineRule="auto"/>
        <w:ind w:left="157" w:right="94"/>
        <w:pBdr>
          <w:left w:val="single" w:sz="18" w:space="6" w:color="3411A3"/>
        </w:pBdr>
        <w:shd w:val="clear" w:color="auto" w:fill="F3F1FA"/>
      </w:pPr>
      <w:r>
        <w:rPr>
          <w:rFonts w:ascii="Consolas" w:hAnsi="Consolas"/>
          <w:color w:val="1D1C1C"/>
          <w:sz w:val="16"/>
        </w:rPr>
        <w:t>import os</w:t>
        <w:br/>
      </w:r>
      <w:r>
        <w:rPr>
          <w:rFonts w:ascii="Consolas" w:hAnsi="Consolas"/>
          <w:color w:val="1D1C1C"/>
          <w:sz w:val="16"/>
        </w:rPr>
        <w:br/>
      </w:r>
      <w:r>
        <w:rPr>
          <w:rFonts w:ascii="Consolas" w:hAnsi="Consolas"/>
          <w:color w:val="1D1C1C"/>
          <w:sz w:val="16"/>
        </w:rPr>
        <w:t>if __name__ == "__main__":</w:t>
        <w:br/>
      </w:r>
      <w:r>
        <w:rPr>
          <w:rFonts w:ascii="Consolas" w:hAnsi="Consolas"/>
          <w:color w:val="1D1C1C"/>
          <w:sz w:val="16"/>
        </w:rPr>
        <w:t xml:space="preserve">    if os.environ.get("MCP_TRANSPORT", "stdio") == "streamable-http":</w:t>
        <w:br/>
      </w:r>
      <w:r>
        <w:rPr>
          <w:rFonts w:ascii="Consolas" w:hAnsi="Consolas"/>
          <w:color w:val="1D1C1C"/>
          <w:sz w:val="16"/>
        </w:rPr>
        <w:t xml:space="preserve">        mcp.run(</w:t>
        <w:br/>
      </w:r>
      <w:r>
        <w:rPr>
          <w:rFonts w:ascii="Consolas" w:hAnsi="Consolas"/>
          <w:color w:val="1D1C1C"/>
          <w:sz w:val="16"/>
        </w:rPr>
        <w:t xml:space="preserve">            transport="streamable-http",</w:t>
        <w:br/>
      </w:r>
      <w:r>
        <w:rPr>
          <w:rFonts w:ascii="Consolas" w:hAnsi="Consolas"/>
          <w:color w:val="1D1C1C"/>
          <w:sz w:val="16"/>
        </w:rPr>
        <w:t xml:space="preserve">            host=os.environ.get("MCP_HOST", "0.0.0.0"),</w:t>
        <w:br/>
      </w:r>
      <w:r>
        <w:rPr>
          <w:rFonts w:ascii="Consolas" w:hAnsi="Consolas"/>
          <w:color w:val="1D1C1C"/>
          <w:sz w:val="16"/>
        </w:rPr>
        <w:t xml:space="preserve">            port=int(os.environ.get("MCP_PORT", "8000")),</w:t>
        <w:br/>
      </w:r>
      <w:r>
        <w:rPr>
          <w:rFonts w:ascii="Consolas" w:hAnsi="Consolas"/>
          <w:color w:val="1D1C1C"/>
          <w:sz w:val="16"/>
        </w:rPr>
        <w:t xml:space="preserve">            streamable_http_path="/mcp",</w:t>
        <w:br/>
      </w:r>
      <w:r>
        <w:rPr>
          <w:rFonts w:ascii="Consolas" w:hAnsi="Consolas"/>
          <w:color w:val="1D1C1C"/>
          <w:sz w:val="16"/>
        </w:rPr>
        <w:t xml:space="preserve">        )</w:t>
        <w:br/>
      </w:r>
      <w:r>
        <w:rPr>
          <w:rFonts w:ascii="Consolas" w:hAnsi="Consolas"/>
          <w:color w:val="1D1C1C"/>
          <w:sz w:val="16"/>
        </w:rPr>
        <w:t xml:space="preserve">    else:</w:t>
        <w:br/>
      </w:r>
      <w:r>
        <w:rPr>
          <w:rFonts w:ascii="Consolas" w:hAnsi="Consolas"/>
          <w:color w:val="1D1C1C"/>
          <w:sz w:val="16"/>
        </w:rPr>
        <w:t xml:space="preserve">        mcp.run(transport="stdio")</w:t>
      </w:r>
    </w:p>
    <w:p>
      <w:r>
        <w:t xml:space="preserve">Also set </w:t>
      </w:r>
      <w:r>
        <w:rPr>
          <w:rFonts w:ascii="Consolas" w:hAnsi="Consolas"/>
          <w:color w:val="3411A3"/>
          <w:sz w:val="18"/>
        </w:rPr>
        <w:t>transport_security</w:t>
      </w:r>
      <w:r>
        <w:t xml:space="preserve"> (allowed hosts and origins) for the public hostname, and decide whether to use </w:t>
      </w:r>
      <w:r>
        <w:rPr>
          <w:rFonts w:ascii="Consolas" w:hAnsi="Consolas"/>
          <w:color w:val="3411A3"/>
          <w:sz w:val="18"/>
        </w:rPr>
        <w:t>stateless_http=True</w:t>
      </w:r>
      <w:r>
        <w:t>. Stateless mode makes it easier to run more than one replica.</w:t>
      </w:r>
    </w:p>
    <w:p>
      <w:pPr>
        <w:pStyle w:val="Listnumber1"/>
        <w:numPr>
          <w:ilvl w:val="0"/>
          <w:numId w:val="48"/>
        </w:numPr>
      </w:pPr>
      <w:r>
        <w:rPr>
          <w:b/>
        </w:rPr>
        <w:t>Authenticate every request.</w:t>
      </w:r>
      <w:r>
        <w:t xml:space="preserve"> Pass the SDK's </w:t>
      </w:r>
      <w:r>
        <w:rPr>
          <w:rFonts w:ascii="Consolas" w:hAnsi="Consolas"/>
          <w:color w:val="3411A3"/>
          <w:sz w:val="18"/>
        </w:rPr>
        <w:t>token_verifier</w:t>
      </w:r>
      <w:r>
        <w:t xml:space="preserve"> and </w:t>
      </w:r>
      <w:r>
        <w:rPr>
          <w:rFonts w:ascii="Consolas" w:hAnsi="Consolas"/>
          <w:color w:val="3411A3"/>
          <w:sz w:val="18"/>
        </w:rPr>
        <w:t>auth=AuthSettings(...)</w:t>
      </w:r>
      <w:r>
        <w:t xml:space="preserve"> to </w:t>
      </w:r>
      <w:r>
        <w:rPr>
          <w:rFonts w:ascii="Consolas" w:hAnsi="Consolas"/>
          <w:color w:val="3411A3"/>
          <w:sz w:val="18"/>
        </w:rPr>
        <w:t>MCPServer</w:t>
      </w:r>
      <w:r>
        <w:t>. The server must check Entra ID access tokens (issuer, audience, expiry, signature via JWKS, and the required scope or app role) and allow only a dedicated security group.</w:t>
      </w:r>
    </w:p>
    <w:p>
      <w:pPr>
        <w:pStyle w:val="SubBullet"/>
      </w:pPr>
      <w:r>
        <w:t>Entra ID does not support OAuth Dynamic Client Registration. Check against current Claude connector documentation whether a pre-registered client ID can be configured, or put an OAuth broker or gateway in front of the server.</w:t>
      </w:r>
    </w:p>
    <w:p>
      <w:pPr>
        <w:pStyle w:val="SubBullet"/>
      </w:pPr>
      <w:r>
        <w:t>Never expose the endpoint without authentication, even on an internal network.</w:t>
      </w:r>
    </w:p>
    <w:p>
      <w:pPr>
        <w:pStyle w:val="Listnumber1"/>
        <w:numPr>
          <w:ilvl w:val="0"/>
          <w:numId w:val="48"/>
        </w:numPr>
      </w:pPr>
      <w:r>
        <w:rPr>
          <w:b/>
        </w:rPr>
        <w:t>Remove the client secret from the host.</w:t>
      </w:r>
      <w:r>
        <w:t xml:space="preserve"> Make </w:t>
      </w:r>
      <w:r>
        <w:rPr>
          <w:rFonts w:ascii="Consolas" w:hAnsi="Consolas"/>
          <w:color w:val="3411A3"/>
          <w:sz w:val="18"/>
        </w:rPr>
        <w:t>FABRIC_CLIENT_SECRET</w:t>
      </w:r>
      <w:r>
        <w:t xml:space="preserve"> optional in </w:t>
      </w:r>
      <w:r>
        <w:rPr>
          <w:rFonts w:ascii="Consolas" w:hAnsi="Consolas"/>
          <w:color w:val="3411A3"/>
          <w:sz w:val="18"/>
        </w:rPr>
        <w:t>config.py</w:t>
      </w:r>
      <w:r>
        <w:t xml:space="preserve"> and use </w:t>
      </w:r>
      <w:r>
        <w:rPr>
          <w:rFonts w:ascii="Consolas" w:hAnsi="Consolas"/>
          <w:color w:val="3411A3"/>
          <w:sz w:val="18"/>
        </w:rPr>
        <w:t>ManagedIdentityCredential</w:t>
      </w:r>
      <w:r>
        <w:t xml:space="preserve"> or </w:t>
      </w:r>
      <w:r>
        <w:rPr>
          <w:rFonts w:ascii="Consolas" w:hAnsi="Consolas"/>
          <w:color w:val="3411A3"/>
          <w:sz w:val="18"/>
        </w:rPr>
        <w:t>DefaultAzureCredential</w:t>
      </w:r>
      <w:r>
        <w:t xml:space="preserve"> in </w:t>
      </w:r>
      <w:r>
        <w:rPr>
          <w:rFonts w:ascii="Consolas" w:hAnsi="Consolas"/>
          <w:color w:val="3411A3"/>
          <w:sz w:val="18"/>
        </w:rPr>
        <w:t>fabric_client.py</w:t>
      </w:r>
      <w:r>
        <w:t>. Grant Fabric read access to the managed identity. If a secret is still needed, load it from Key Vault as a platform secret reference.</w:t>
      </w:r>
    </w:p>
    <w:p>
      <w:pPr>
        <w:pStyle w:val="Listnumber1"/>
        <w:numPr>
          <w:ilvl w:val="0"/>
          <w:numId w:val="48"/>
        </w:numPr>
      </w:pPr>
      <w:r>
        <w:rPr>
          <w:b/>
        </w:rPr>
        <w:t>Isolate results per user.</w:t>
      </w:r>
      <w:r>
        <w:t xml:space="preserve"> Record the caller's identity (the token's </w:t>
      </w:r>
      <w:r>
        <w:rPr>
          <w:rFonts w:ascii="Consolas" w:hAnsi="Consolas"/>
          <w:color w:val="3411A3"/>
          <w:sz w:val="18"/>
        </w:rPr>
        <w:t>oid</w:t>
      </w:r>
      <w:r>
        <w:t xml:space="preserve"> or </w:t>
      </w:r>
      <w:r>
        <w:rPr>
          <w:rFonts w:ascii="Consolas" w:hAnsi="Consolas"/>
          <w:color w:val="3411A3"/>
          <w:sz w:val="18"/>
        </w:rPr>
        <w:t>upn</w:t>
      </w:r>
      <w:r>
        <w:t xml:space="preserve"> claim) in </w:t>
      </w:r>
      <w:r>
        <w:rPr>
          <w:rFonts w:ascii="Consolas" w:hAnsi="Consolas"/>
          <w:color w:val="3411A3"/>
          <w:sz w:val="18"/>
        </w:rPr>
        <w:t>meta.json</w:t>
      </w:r>
      <w:r>
        <w:t xml:space="preserve"> when a query is created, and refuse </w:t>
      </w:r>
      <w:r>
        <w:rPr>
          <w:rFonts w:ascii="Consolas" w:hAnsi="Consolas"/>
          <w:color w:val="3411A3"/>
          <w:sz w:val="18"/>
        </w:rPr>
        <w:t>dsn_result</w:t>
      </w:r>
      <w:r>
        <w:t xml:space="preserve"> page, metadata or export requests from anyone else. Today, anyone who has a </w:t>
      </w:r>
      <w:r>
        <w:rPr>
          <w:rFonts w:ascii="Consolas" w:hAnsi="Consolas"/>
          <w:color w:val="3411A3"/>
          <w:sz w:val="18"/>
        </w:rPr>
        <w:t>query_id</w:t>
      </w:r>
      <w:r>
        <w:t xml:space="preserve"> can read the result.</w:t>
      </w:r>
    </w:p>
    <w:p>
      <w:pPr>
        <w:pStyle w:val="Listnumber1"/>
        <w:numPr>
          <w:ilvl w:val="0"/>
          <w:numId w:val="48"/>
        </w:numPr>
      </w:pPr>
      <w:r>
        <w:rPr>
          <w:b/>
        </w:rPr>
        <w:t>Deliver exports remotely.</w:t>
      </w:r>
      <w:r>
        <w:t xml:space="preserve"> Upload each XLSX to Azure Blob Storage (or SharePoint) and return a short-lived, user-scoped download link instead of a </w:t>
      </w:r>
      <w:r>
        <w:rPr>
          <w:rFonts w:ascii="Consolas" w:hAnsi="Consolas"/>
          <w:color w:val="3411A3"/>
          <w:sz w:val="18"/>
        </w:rPr>
        <w:t>file://</w:t>
      </w:r>
      <w:r>
        <w:t xml:space="preserve"> path. Apply a lifecycle rule that deletes exports after the agreed retention period (fixes KI-01).</w:t>
      </w:r>
    </w:p>
    <w:p>
      <w:pPr>
        <w:pStyle w:val="Listnumber1"/>
        <w:numPr>
          <w:ilvl w:val="0"/>
          <w:numId w:val="48"/>
        </w:numPr>
      </w:pPr>
      <w:r>
        <w:rPr>
          <w:b/>
        </w:rPr>
        <w:t>Make the result store safe for concurrent use</w:t>
      </w:r>
      <w:r>
        <w:t xml:space="preserve"> (KI-10). Add file locking, or move metadata to a transactional store such as Azure Table Storage, SQLite on a single replica, or Redis. Initialise services once at start-up, for example with a </w:t>
      </w:r>
      <w:r>
        <w:rPr>
          <w:rFonts w:ascii="Consolas" w:hAnsi="Consolas"/>
          <w:color w:val="3411A3"/>
          <w:sz w:val="18"/>
        </w:rPr>
        <w:t>lifespan</w:t>
      </w:r>
      <w:r>
        <w:t xml:space="preserve"> hook.</w:t>
      </w:r>
    </w:p>
    <w:p>
      <w:pPr>
        <w:pStyle w:val="Listnumber1"/>
        <w:numPr>
          <w:ilvl w:val="0"/>
          <w:numId w:val="48"/>
        </w:numPr>
      </w:pPr>
      <w:r>
        <w:rPr>
          <w:b/>
        </w:rPr>
        <w:t>Add audit logging and sanitise errors</w:t>
      </w:r>
      <w:r>
        <w:t xml:space="preserve"> (KI-11). For each tool call, record the user, tool, report, scope, </w:t>
      </w:r>
      <w:r>
        <w:rPr>
          <w:rFonts w:ascii="Consolas" w:hAnsi="Consolas"/>
          <w:color w:val="3411A3"/>
          <w:sz w:val="18"/>
        </w:rPr>
        <w:t>query_id</w:t>
      </w:r>
      <w:r>
        <w:t>, row counts, duration and outcome to Application Insights or Log Analytics. Return sanitised errors with a correlation ID.</w:t>
      </w:r>
    </w:p>
    <w:p>
      <w:pPr>
        <w:pStyle w:val="Listnumber1"/>
        <w:numPr>
          <w:ilvl w:val="0"/>
          <w:numId w:val="48"/>
        </w:numPr>
      </w:pPr>
      <w:r>
        <w:rPr>
          <w:b/>
        </w:rPr>
        <w:t>Decide the ad-hoc SQL policy</w:t>
      </w:r>
      <w:r>
        <w:t xml:space="preserve"> (KI-05). Either disable </w:t>
      </w:r>
      <w:r>
        <w:rPr>
          <w:rFonts w:ascii="Consolas" w:hAnsi="Consolas"/>
          <w:color w:val="3411A3"/>
          <w:sz w:val="18"/>
        </w:rPr>
        <w:t>dsn_execute_ad_hoc_sql</w:t>
      </w:r>
      <w:r>
        <w:t xml:space="preserve"> in production with a configuration flag, or limit it to an approved app role.</w:t>
      </w:r>
    </w:p>
    <w:p>
      <w:pPr>
        <w:pStyle w:val="Listnumber1"/>
        <w:numPr>
          <w:ilvl w:val="0"/>
          <w:numId w:val="48"/>
        </w:numPr>
      </w:pPr>
      <w:r>
        <w:rPr>
          <w:b/>
        </w:rPr>
        <w:t>Add a `/healthz` HTTP route</w:t>
      </w:r>
      <w:r>
        <w:t xml:space="preserve"> that the platform can probe without MCP authentication, and keep the MCP </w:t>
      </w:r>
      <w:r>
        <w:rPr>
          <w:rFonts w:ascii="Consolas" w:hAnsi="Consolas"/>
          <w:color w:val="3411A3"/>
          <w:sz w:val="18"/>
        </w:rPr>
        <w:t>health_check</w:t>
      </w:r>
      <w:r>
        <w:t xml:space="preserve"> tool for users.</w:t>
      </w:r>
    </w:p>
    <w:p>
      <w:pPr>
        <w:pStyle w:val="Heading2"/>
      </w:pPr>
      <w:r>
        <w:t>Sample container image</w:t>
      </w:r>
    </w:p>
    <w:p>
      <w:r>
        <w:t>Linux containers need Microsoft ODBC Driver 18 installed from Microsoft's package repository. A starting point (pin the base image digest and package versions in your pipeline):</w:t>
      </w:r>
    </w:p>
    <w:p>
      <w:pPr>
        <w:spacing w:before="80" w:after="200" w:line="240" w:lineRule="auto"/>
        <w:ind w:left="157" w:right="94"/>
        <w:pBdr>
          <w:left w:val="single" w:sz="18" w:space="6" w:color="3411A3"/>
        </w:pBdr>
        <w:shd w:val="clear" w:color="auto" w:fill="F3F1FA"/>
      </w:pPr>
      <w:r>
        <w:rPr>
          <w:rFonts w:ascii="Consolas" w:hAnsi="Consolas"/>
          <w:color w:val="1D1C1C"/>
          <w:sz w:val="16"/>
        </w:rPr>
        <w:t>FROM python:3.12-slim-bookworm</w:t>
        <w:br/>
      </w:r>
      <w:r>
        <w:rPr>
          <w:rFonts w:ascii="Consolas" w:hAnsi="Consolas"/>
          <w:color w:val="1D1C1C"/>
          <w:sz w:val="16"/>
        </w:rPr>
        <w:br/>
      </w:r>
      <w:r>
        <w:rPr>
          <w:rFonts w:ascii="Consolas" w:hAnsi="Consolas"/>
          <w:color w:val="1D1C1C"/>
          <w:sz w:val="16"/>
        </w:rPr>
        <w:t>RUN apt-get update &amp;&amp; apt-get install -y --no-install-recommends curl gnupg2 unixodbc \</w:t>
        <w:br/>
      </w:r>
      <w:r>
        <w:rPr>
          <w:rFonts w:ascii="Consolas" w:hAnsi="Consolas"/>
          <w:color w:val="1D1C1C"/>
          <w:sz w:val="16"/>
        </w:rPr>
        <w:t xml:space="preserve"> &amp;&amp; curl -fsSL https://packages.microsoft.com/keys/microsoft.asc \</w:t>
        <w:br/>
      </w:r>
      <w:r>
        <w:rPr>
          <w:rFonts w:ascii="Consolas" w:hAnsi="Consolas"/>
          <w:color w:val="1D1C1C"/>
          <w:sz w:val="16"/>
        </w:rPr>
        <w:t xml:space="preserve">      | gpg --dearmor -o /usr/share/keyrings/microsoft-prod.gpg \</w:t>
        <w:br/>
      </w:r>
      <w:r>
        <w:rPr>
          <w:rFonts w:ascii="Consolas" w:hAnsi="Consolas"/>
          <w:color w:val="1D1C1C"/>
          <w:sz w:val="16"/>
        </w:rPr>
        <w:t xml:space="preserve"> &amp;&amp; curl -fsSL https://packages.microsoft.com/config/debian/12/prod.list \</w:t>
        <w:br/>
      </w:r>
      <w:r>
        <w:rPr>
          <w:rFonts w:ascii="Consolas" w:hAnsi="Consolas"/>
          <w:color w:val="1D1C1C"/>
          <w:sz w:val="16"/>
        </w:rPr>
        <w:t xml:space="preserve">      &gt; /etc/apt/sources.list.d/mssql-release.list \</w:t>
        <w:br/>
      </w:r>
      <w:r>
        <w:rPr>
          <w:rFonts w:ascii="Consolas" w:hAnsi="Consolas"/>
          <w:color w:val="1D1C1C"/>
          <w:sz w:val="16"/>
        </w:rPr>
        <w:t xml:space="preserve"> &amp;&amp; apt-get update &amp;&amp; ACCEPT_EULA=Y apt-get install -y --no-install-recommends msodbcsql18 \</w:t>
        <w:br/>
      </w:r>
      <w:r>
        <w:rPr>
          <w:rFonts w:ascii="Consolas" w:hAnsi="Consolas"/>
          <w:color w:val="1D1C1C"/>
          <w:sz w:val="16"/>
        </w:rPr>
        <w:t xml:space="preserve"> &amp;&amp; rm -rf /var/lib/apt/lists/*</w:t>
        <w:br/>
      </w:r>
      <w:r>
        <w:rPr>
          <w:rFonts w:ascii="Consolas" w:hAnsi="Consolas"/>
          <w:color w:val="1D1C1C"/>
          <w:sz w:val="16"/>
        </w:rPr>
        <w:br/>
      </w:r>
      <w:r>
        <w:rPr>
          <w:rFonts w:ascii="Consolas" w:hAnsi="Consolas"/>
          <w:color w:val="1D1C1C"/>
          <w:sz w:val="16"/>
        </w:rPr>
        <w:t>WORKDIR /app</w:t>
        <w:br/>
      </w:r>
      <w:r>
        <w:rPr>
          <w:rFonts w:ascii="Consolas" w:hAnsi="Consolas"/>
          <w:color w:val="1D1C1C"/>
          <w:sz w:val="16"/>
        </w:rPr>
        <w:t>COPY requirements.txt .</w:t>
        <w:br/>
      </w:r>
      <w:r>
        <w:rPr>
          <w:rFonts w:ascii="Consolas" w:hAnsi="Consolas"/>
          <w:color w:val="1D1C1C"/>
          <w:sz w:val="16"/>
        </w:rPr>
        <w:t>RUN pip install --no-cache-dir -r requirements.txt</w:t>
        <w:br/>
      </w:r>
      <w:r>
        <w:rPr>
          <w:rFonts w:ascii="Consolas" w:hAnsi="Consolas"/>
          <w:color w:val="1D1C1C"/>
          <w:sz w:val="16"/>
        </w:rPr>
        <w:t>COPY . .</w:t>
        <w:br/>
      </w:r>
      <w:r>
        <w:rPr>
          <w:rFonts w:ascii="Consolas" w:hAnsi="Consolas"/>
          <w:color w:val="1D1C1C"/>
          <w:sz w:val="16"/>
        </w:rPr>
        <w:t>RUN useradd --create-home mcp &amp;&amp; mkdir -p /data &amp;&amp; chown mcp /data</w:t>
        <w:br/>
      </w:r>
      <w:r>
        <w:rPr>
          <w:rFonts w:ascii="Consolas" w:hAnsi="Consolas"/>
          <w:color w:val="1D1C1C"/>
          <w:sz w:val="16"/>
        </w:rPr>
        <w:t>USER mcp</w:t>
        <w:br/>
      </w:r>
      <w:r>
        <w:rPr>
          <w:rFonts w:ascii="Consolas" w:hAnsi="Consolas"/>
          <w:color w:val="1D1C1C"/>
          <w:sz w:val="16"/>
        </w:rPr>
        <w:br/>
      </w:r>
      <w:r>
        <w:rPr>
          <w:rFonts w:ascii="Consolas" w:hAnsi="Consolas"/>
          <w:color w:val="1D1C1C"/>
          <w:sz w:val="16"/>
        </w:rPr>
        <w:t>ENV MCP_TRANSPORT=streamable-http MCP_PORT=8000 \</w:t>
        <w:br/>
      </w:r>
      <w:r>
        <w:rPr>
          <w:rFonts w:ascii="Consolas" w:hAnsi="Consolas"/>
          <w:color w:val="1D1C1C"/>
          <w:sz w:val="16"/>
        </w:rPr>
        <w:t xml:space="preserve">    FABRIC_RESULT_CACHE_DIR=/data/results FABRIC_EXPORT_DIR=/data/exports</w:t>
        <w:br/>
      </w:r>
      <w:r>
        <w:rPr>
          <w:rFonts w:ascii="Consolas" w:hAnsi="Consolas"/>
          <w:color w:val="1D1C1C"/>
          <w:sz w:val="16"/>
        </w:rPr>
        <w:t>EXPOSE 8000</w:t>
        <w:br/>
      </w:r>
      <w:r>
        <w:rPr>
          <w:rFonts w:ascii="Consolas" w:hAnsi="Consolas"/>
          <w:color w:val="1D1C1C"/>
          <w:sz w:val="16"/>
        </w:rPr>
        <w:t>CMD ["python", "server.py"]</w:t>
      </w:r>
    </w:p>
    <w:p>
      <w:r>
        <w:t xml:space="preserve">Add a </w:t>
      </w:r>
      <w:r>
        <w:rPr>
          <w:rFonts w:ascii="Consolas" w:hAnsi="Consolas"/>
          <w:color w:val="3411A3"/>
          <w:sz w:val="18"/>
        </w:rPr>
        <w:t>.dockerignore</w:t>
      </w:r>
      <w:r>
        <w:t xml:space="preserve"> that excludes </w:t>
      </w:r>
      <w:r>
        <w:rPr>
          <w:rFonts w:ascii="Consolas" w:hAnsi="Consolas"/>
          <w:color w:val="3411A3"/>
          <w:sz w:val="18"/>
        </w:rPr>
        <w:t>.env</w:t>
      </w:r>
      <w:r>
        <w:t xml:space="preserve">, </w:t>
      </w:r>
      <w:r>
        <w:rPr>
          <w:rFonts w:ascii="Consolas" w:hAnsi="Consolas"/>
          <w:color w:val="3411A3"/>
          <w:sz w:val="18"/>
        </w:rPr>
        <w:t>.venv/</w:t>
      </w:r>
      <w:r>
        <w:t xml:space="preserve">, </w:t>
      </w:r>
      <w:r>
        <w:rPr>
          <w:rFonts w:ascii="Consolas" w:hAnsi="Consolas"/>
          <w:color w:val="3411A3"/>
          <w:sz w:val="18"/>
        </w:rPr>
        <w:t>runtime/</w:t>
      </w:r>
      <w:r>
        <w:t xml:space="preserve">, </w:t>
      </w:r>
      <w:r>
        <w:rPr>
          <w:rFonts w:ascii="Consolas" w:hAnsi="Consolas"/>
          <w:color w:val="3411A3"/>
          <w:sz w:val="18"/>
        </w:rPr>
        <w:t>exports/</w:t>
      </w:r>
      <w:r>
        <w:t xml:space="preserve">, </w:t>
      </w:r>
      <w:r>
        <w:rPr>
          <w:rFonts w:ascii="Consolas" w:hAnsi="Consolas"/>
          <w:color w:val="3411A3"/>
          <w:sz w:val="18"/>
        </w:rPr>
        <w:t>__pycache__/</w:t>
      </w:r>
      <w:r>
        <w:t xml:space="preserve"> and </w:t>
      </w:r>
      <w:r>
        <w:rPr>
          <w:rFonts w:ascii="Consolas" w:hAnsi="Consolas"/>
          <w:color w:val="3411A3"/>
          <w:sz w:val="18"/>
        </w:rPr>
        <w:t>.git/</w:t>
      </w:r>
      <w:r>
        <w:t xml:space="preserve">, so secrets and cached data never end up in the image. Mount </w:t>
      </w:r>
      <w:r>
        <w:rPr>
          <w:rFonts w:ascii="Consolas" w:hAnsi="Consolas"/>
          <w:color w:val="3411A3"/>
          <w:sz w:val="18"/>
        </w:rPr>
        <w:t>/data</w:t>
      </w:r>
      <w:r>
        <w:t xml:space="preserve"> on encrypted persistent storage, for example an Azure Files share, or replace it with Blob storage as described in Section 7.3.</w:t>
      </w:r>
    </w:p>
    <w:p>
      <w:pPr>
        <w:pStyle w:val="Heading2"/>
      </w:pPr>
      <w:r>
        <w:t>Infrastructure and security checklist</w:t>
      </w:r>
    </w:p>
    <w:p>
      <w:pPr>
        <w:keepNext/>
        <w:spacing w:before="160" w:after="80"/>
      </w:pPr>
      <w:r>
        <w:rPr>
          <w:b/>
          <w:color w:val="3411A3"/>
          <w:sz w:val="18"/>
        </w:rPr>
        <w:t xml:space="preserve">Table 19: </w:t>
      </w:r>
      <w:r>
        <w:rPr>
          <w:color w:val="3411A3"/>
          <w:sz w:val="18"/>
        </w:rPr>
        <w:t>Infrastructure and security checklist</w:t>
      </w:r>
    </w:p>
    <w:tbl>
      <w:tblPr>
        <w:tblStyle w:val="Style1"/>
        <w:tblLook w:firstColumn="1" w:firstRow="1" w:lastColumn="0" w:lastRow="0" w:noHBand="0" w:noVBand="1" w:val="04A0"/>
        <w:tblW w:w="9917" w:type="dxa"/>
        <w:tblCellMar>
          <w:top w:w="50" w:type="dxa"/>
          <w:left w:w="90" w:type="dxa"/>
          <w:bottom w:w="50" w:type="dxa"/>
          <w:right w:w="90" w:type="dxa"/>
        </w:tblCellMar>
        <w:tblLook w:val="04A0" w:firstRow="1" w:lastRow="0" w:firstColumn="0" w:lastColumn="0" w:noHBand="0" w:noVBand="1"/>
      </w:tblPr>
      <w:tblGrid>
        <w:gridCol w:w="2136"/>
        <w:gridCol w:w="7781"/>
      </w:tblGrid>
      <w:tr>
        <w:trPr>
          <w:tblHeader w:val="true"/>
          <w:trHeight w:val="397"/>
          <w:cantSplit w:val="true"/>
        </w:trPr>
        <w:tc>
          <w:tcPr>
            <w:tcW w:type="dxa" w:w="4959"/>
            <w:tcW w:w="2136" w:type="dxa"/>
          </w:tcPr>
          <w:p>
            <w:pPr>
              <w:spacing w:after="0" w:before="0"/>
            </w:pPr>
            <w:r>
              <w:rPr>
                <w:b/>
                <w:color w:val="FFFFFF"/>
                <w:sz w:val="16"/>
              </w:rPr>
              <w:t>Area</w:t>
            </w:r>
          </w:p>
        </w:tc>
        <w:tc>
          <w:tcPr>
            <w:tcW w:type="dxa" w:w="4959"/>
            <w:tcW w:w="7781" w:type="dxa"/>
          </w:tcPr>
          <w:p>
            <w:pPr>
              <w:spacing w:after="0" w:before="0"/>
            </w:pPr>
            <w:r>
              <w:rPr>
                <w:b/>
                <w:color w:val="FFFFFF"/>
                <w:sz w:val="16"/>
              </w:rPr>
              <w:t>What to do</w:t>
            </w:r>
          </w:p>
        </w:tc>
      </w:tr>
      <w:tr>
        <w:trPr>
          <w:cantSplit w:val="true"/>
        </w:trPr>
        <w:tc>
          <w:tcPr>
            <w:tcW w:type="dxa" w:w="4959"/>
            <w:tcW w:w="2136" w:type="dxa"/>
          </w:tcPr>
          <w:p>
            <w:pPr>
              <w:spacing w:after="0" w:before="0"/>
            </w:pPr>
            <w:r>
              <w:rPr>
                <w:sz w:val="16"/>
              </w:rPr>
              <w:t>Hosting</w:t>
            </w:r>
          </w:p>
        </w:tc>
        <w:tc>
          <w:tcPr>
            <w:tcW w:type="dxa" w:w="4959"/>
            <w:tcW w:w="7781" w:type="dxa"/>
          </w:tcPr>
          <w:p>
            <w:pPr>
              <w:spacing w:after="0" w:before="0"/>
            </w:pPr>
            <w:r>
              <w:rPr>
                <w:sz w:val="16"/>
              </w:rPr>
              <w:t xml:space="preserve">Azure Container Apps or App Service for Containers, in the same tenant and region as the Fabric capacity. Start with </w:t>
            </w:r>
            <w:r>
              <w:rPr>
                <w:b/>
                <w:sz w:val="16"/>
              </w:rPr>
              <w:t>one replica</w:t>
            </w:r>
            <w:r>
              <w:rPr>
                <w:sz w:val="16"/>
              </w:rPr>
              <w:t xml:space="preserve"> until the result store is shared and lock-safe.</w:t>
            </w:r>
          </w:p>
        </w:tc>
      </w:tr>
      <w:tr>
        <w:trPr>
          <w:cantSplit w:val="true"/>
        </w:trPr>
        <w:tc>
          <w:tcPr>
            <w:tcW w:type="dxa" w:w="4959"/>
            <w:tcW w:w="2136" w:type="dxa"/>
          </w:tcPr>
          <w:p>
            <w:pPr>
              <w:spacing w:after="0" w:before="0"/>
            </w:pPr>
            <w:r>
              <w:rPr>
                <w:sz w:val="16"/>
              </w:rPr>
              <w:t>Environments</w:t>
            </w:r>
          </w:p>
        </w:tc>
        <w:tc>
          <w:tcPr>
            <w:tcW w:type="dxa" w:w="4959"/>
            <w:tcW w:w="7781" w:type="dxa"/>
          </w:tcPr>
          <w:p>
            <w:pPr>
              <w:spacing w:after="0" w:before="0"/>
            </w:pPr>
            <w:r>
              <w:rPr>
                <w:sz w:val="16"/>
              </w:rPr>
              <w:t>Separate dev, test and prod, each with its own identity, configuration, storage and URL. Never point dev at prod data without approval.</w:t>
            </w:r>
          </w:p>
        </w:tc>
      </w:tr>
      <w:tr>
        <w:trPr>
          <w:cantSplit w:val="true"/>
        </w:trPr>
        <w:tc>
          <w:tcPr>
            <w:tcW w:type="dxa" w:w="4959"/>
            <w:tcW w:w="2136" w:type="dxa"/>
          </w:tcPr>
          <w:p>
            <w:pPr>
              <w:spacing w:after="0" w:before="0"/>
            </w:pPr>
            <w:r>
              <w:rPr>
                <w:sz w:val="16"/>
              </w:rPr>
              <w:t>Identity to Fabric</w:t>
            </w:r>
          </w:p>
        </w:tc>
        <w:tc>
          <w:tcPr>
            <w:tcW w:type="dxa" w:w="4959"/>
            <w:tcW w:w="7781" w:type="dxa"/>
          </w:tcPr>
          <w:p>
            <w:pPr>
              <w:spacing w:after="0" w:before="0"/>
            </w:pPr>
            <w:r>
              <w:rPr>
                <w:sz w:val="16"/>
              </w:rPr>
              <w:t xml:space="preserve">Use a dedicated managed identity (or SP) per environment with Viewer or read-data access to </w:t>
            </w:r>
            <w:r>
              <w:rPr>
                <w:rFonts w:ascii="Consolas" w:hAnsi="Consolas"/>
                <w:color w:val="3411A3"/>
                <w:sz w:val="15"/>
              </w:rPr>
              <w:t>dwh_report</w:t>
            </w:r>
            <w:r>
              <w:rPr>
                <w:sz w:val="16"/>
              </w:rPr>
              <w:t xml:space="preserve"> (and </w:t>
            </w:r>
            <w:r>
              <w:rPr>
                <w:rFonts w:ascii="Consolas" w:hAnsi="Consolas"/>
                <w:color w:val="3411A3"/>
                <w:sz w:val="15"/>
              </w:rPr>
              <w:t>lh_transform</w:t>
            </w:r>
            <w:r>
              <w:rPr>
                <w:sz w:val="16"/>
              </w:rPr>
              <w:t xml:space="preserve">), narrowed with </w:t>
            </w:r>
            <w:r>
              <w:rPr>
                <w:rFonts w:ascii="Consolas" w:hAnsi="Consolas"/>
                <w:color w:val="3411A3"/>
                <w:sz w:val="15"/>
              </w:rPr>
              <w:t>GRANT SELECT ON SCHEMA</w:t>
            </w:r>
            <w:r>
              <w:rPr>
                <w:sz w:val="16"/>
              </w:rPr>
              <w:t>. No write or admin rights.</w:t>
            </w:r>
          </w:p>
        </w:tc>
      </w:tr>
      <w:tr>
        <w:trPr>
          <w:cantSplit w:val="true"/>
        </w:trPr>
        <w:tc>
          <w:tcPr>
            <w:tcW w:type="dxa" w:w="4959"/>
            <w:tcW w:w="2136" w:type="dxa"/>
          </w:tcPr>
          <w:p>
            <w:pPr>
              <w:spacing w:after="0" w:before="0"/>
            </w:pPr>
            <w:r>
              <w:rPr>
                <w:sz w:val="16"/>
              </w:rPr>
              <w:t>User access</w:t>
            </w:r>
          </w:p>
        </w:tc>
        <w:tc>
          <w:tcPr>
            <w:tcW w:type="dxa" w:w="4959"/>
            <w:tcW w:w="7781" w:type="dxa"/>
          </w:tcPr>
          <w:p>
            <w:pPr>
              <w:spacing w:after="0" w:before="0"/>
            </w:pPr>
            <w:r>
              <w:rPr>
                <w:sz w:val="16"/>
              </w:rPr>
              <w:t>Entra app registration for the MCP API, with an app role or scope assigned to a security group of approved DSN analysts. Review membership quarterly.</w:t>
            </w:r>
          </w:p>
        </w:tc>
      </w:tr>
      <w:tr>
        <w:trPr>
          <w:cantSplit w:val="true"/>
        </w:trPr>
        <w:tc>
          <w:tcPr>
            <w:tcW w:type="dxa" w:w="4959"/>
            <w:tcW w:w="2136" w:type="dxa"/>
          </w:tcPr>
          <w:p>
            <w:pPr>
              <w:spacing w:after="0" w:before="0"/>
            </w:pPr>
            <w:r>
              <w:rPr>
                <w:sz w:val="16"/>
              </w:rPr>
              <w:t>Secrets</w:t>
            </w:r>
          </w:p>
        </w:tc>
        <w:tc>
          <w:tcPr>
            <w:tcW w:type="dxa" w:w="4959"/>
            <w:tcW w:w="7781" w:type="dxa"/>
          </w:tcPr>
          <w:p>
            <w:pPr>
              <w:spacing w:after="0" w:before="0"/>
            </w:pPr>
            <w:r>
              <w:rPr>
                <w:sz w:val="16"/>
              </w:rPr>
              <w:t xml:space="preserve">Key Vault with RBAC. No </w:t>
            </w:r>
            <w:r>
              <w:rPr>
                <w:rFonts w:ascii="Consolas" w:hAnsi="Consolas"/>
                <w:color w:val="3411A3"/>
                <w:sz w:val="15"/>
              </w:rPr>
              <w:t>.env</w:t>
            </w:r>
            <w:r>
              <w:rPr>
                <w:sz w:val="16"/>
              </w:rPr>
              <w:t xml:space="preserve"> file in the image or repository. Set rotation reminders.</w:t>
            </w:r>
          </w:p>
        </w:tc>
      </w:tr>
      <w:tr>
        <w:trPr>
          <w:cantSplit w:val="true"/>
        </w:trPr>
        <w:tc>
          <w:tcPr>
            <w:tcW w:type="dxa" w:w="4959"/>
            <w:tcW w:w="2136" w:type="dxa"/>
          </w:tcPr>
          <w:p>
            <w:pPr>
              <w:spacing w:after="0" w:before="0"/>
            </w:pPr>
            <w:r>
              <w:rPr>
                <w:sz w:val="16"/>
              </w:rPr>
              <w:t>Network in</w:t>
            </w:r>
          </w:p>
        </w:tc>
        <w:tc>
          <w:tcPr>
            <w:tcW w:type="dxa" w:w="4959"/>
            <w:tcW w:w="7781" w:type="dxa"/>
          </w:tcPr>
          <w:p>
            <w:pPr>
              <w:spacing w:after="0" w:before="0"/>
            </w:pPr>
            <w:r>
              <w:rPr>
                <w:sz w:val="16"/>
              </w:rPr>
              <w:t>HTTPS only (TLS 1.2+), custom domain and managed certificate. Gateway or WAF with rate limits. Allow-list Anthropic's published egress IPs if claude.ai connectors are used.</w:t>
            </w:r>
          </w:p>
        </w:tc>
      </w:tr>
      <w:tr>
        <w:trPr>
          <w:cantSplit w:val="true"/>
        </w:trPr>
        <w:tc>
          <w:tcPr>
            <w:tcW w:type="dxa" w:w="4959"/>
            <w:tcW w:w="2136" w:type="dxa"/>
          </w:tcPr>
          <w:p>
            <w:pPr>
              <w:spacing w:after="0" w:before="0"/>
            </w:pPr>
            <w:r>
              <w:rPr>
                <w:sz w:val="16"/>
              </w:rPr>
              <w:t>Network out</w:t>
            </w:r>
          </w:p>
        </w:tc>
        <w:tc>
          <w:tcPr>
            <w:tcW w:type="dxa" w:w="4959"/>
            <w:tcW w:w="7781" w:type="dxa"/>
          </w:tcPr>
          <w:p>
            <w:pPr>
              <w:spacing w:after="0" w:before="0"/>
            </w:pPr>
            <w:r>
              <w:rPr>
                <w:sz w:val="16"/>
              </w:rPr>
              <w:t xml:space="preserve">Allow only </w:t>
            </w:r>
            <w:r>
              <w:rPr>
                <w:rFonts w:ascii="Consolas" w:hAnsi="Consolas"/>
                <w:color w:val="3411A3"/>
                <w:sz w:val="15"/>
              </w:rPr>
              <w:t>login.microsoftonline.com</w:t>
            </w:r>
            <w:r>
              <w:rPr>
                <w:sz w:val="16"/>
              </w:rPr>
              <w:t xml:space="preserve"> (443), the Fabric SQL endpoint (1433) and Azure Storage, Key Vault and monitoring endpoints.</w:t>
            </w:r>
          </w:p>
        </w:tc>
      </w:tr>
      <w:tr>
        <w:trPr>
          <w:cantSplit w:val="true"/>
        </w:trPr>
        <w:tc>
          <w:tcPr>
            <w:tcW w:type="dxa" w:w="4959"/>
            <w:tcW w:w="2136" w:type="dxa"/>
          </w:tcPr>
          <w:p>
            <w:pPr>
              <w:spacing w:after="0" w:before="0"/>
            </w:pPr>
            <w:r>
              <w:rPr>
                <w:sz w:val="16"/>
              </w:rPr>
              <w:t>Data at rest</w:t>
            </w:r>
          </w:p>
        </w:tc>
        <w:tc>
          <w:tcPr>
            <w:tcW w:type="dxa" w:w="4959"/>
            <w:tcW w:w="7781" w:type="dxa"/>
          </w:tcPr>
          <w:p>
            <w:pPr>
              <w:spacing w:after="0" w:before="0"/>
            </w:pPr>
            <w:r>
              <w:rPr>
                <w:sz w:val="16"/>
              </w:rPr>
              <w:t>Encrypted storage for the cache and exports, with lifecycle deletion (for example cache 24 h, exports 7-30 days according to DSN policy). No public blob access.</w:t>
            </w:r>
          </w:p>
        </w:tc>
      </w:tr>
      <w:tr>
        <w:trPr>
          <w:cantSplit w:val="true"/>
        </w:trPr>
        <w:tc>
          <w:tcPr>
            <w:tcW w:type="dxa" w:w="4959"/>
            <w:tcW w:w="2136" w:type="dxa"/>
          </w:tcPr>
          <w:p>
            <w:pPr>
              <w:spacing w:after="0" w:before="0"/>
            </w:pPr>
            <w:r>
              <w:rPr>
                <w:sz w:val="16"/>
              </w:rPr>
              <w:t>Monitoring</w:t>
            </w:r>
          </w:p>
        </w:tc>
        <w:tc>
          <w:tcPr>
            <w:tcW w:type="dxa" w:w="4959"/>
            <w:tcW w:w="7781" w:type="dxa"/>
          </w:tcPr>
          <w:p>
            <w:pPr>
              <w:spacing w:after="0" w:before="0"/>
            </w:pPr>
            <w:r>
              <w:rPr>
                <w:sz w:val="16"/>
              </w:rPr>
              <w:t>Application Insights or Log Analytics, with alerts on authentication failures, query error rate, p95 latency, storage growth and container restarts.</w:t>
            </w:r>
          </w:p>
        </w:tc>
      </w:tr>
      <w:tr>
        <w:trPr>
          <w:cantSplit w:val="true"/>
        </w:trPr>
        <w:tc>
          <w:tcPr>
            <w:tcW w:type="dxa" w:w="4959"/>
            <w:tcW w:w="2136" w:type="dxa"/>
          </w:tcPr>
          <w:p>
            <w:pPr>
              <w:spacing w:after="0" w:before="0"/>
            </w:pPr>
            <w:r>
              <w:rPr>
                <w:sz w:val="16"/>
              </w:rPr>
              <w:t>Capacity</w:t>
            </w:r>
          </w:p>
        </w:tc>
        <w:tc>
          <w:tcPr>
            <w:tcW w:type="dxa" w:w="4959"/>
            <w:tcW w:w="7781" w:type="dxa"/>
          </w:tcPr>
          <w:p>
            <w:pPr>
              <w:spacing w:after="0" w:before="0"/>
            </w:pPr>
            <w:r>
              <w:rPr>
                <w:sz w:val="16"/>
              </w:rPr>
              <w:t>Load-test realistic concurrent use. Watch Fabric capacity unit (CU) consumption, because detailed core queries over long windows are expensive.</w:t>
            </w:r>
          </w:p>
        </w:tc>
      </w:tr>
      <w:tr>
        <w:trPr>
          <w:cantSplit w:val="true"/>
        </w:trPr>
        <w:tc>
          <w:tcPr>
            <w:tcW w:type="dxa" w:w="4959"/>
            <w:tcW w:w="2136" w:type="dxa"/>
          </w:tcPr>
          <w:p>
            <w:pPr>
              <w:spacing w:after="0" w:before="0"/>
            </w:pPr>
            <w:r>
              <w:rPr>
                <w:sz w:val="16"/>
              </w:rPr>
              <w:t>CI/CD</w:t>
            </w:r>
          </w:p>
        </w:tc>
        <w:tc>
          <w:tcPr>
            <w:tcW w:type="dxa" w:w="4959"/>
            <w:tcW w:w="7781" w:type="dxa"/>
          </w:tcPr>
          <w:p>
            <w:pPr>
              <w:spacing w:after="0" w:before="0"/>
            </w:pPr>
            <w:r>
              <w:rPr>
                <w:sz w:val="16"/>
              </w:rPr>
              <w:t>Pipeline: lint, unit tests, dependency and image vulnerability scan, build, push, deploy to test, smoke test, approval gate, deploy to prod.</w:t>
            </w:r>
          </w:p>
        </w:tc>
      </w:tr>
      <w:tr>
        <w:trPr>
          <w:cantSplit w:val="true"/>
        </w:trPr>
        <w:tc>
          <w:tcPr>
            <w:tcW w:type="dxa" w:w="4959"/>
            <w:tcW w:w="2136" w:type="dxa"/>
          </w:tcPr>
          <w:p>
            <w:pPr>
              <w:spacing w:after="0" w:before="0"/>
            </w:pPr>
            <w:r>
              <w:rPr>
                <w:sz w:val="16"/>
              </w:rPr>
              <w:t>Data protection</w:t>
            </w:r>
          </w:p>
        </w:tc>
        <w:tc>
          <w:tcPr>
            <w:tcW w:type="dxa" w:w="4959"/>
            <w:tcW w:w="7781" w:type="dxa"/>
          </w:tcPr>
          <w:p>
            <w:pPr>
              <w:spacing w:after="0" w:before="0"/>
            </w:pPr>
            <w:r>
              <w:rPr>
                <w:sz w:val="16"/>
              </w:rPr>
              <w:t>Confirm data classification and approval to process DSN data through Claude with the client's information-security team before go-live.</w:t>
            </w:r>
          </w:p>
        </w:tc>
      </w:tr>
    </w:tbl>
    <w:p>
      <w:pPr>
        <w:spacing w:after="80"/>
      </w:pPr>
    </w:p>
    <w:p>
      <w:pPr>
        <w:pStyle w:val="Heading2"/>
      </w:pPr>
      <w:r>
        <w:t>Step-by-step deployment runbook</w:t>
      </w:r>
    </w:p>
    <w:p>
      <w:pPr>
        <w:pStyle w:val="Listnumber1"/>
        <w:numPr>
          <w:ilvl w:val="0"/>
          <w:numId w:val="49"/>
        </w:numPr>
      </w:pPr>
      <w:r>
        <w:rPr>
          <w:b/>
        </w:rPr>
        <w:t>Agree scope and owners.</w:t>
      </w:r>
      <w:r>
        <w:t xml:space="preserve"> Name the service owner, platform owner and business owner, the target Claude plan (Team or Enterprise), and data-handling approval.</w:t>
      </w:r>
    </w:p>
    <w:p>
      <w:pPr>
        <w:pStyle w:val="Listnumber1"/>
        <w:numPr>
          <w:ilvl w:val="0"/>
          <w:numId w:val="49"/>
        </w:numPr>
      </w:pPr>
      <w:r>
        <w:rPr>
          <w:b/>
        </w:rPr>
        <w:t>Make the code changes</w:t>
      </w:r>
      <w:r>
        <w:t xml:space="preserve"> in Section 7.3 on a feature branch. Get them peer-reviewed and run all unit tests, plus new tests for authentication, per-user isolation and export upload.</w:t>
      </w:r>
    </w:p>
    <w:p>
      <w:pPr>
        <w:pStyle w:val="Listnumber1"/>
        <w:numPr>
          <w:ilvl w:val="0"/>
          <w:numId w:val="49"/>
        </w:numPr>
      </w:pPr>
      <w:r>
        <w:rPr>
          <w:b/>
        </w:rPr>
        <w:t>Provision Azure resources</w:t>
      </w:r>
      <w:r>
        <w:t xml:space="preserve"> (preferably with Bicep or Terraform): resource group, container registry, Container Apps environment, Key Vault, storage account (cache and exports containers with lifecycle rules), and Log Analytics with Application Insights.</w:t>
      </w:r>
    </w:p>
    <w:p>
      <w:pPr>
        <w:pStyle w:val="Listnumber1"/>
        <w:numPr>
          <w:ilvl w:val="0"/>
          <w:numId w:val="49"/>
        </w:numPr>
      </w:pPr>
      <w:r>
        <w:rPr>
          <w:b/>
        </w:rPr>
        <w:t>Create identities.</w:t>
      </w:r>
      <w:r>
        <w:t xml:space="preserve"> Create a user-assigned managed identity for the container and grant it Fabric read access, Key Vault Secrets User and Storage Blob Data Contributor. Create the Entra app registration that protects the MCP API and assign the analyst security group.</w:t>
      </w:r>
    </w:p>
    <w:p>
      <w:pPr>
        <w:pStyle w:val="Listnumber1"/>
        <w:numPr>
          <w:ilvl w:val="0"/>
          <w:numId w:val="49"/>
        </w:numPr>
      </w:pPr>
      <w:r>
        <w:rPr>
          <w:b/>
        </w:rPr>
        <w:t>Check Fabric access from Azure.</w:t>
      </w:r>
      <w:r>
        <w:t xml:space="preserve"> Run </w:t>
      </w:r>
      <w:r>
        <w:rPr>
          <w:rFonts w:ascii="Consolas" w:hAnsi="Consolas"/>
          <w:color w:val="3411A3"/>
          <w:sz w:val="18"/>
        </w:rPr>
        <w:t>tests/integration_test.py</w:t>
      </w:r>
      <w:r>
        <w:t xml:space="preserve"> as a one-off job inside the environment to prove the identity can sign in and query.</w:t>
      </w:r>
    </w:p>
    <w:p>
      <w:pPr>
        <w:pStyle w:val="Listnumber1"/>
        <w:numPr>
          <w:ilvl w:val="0"/>
          <w:numId w:val="49"/>
        </w:numPr>
      </w:pPr>
      <w:r>
        <w:rPr>
          <w:b/>
        </w:rPr>
        <w:t>Build and push the image</w:t>
      </w:r>
      <w:r>
        <w:t xml:space="preserve"> through CI, tagged with the git commit SHA and the business rule version.</w:t>
      </w:r>
    </w:p>
    <w:p>
      <w:pPr>
        <w:pStyle w:val="Listnumber1"/>
        <w:numPr>
          <w:ilvl w:val="0"/>
          <w:numId w:val="49"/>
        </w:numPr>
      </w:pPr>
      <w:r>
        <w:rPr>
          <w:b/>
        </w:rPr>
        <w:t>Configure the container app.</w:t>
      </w:r>
      <w:r>
        <w:t xml:space="preserve"> Use the same </w:t>
      </w:r>
      <w:r>
        <w:rPr>
          <w:rFonts w:ascii="Consolas" w:hAnsi="Consolas"/>
          <w:color w:val="3411A3"/>
          <w:sz w:val="18"/>
        </w:rPr>
        <w:t>FABRIC_*</w:t>
      </w:r>
      <w:r>
        <w:t xml:space="preserve"> variables as Table 11, plus the new settings:</w:t>
      </w:r>
    </w:p>
    <w:p>
      <w:pPr>
        <w:pStyle w:val="SubBullet"/>
      </w:pPr>
      <w:r>
        <w:rPr>
          <w:rFonts w:ascii="Consolas" w:hAnsi="Consolas"/>
          <w:color w:val="3411A3"/>
          <w:sz w:val="18"/>
        </w:rPr>
        <w:t>MCP_TRANSPORT=streamable-http</w:t>
      </w:r>
      <w:r>
        <w:t xml:space="preserve">, </w:t>
      </w:r>
      <w:r>
        <w:rPr>
          <w:rFonts w:ascii="Consolas" w:hAnsi="Consolas"/>
          <w:color w:val="3411A3"/>
          <w:sz w:val="18"/>
        </w:rPr>
        <w:t>MCP_HOST=0.0.0.0</w:t>
      </w:r>
      <w:r>
        <w:t xml:space="preserve">, </w:t>
      </w:r>
      <w:r>
        <w:rPr>
          <w:rFonts w:ascii="Consolas" w:hAnsi="Consolas"/>
          <w:color w:val="3411A3"/>
          <w:sz w:val="18"/>
        </w:rPr>
        <w:t>MCP_PORT=8000</w:t>
      </w:r>
    </w:p>
    <w:p>
      <w:pPr>
        <w:pStyle w:val="SubBullet"/>
      </w:pPr>
      <w:r>
        <w:rPr>
          <w:rFonts w:ascii="Consolas" w:hAnsi="Consolas"/>
          <w:color w:val="3411A3"/>
          <w:sz w:val="18"/>
        </w:rPr>
        <w:t>FABRIC_RESULT_CACHE_DIR</w:t>
      </w:r>
      <w:r>
        <w:t xml:space="preserve"> and </w:t>
      </w:r>
      <w:r>
        <w:rPr>
          <w:rFonts w:ascii="Consolas" w:hAnsi="Consolas"/>
          <w:color w:val="3411A3"/>
          <w:sz w:val="18"/>
        </w:rPr>
        <w:t>FABRIC_EXPORT_DIR</w:t>
      </w:r>
      <w:r>
        <w:t xml:space="preserve"> on mounted storage (or the new Blob settings)</w:t>
      </w:r>
    </w:p>
    <w:p>
      <w:pPr>
        <w:pStyle w:val="SubBullet"/>
      </w:pPr>
      <w:r>
        <w:t>Authentication settings (issuer, audience, required scope or role) and the ad-hoc SQL on/off flag</w:t>
      </w:r>
    </w:p>
    <w:p>
      <w:pPr>
        <w:pStyle w:val="SubBullet"/>
      </w:pPr>
      <w:r>
        <w:t>Secrets only as Key Vault references</w:t>
      </w:r>
    </w:p>
    <w:p>
      <w:pPr>
        <w:pStyle w:val="Listnumber1"/>
        <w:numPr>
          <w:ilvl w:val="0"/>
          <w:numId w:val="49"/>
        </w:numPr>
      </w:pPr>
      <w:r>
        <w:rPr>
          <w:b/>
        </w:rPr>
        <w:t>Deploy to test.</w:t>
      </w:r>
      <w:r>
        <w:t xml:space="preserve"> Turn on HTTPS ingress with the custom domain, health probes on </w:t>
      </w:r>
      <w:r>
        <w:rPr>
          <w:rFonts w:ascii="Consolas" w:hAnsi="Consolas"/>
          <w:color w:val="3411A3"/>
          <w:sz w:val="18"/>
        </w:rPr>
        <w:t>/healthz</w:t>
      </w:r>
      <w:r>
        <w:t>, and the gateway or WAF rules.</w:t>
      </w:r>
    </w:p>
    <w:p>
      <w:pPr>
        <w:pStyle w:val="Listnumber1"/>
        <w:numPr>
          <w:ilvl w:val="0"/>
          <w:numId w:val="49"/>
        </w:numPr>
      </w:pPr>
      <w:r>
        <w:rPr>
          <w:b/>
        </w:rPr>
        <w:t>Smoke-test with the MCP Inspector</w:t>
      </w:r>
      <w:r>
        <w:t xml:space="preserve"> (</w:t>
      </w:r>
      <w:r>
        <w:rPr>
          <w:rFonts w:ascii="Consolas" w:hAnsi="Consolas"/>
          <w:color w:val="3411A3"/>
          <w:sz w:val="18"/>
        </w:rPr>
        <w:t>npx @modelcontextprotocol/inspector</w:t>
      </w:r>
      <w:r>
        <w:t xml:space="preserve">). Connect to </w:t>
      </w:r>
      <w:r>
        <w:rPr>
          <w:rFonts w:ascii="Consolas" w:hAnsi="Consolas"/>
          <w:color w:val="3411A3"/>
          <w:sz w:val="18"/>
        </w:rPr>
        <w:t>https://&lt;host&gt;/mcp</w:t>
      </w:r>
      <w:r>
        <w:t xml:space="preserve">, sign in, and call </w:t>
      </w:r>
      <w:r>
        <w:rPr>
          <w:rFonts w:ascii="Consolas" w:hAnsi="Consolas"/>
          <w:color w:val="3411A3"/>
          <w:sz w:val="18"/>
        </w:rPr>
        <w:t>health_check</w:t>
      </w:r>
      <w:r>
        <w:t xml:space="preserve">, </w:t>
      </w:r>
      <w:r>
        <w:rPr>
          <w:rFonts w:ascii="Consolas" w:hAnsi="Consolas"/>
          <w:color w:val="3411A3"/>
          <w:sz w:val="18"/>
        </w:rPr>
        <w:t>dsn_catalog list_reports</w:t>
      </w:r>
      <w:r>
        <w:t xml:space="preserve">, a one-month </w:t>
      </w:r>
      <w:r>
        <w:rPr>
          <w:rFonts w:ascii="Consolas" w:hAnsi="Consolas"/>
          <w:color w:val="3411A3"/>
          <w:sz w:val="18"/>
        </w:rPr>
        <w:t>core_transactions</w:t>
      </w:r>
      <w:r>
        <w:t xml:space="preserve"> and an export. Confirm that a second user </w:t>
      </w:r>
      <w:r>
        <w:rPr>
          <w:b/>
        </w:rPr>
        <w:t>cannot</w:t>
      </w:r>
      <w:r>
        <w:t xml:space="preserve"> read the first user's </w:t>
      </w:r>
      <w:r>
        <w:rPr>
          <w:rFonts w:ascii="Consolas" w:hAnsi="Consolas"/>
          <w:color w:val="3411A3"/>
          <w:sz w:val="18"/>
        </w:rPr>
        <w:t>query_id</w:t>
      </w:r>
      <w:r>
        <w:t>.</w:t>
      </w:r>
    </w:p>
    <w:p>
      <w:pPr>
        <w:pStyle w:val="Listnumber1"/>
        <w:numPr>
          <w:ilvl w:val="0"/>
          <w:numId w:val="49"/>
        </w:numPr>
      </w:pPr>
      <w:r>
        <w:rPr>
          <w:b/>
        </w:rPr>
        <w:t>Register the connector in Claude.</w:t>
      </w:r>
      <w:r>
        <w:t xml:space="preserve"> An organisation owner adds a custom connector with the server URL and OAuth details, and makes it available to the analyst group. Provision the DSN Fabric Analytics skill organisation-wide.</w:t>
      </w:r>
    </w:p>
    <w:p>
      <w:pPr>
        <w:pStyle w:val="Listnumber1"/>
        <w:numPr>
          <w:ilvl w:val="0"/>
          <w:numId w:val="49"/>
        </w:numPr>
      </w:pPr>
      <w:r>
        <w:rPr>
          <w:b/>
        </w:rPr>
        <w:t>Pilot.</w:t>
      </w:r>
      <w:r>
        <w:t xml:space="preserve"> Run a 1-2 week pilot with a few analysts. Reconcile at least one month for every report against legacy outputs and record the sign-off.</w:t>
      </w:r>
    </w:p>
    <w:p>
      <w:pPr>
        <w:pStyle w:val="Listnumber1"/>
        <w:numPr>
          <w:ilvl w:val="0"/>
          <w:numId w:val="49"/>
        </w:numPr>
      </w:pPr>
      <w:r>
        <w:rPr>
          <w:b/>
        </w:rPr>
        <w:t>Go live and decommission local installs.</w:t>
      </w:r>
      <w:r>
        <w:t xml:space="preserve"> Remove the local </w:t>
      </w:r>
      <w:r>
        <w:rPr>
          <w:rFonts w:ascii="Consolas" w:hAnsi="Consolas"/>
          <w:color w:val="3411A3"/>
          <w:sz w:val="18"/>
        </w:rPr>
        <w:t>mcpServers</w:t>
      </w:r>
      <w:r>
        <w:t xml:space="preserve"> entry and </w:t>
      </w:r>
      <w:r>
        <w:rPr>
          <w:rFonts w:ascii="Consolas" w:hAnsi="Consolas"/>
          <w:color w:val="3411A3"/>
          <w:sz w:val="18"/>
        </w:rPr>
        <w:t>.env</w:t>
      </w:r>
      <w:r>
        <w:t xml:space="preserve"> files from analyst laptops, delete their cached </w:t>
      </w:r>
      <w:r>
        <w:rPr>
          <w:rFonts w:ascii="Consolas" w:hAnsi="Consolas"/>
          <w:color w:val="3411A3"/>
          <w:sz w:val="18"/>
        </w:rPr>
        <w:t>runtime/</w:t>
      </w:r>
      <w:r>
        <w:t xml:space="preserve"> and </w:t>
      </w:r>
      <w:r>
        <w:rPr>
          <w:rFonts w:ascii="Consolas" w:hAnsi="Consolas"/>
          <w:color w:val="3411A3"/>
          <w:sz w:val="18"/>
        </w:rPr>
        <w:t>exports/</w:t>
      </w:r>
      <w:r>
        <w:t xml:space="preserve"> folders, and </w:t>
      </w:r>
      <w:r>
        <w:rPr>
          <w:b/>
        </w:rPr>
        <w:t>rotate the old SP secret</w:t>
      </w:r>
      <w:r>
        <w:t xml:space="preserve"> that was distributed to laptops.</w:t>
      </w:r>
    </w:p>
    <w:p>
      <w:pPr>
        <w:pStyle w:val="Listnumber1"/>
        <w:numPr>
          <w:ilvl w:val="0"/>
          <w:numId w:val="49"/>
        </w:numPr>
      </w:pPr>
      <w:r>
        <w:rPr>
          <w:b/>
        </w:rPr>
        <w:t>Hypercare.</w:t>
      </w:r>
      <w:r>
        <w:t xml:space="preserve"> For two weeks, review logs and alerts daily, track feedback and adjust capacity.</w:t>
      </w:r>
    </w:p>
    <w:p>
      <w:pPr>
        <w:pStyle w:val="Heading2"/>
      </w:pPr>
      <w:r>
        <w:t>Go-live checklist</w:t>
      </w:r>
    </w:p>
    <w:p>
      <w:pPr>
        <w:keepNext/>
        <w:spacing w:before="160" w:after="80"/>
      </w:pPr>
      <w:r>
        <w:rPr>
          <w:b/>
          <w:color w:val="3411A3"/>
          <w:sz w:val="18"/>
        </w:rPr>
        <w:t xml:space="preserve">Table 20: </w:t>
      </w:r>
      <w:r>
        <w:rPr>
          <w:color w:val="3411A3"/>
          <w:sz w:val="18"/>
        </w:rPr>
        <w:t>Go-live checklist</w:t>
      </w:r>
    </w:p>
    <w:tbl>
      <w:tblPr>
        <w:tblStyle w:val="Style1"/>
        <w:tblLook w:firstColumn="1" w:firstRow="1" w:lastColumn="0" w:lastRow="0" w:noHBand="0" w:noVBand="1" w:val="04A0"/>
        <w:tblW w:w="9916" w:type="dxa"/>
        <w:tblCellMar>
          <w:top w:w="50" w:type="dxa"/>
          <w:left w:w="90" w:type="dxa"/>
          <w:bottom w:w="50" w:type="dxa"/>
          <w:right w:w="90" w:type="dxa"/>
        </w:tblCellMar>
        <w:tblLook w:val="04A0" w:firstRow="1" w:lastRow="0" w:firstColumn="0" w:lastColumn="0" w:noHBand="0" w:noVBand="1"/>
      </w:tblPr>
      <w:tblGrid>
        <w:gridCol w:w="610"/>
        <w:gridCol w:w="5950"/>
        <w:gridCol w:w="2441"/>
        <w:gridCol w:w="915"/>
      </w:tblGrid>
      <w:tr>
        <w:trPr>
          <w:tblHeader w:val="true"/>
          <w:trHeight w:val="397"/>
          <w:cantSplit w:val="true"/>
        </w:trPr>
        <w:tc>
          <w:tcPr>
            <w:tcW w:type="dxa" w:w="2479"/>
            <w:tcW w:w="610" w:type="dxa"/>
          </w:tcPr>
          <w:p>
            <w:pPr>
              <w:spacing w:after="0" w:before="0"/>
            </w:pPr>
            <w:r>
              <w:rPr>
                <w:b/>
                <w:color w:val="FFFFFF"/>
                <w:sz w:val="17"/>
              </w:rPr>
              <w:t>#</w:t>
            </w:r>
          </w:p>
        </w:tc>
        <w:tc>
          <w:tcPr>
            <w:tcW w:type="dxa" w:w="2479"/>
            <w:tcW w:w="5950" w:type="dxa"/>
          </w:tcPr>
          <w:p>
            <w:pPr>
              <w:spacing w:after="0" w:before="0"/>
            </w:pPr>
            <w:r>
              <w:rPr>
                <w:b/>
                <w:color w:val="FFFFFF"/>
                <w:sz w:val="17"/>
              </w:rPr>
              <w:t>Check</w:t>
            </w:r>
          </w:p>
        </w:tc>
        <w:tc>
          <w:tcPr>
            <w:tcW w:type="dxa" w:w="2479"/>
            <w:tcW w:w="2441" w:type="dxa"/>
          </w:tcPr>
          <w:p>
            <w:pPr>
              <w:spacing w:after="0" w:before="0"/>
            </w:pPr>
            <w:r>
              <w:rPr>
                <w:b/>
                <w:color w:val="FFFFFF"/>
                <w:sz w:val="17"/>
              </w:rPr>
              <w:t>Owner</w:t>
            </w:r>
          </w:p>
        </w:tc>
        <w:tc>
          <w:tcPr>
            <w:tcW w:type="dxa" w:w="2479"/>
            <w:tcW w:w="915" w:type="dxa"/>
          </w:tcPr>
          <w:p>
            <w:pPr>
              <w:spacing w:after="0" w:before="0"/>
            </w:pPr>
            <w:r>
              <w:rPr>
                <w:b/>
                <w:color w:val="FFFFFF"/>
                <w:sz w:val="17"/>
              </w:rPr>
              <w:t>Done</w:t>
            </w:r>
          </w:p>
        </w:tc>
      </w:tr>
      <w:tr>
        <w:trPr>
          <w:cantSplit w:val="true"/>
        </w:trPr>
        <w:tc>
          <w:tcPr>
            <w:tcW w:type="dxa" w:w="2479"/>
            <w:tcW w:w="610" w:type="dxa"/>
          </w:tcPr>
          <w:p>
            <w:pPr>
              <w:spacing w:after="0" w:before="0"/>
            </w:pPr>
            <w:r>
              <w:rPr>
                <w:sz w:val="17"/>
              </w:rPr>
              <w:t>1</w:t>
            </w:r>
          </w:p>
        </w:tc>
        <w:tc>
          <w:tcPr>
            <w:tcW w:type="dxa" w:w="2479"/>
            <w:tcW w:w="5950" w:type="dxa"/>
          </w:tcPr>
          <w:p>
            <w:pPr>
              <w:spacing w:after="0" w:before="0"/>
            </w:pPr>
            <w:r>
              <w:rPr>
                <w:sz w:val="17"/>
              </w:rPr>
              <w:t>Data-handling approval and classification confirmed</w:t>
            </w:r>
          </w:p>
        </w:tc>
        <w:tc>
          <w:tcPr>
            <w:tcW w:type="dxa" w:w="2479"/>
            <w:tcW w:w="2441" w:type="dxa"/>
          </w:tcPr>
          <w:p>
            <w:pPr>
              <w:spacing w:after="0" w:before="0"/>
            </w:pPr>
            <w:r>
              <w:rPr>
                <w:sz w:val="17"/>
              </w:rPr>
              <w:t>Business owner / InfoSec</w:t>
            </w:r>
          </w:p>
        </w:tc>
        <w:tc>
          <w:tcPr>
            <w:tcW w:type="dxa" w:w="2479"/>
            <w:tcW w:w="915" w:type="dxa"/>
          </w:tcPr>
          <w:p>
            <w:pPr>
              <w:spacing w:after="0" w:before="0"/>
            </w:pPr>
            <w:r>
              <w:rPr>
                <w:sz w:val="17"/>
              </w:rPr>
              <w:t>☐</w:t>
            </w:r>
          </w:p>
        </w:tc>
      </w:tr>
      <w:tr>
        <w:trPr>
          <w:cantSplit w:val="true"/>
        </w:trPr>
        <w:tc>
          <w:tcPr>
            <w:tcW w:type="dxa" w:w="2479"/>
            <w:tcW w:w="610" w:type="dxa"/>
          </w:tcPr>
          <w:p>
            <w:pPr>
              <w:spacing w:after="0" w:before="0"/>
            </w:pPr>
            <w:r>
              <w:rPr>
                <w:sz w:val="17"/>
              </w:rPr>
              <w:t>2</w:t>
            </w:r>
          </w:p>
        </w:tc>
        <w:tc>
          <w:tcPr>
            <w:tcW w:type="dxa" w:w="2479"/>
            <w:tcW w:w="5950" w:type="dxa"/>
          </w:tcPr>
          <w:p>
            <w:pPr>
              <w:spacing w:after="0" w:before="0"/>
            </w:pPr>
            <w:r>
              <w:rPr>
                <w:sz w:val="17"/>
              </w:rPr>
              <w:t>Streamable HTTP transport, OAuth token checks and per-user isolation implemented and tested</w:t>
            </w:r>
          </w:p>
        </w:tc>
        <w:tc>
          <w:tcPr>
            <w:tcW w:type="dxa" w:w="2479"/>
            <w:tcW w:w="2441" w:type="dxa"/>
          </w:tcPr>
          <w:p>
            <w:pPr>
              <w:spacing w:after="0" w:before="0"/>
            </w:pPr>
            <w:r>
              <w:rPr>
                <w:sz w:val="17"/>
              </w:rPr>
              <w:t>Engineering</w:t>
            </w:r>
          </w:p>
        </w:tc>
        <w:tc>
          <w:tcPr>
            <w:tcW w:type="dxa" w:w="2479"/>
            <w:tcW w:w="915" w:type="dxa"/>
          </w:tcPr>
          <w:p>
            <w:pPr>
              <w:spacing w:after="0" w:before="0"/>
            </w:pPr>
            <w:r>
              <w:rPr>
                <w:sz w:val="17"/>
              </w:rPr>
              <w:t>☐</w:t>
            </w:r>
          </w:p>
        </w:tc>
      </w:tr>
      <w:tr>
        <w:trPr>
          <w:cantSplit w:val="true"/>
        </w:trPr>
        <w:tc>
          <w:tcPr>
            <w:tcW w:type="dxa" w:w="2479"/>
            <w:tcW w:w="610" w:type="dxa"/>
          </w:tcPr>
          <w:p>
            <w:pPr>
              <w:spacing w:after="0" w:before="0"/>
            </w:pPr>
            <w:r>
              <w:rPr>
                <w:sz w:val="17"/>
              </w:rPr>
              <w:t>3</w:t>
            </w:r>
          </w:p>
        </w:tc>
        <w:tc>
          <w:tcPr>
            <w:tcW w:type="dxa" w:w="2479"/>
            <w:tcW w:w="5950" w:type="dxa"/>
          </w:tcPr>
          <w:p>
            <w:pPr>
              <w:spacing w:after="0" w:before="0"/>
            </w:pPr>
            <w:r>
              <w:rPr>
                <w:sz w:val="17"/>
              </w:rPr>
              <w:t>No secrets in the image or repository; managed identity or Key Vault in use</w:t>
            </w:r>
          </w:p>
        </w:tc>
        <w:tc>
          <w:tcPr>
            <w:tcW w:type="dxa" w:w="2479"/>
            <w:tcW w:w="2441" w:type="dxa"/>
          </w:tcPr>
          <w:p>
            <w:pPr>
              <w:spacing w:after="0" w:before="0"/>
            </w:pPr>
            <w:r>
              <w:rPr>
                <w:sz w:val="17"/>
              </w:rPr>
              <w:t>Engineering</w:t>
            </w:r>
          </w:p>
        </w:tc>
        <w:tc>
          <w:tcPr>
            <w:tcW w:type="dxa" w:w="2479"/>
            <w:tcW w:w="915" w:type="dxa"/>
          </w:tcPr>
          <w:p>
            <w:pPr>
              <w:spacing w:after="0" w:before="0"/>
            </w:pPr>
            <w:r>
              <w:rPr>
                <w:sz w:val="17"/>
              </w:rPr>
              <w:t>☐</w:t>
            </w:r>
          </w:p>
        </w:tc>
      </w:tr>
      <w:tr>
        <w:trPr>
          <w:cantSplit w:val="true"/>
        </w:trPr>
        <w:tc>
          <w:tcPr>
            <w:tcW w:type="dxa" w:w="2479"/>
            <w:tcW w:w="610" w:type="dxa"/>
          </w:tcPr>
          <w:p>
            <w:pPr>
              <w:spacing w:after="0" w:before="0"/>
            </w:pPr>
            <w:r>
              <w:rPr>
                <w:sz w:val="17"/>
              </w:rPr>
              <w:t>4</w:t>
            </w:r>
          </w:p>
        </w:tc>
        <w:tc>
          <w:tcPr>
            <w:tcW w:type="dxa" w:w="2479"/>
            <w:tcW w:w="5950" w:type="dxa"/>
          </w:tcPr>
          <w:p>
            <w:pPr>
              <w:spacing w:after="0" w:before="0"/>
            </w:pPr>
            <w:r>
              <w:rPr>
                <w:sz w:val="17"/>
              </w:rPr>
              <w:t>Fabric identity is read-only and limited to the required schemas</w:t>
            </w:r>
          </w:p>
        </w:tc>
        <w:tc>
          <w:tcPr>
            <w:tcW w:type="dxa" w:w="2479"/>
            <w:tcW w:w="2441" w:type="dxa"/>
          </w:tcPr>
          <w:p>
            <w:pPr>
              <w:spacing w:after="0" w:before="0"/>
            </w:pPr>
            <w:r>
              <w:rPr>
                <w:sz w:val="17"/>
              </w:rPr>
              <w:t>Fabric admin</w:t>
            </w:r>
          </w:p>
        </w:tc>
        <w:tc>
          <w:tcPr>
            <w:tcW w:type="dxa" w:w="2479"/>
            <w:tcW w:w="915" w:type="dxa"/>
          </w:tcPr>
          <w:p>
            <w:pPr>
              <w:spacing w:after="0" w:before="0"/>
            </w:pPr>
            <w:r>
              <w:rPr>
                <w:sz w:val="17"/>
              </w:rPr>
              <w:t>☐</w:t>
            </w:r>
          </w:p>
        </w:tc>
      </w:tr>
      <w:tr>
        <w:trPr>
          <w:cantSplit w:val="true"/>
        </w:trPr>
        <w:tc>
          <w:tcPr>
            <w:tcW w:type="dxa" w:w="2479"/>
            <w:tcW w:w="610" w:type="dxa"/>
          </w:tcPr>
          <w:p>
            <w:pPr>
              <w:spacing w:after="0" w:before="0"/>
            </w:pPr>
            <w:r>
              <w:rPr>
                <w:sz w:val="17"/>
              </w:rPr>
              <w:t>5</w:t>
            </w:r>
          </w:p>
        </w:tc>
        <w:tc>
          <w:tcPr>
            <w:tcW w:type="dxa" w:w="2479"/>
            <w:tcW w:w="5950" w:type="dxa"/>
          </w:tcPr>
          <w:p>
            <w:pPr>
              <w:spacing w:after="0" w:before="0"/>
            </w:pPr>
            <w:r>
              <w:rPr>
                <w:sz w:val="17"/>
              </w:rPr>
              <w:t>HTTPS, custom domain, WAF or gateway, and IP allow-list configured</w:t>
            </w:r>
          </w:p>
        </w:tc>
        <w:tc>
          <w:tcPr>
            <w:tcW w:type="dxa" w:w="2479"/>
            <w:tcW w:w="2441" w:type="dxa"/>
          </w:tcPr>
          <w:p>
            <w:pPr>
              <w:spacing w:after="0" w:before="0"/>
            </w:pPr>
            <w:r>
              <w:rPr>
                <w:sz w:val="17"/>
              </w:rPr>
              <w:t>Platform</w:t>
            </w:r>
          </w:p>
        </w:tc>
        <w:tc>
          <w:tcPr>
            <w:tcW w:type="dxa" w:w="2479"/>
            <w:tcW w:w="915" w:type="dxa"/>
          </w:tcPr>
          <w:p>
            <w:pPr>
              <w:spacing w:after="0" w:before="0"/>
            </w:pPr>
            <w:r>
              <w:rPr>
                <w:sz w:val="17"/>
              </w:rPr>
              <w:t>☐</w:t>
            </w:r>
          </w:p>
        </w:tc>
      </w:tr>
      <w:tr>
        <w:trPr>
          <w:cantSplit w:val="true"/>
        </w:trPr>
        <w:tc>
          <w:tcPr>
            <w:tcW w:type="dxa" w:w="2479"/>
            <w:tcW w:w="610" w:type="dxa"/>
          </w:tcPr>
          <w:p>
            <w:pPr>
              <w:spacing w:after="0" w:before="0"/>
            </w:pPr>
            <w:r>
              <w:rPr>
                <w:sz w:val="17"/>
              </w:rPr>
              <w:t>6</w:t>
            </w:r>
          </w:p>
        </w:tc>
        <w:tc>
          <w:tcPr>
            <w:tcW w:type="dxa" w:w="2479"/>
            <w:tcW w:w="5950" w:type="dxa"/>
          </w:tcPr>
          <w:p>
            <w:pPr>
              <w:spacing w:after="0" w:before="0"/>
            </w:pPr>
            <w:r>
              <w:rPr>
                <w:sz w:val="17"/>
              </w:rPr>
              <w:t>Export delivery through expiring links; lifecycle deletion for cache and exports</w:t>
            </w:r>
          </w:p>
        </w:tc>
        <w:tc>
          <w:tcPr>
            <w:tcW w:type="dxa" w:w="2479"/>
            <w:tcW w:w="2441" w:type="dxa"/>
          </w:tcPr>
          <w:p>
            <w:pPr>
              <w:spacing w:after="0" w:before="0"/>
            </w:pPr>
            <w:r>
              <w:rPr>
                <w:sz w:val="17"/>
              </w:rPr>
              <w:t>Engineering</w:t>
            </w:r>
          </w:p>
        </w:tc>
        <w:tc>
          <w:tcPr>
            <w:tcW w:type="dxa" w:w="2479"/>
            <w:tcW w:w="915" w:type="dxa"/>
          </w:tcPr>
          <w:p>
            <w:pPr>
              <w:spacing w:after="0" w:before="0"/>
            </w:pPr>
            <w:r>
              <w:rPr>
                <w:sz w:val="17"/>
              </w:rPr>
              <w:t>☐</w:t>
            </w:r>
          </w:p>
        </w:tc>
      </w:tr>
      <w:tr>
        <w:trPr>
          <w:cantSplit w:val="true"/>
        </w:trPr>
        <w:tc>
          <w:tcPr>
            <w:tcW w:type="dxa" w:w="2479"/>
            <w:tcW w:w="610" w:type="dxa"/>
          </w:tcPr>
          <w:p>
            <w:pPr>
              <w:spacing w:after="0" w:before="0"/>
            </w:pPr>
            <w:r>
              <w:rPr>
                <w:sz w:val="17"/>
              </w:rPr>
              <w:t>7</w:t>
            </w:r>
          </w:p>
        </w:tc>
        <w:tc>
          <w:tcPr>
            <w:tcW w:type="dxa" w:w="2479"/>
            <w:tcW w:w="5950" w:type="dxa"/>
          </w:tcPr>
          <w:p>
            <w:pPr>
              <w:spacing w:after="0" w:before="0"/>
            </w:pPr>
            <w:r>
              <w:rPr>
                <w:sz w:val="17"/>
              </w:rPr>
              <w:t>Audit logging and alerts live; dashboards shared with the service owner</w:t>
            </w:r>
          </w:p>
        </w:tc>
        <w:tc>
          <w:tcPr>
            <w:tcW w:type="dxa" w:w="2479"/>
            <w:tcW w:w="2441" w:type="dxa"/>
          </w:tcPr>
          <w:p>
            <w:pPr>
              <w:spacing w:after="0" w:before="0"/>
            </w:pPr>
            <w:r>
              <w:rPr>
                <w:sz w:val="17"/>
              </w:rPr>
              <w:t>Platform</w:t>
            </w:r>
          </w:p>
        </w:tc>
        <w:tc>
          <w:tcPr>
            <w:tcW w:type="dxa" w:w="2479"/>
            <w:tcW w:w="915" w:type="dxa"/>
          </w:tcPr>
          <w:p>
            <w:pPr>
              <w:spacing w:after="0" w:before="0"/>
            </w:pPr>
            <w:r>
              <w:rPr>
                <w:sz w:val="17"/>
              </w:rPr>
              <w:t>☐</w:t>
            </w:r>
          </w:p>
        </w:tc>
      </w:tr>
      <w:tr>
        <w:trPr>
          <w:cantSplit w:val="true"/>
        </w:trPr>
        <w:tc>
          <w:tcPr>
            <w:tcW w:type="dxa" w:w="2479"/>
            <w:tcW w:w="610" w:type="dxa"/>
          </w:tcPr>
          <w:p>
            <w:pPr>
              <w:spacing w:after="0" w:before="0"/>
            </w:pPr>
            <w:r>
              <w:rPr>
                <w:sz w:val="17"/>
              </w:rPr>
              <w:t>8</w:t>
            </w:r>
          </w:p>
        </w:tc>
        <w:tc>
          <w:tcPr>
            <w:tcW w:type="dxa" w:w="2479"/>
            <w:tcW w:w="5950" w:type="dxa"/>
          </w:tcPr>
          <w:p>
            <w:pPr>
              <w:spacing w:after="0" w:before="0"/>
            </w:pPr>
            <w:r>
              <w:rPr>
                <w:sz w:val="17"/>
              </w:rPr>
              <w:t>Ad-hoc SQL policy decided and enforced</w:t>
            </w:r>
          </w:p>
        </w:tc>
        <w:tc>
          <w:tcPr>
            <w:tcW w:type="dxa" w:w="2479"/>
            <w:tcW w:w="2441" w:type="dxa"/>
          </w:tcPr>
          <w:p>
            <w:pPr>
              <w:spacing w:after="0" w:before="0"/>
            </w:pPr>
            <w:r>
              <w:rPr>
                <w:sz w:val="17"/>
              </w:rPr>
              <w:t>Business owner</w:t>
            </w:r>
          </w:p>
        </w:tc>
        <w:tc>
          <w:tcPr>
            <w:tcW w:type="dxa" w:w="2479"/>
            <w:tcW w:w="915" w:type="dxa"/>
          </w:tcPr>
          <w:p>
            <w:pPr>
              <w:spacing w:after="0" w:before="0"/>
            </w:pPr>
            <w:r>
              <w:rPr>
                <w:sz w:val="17"/>
              </w:rPr>
              <w:t>☐</w:t>
            </w:r>
          </w:p>
        </w:tc>
      </w:tr>
      <w:tr>
        <w:trPr>
          <w:cantSplit w:val="true"/>
        </w:trPr>
        <w:tc>
          <w:tcPr>
            <w:tcW w:type="dxa" w:w="2479"/>
            <w:tcW w:w="610" w:type="dxa"/>
          </w:tcPr>
          <w:p>
            <w:pPr>
              <w:spacing w:after="0" w:before="0"/>
            </w:pPr>
            <w:r>
              <w:rPr>
                <w:sz w:val="17"/>
              </w:rPr>
              <w:t>9</w:t>
            </w:r>
          </w:p>
        </w:tc>
        <w:tc>
          <w:tcPr>
            <w:tcW w:type="dxa" w:w="2479"/>
            <w:tcW w:w="5950" w:type="dxa"/>
          </w:tcPr>
          <w:p>
            <w:pPr>
              <w:spacing w:after="0" w:before="0"/>
            </w:pPr>
            <w:r>
              <w:rPr>
                <w:sz w:val="17"/>
              </w:rPr>
              <w:t>Golden-number reconciliation passed for all seven reports</w:t>
            </w:r>
          </w:p>
        </w:tc>
        <w:tc>
          <w:tcPr>
            <w:tcW w:type="dxa" w:w="2479"/>
            <w:tcW w:w="2441" w:type="dxa"/>
          </w:tcPr>
          <w:p>
            <w:pPr>
              <w:spacing w:after="0" w:before="0"/>
            </w:pPr>
            <w:r>
              <w:rPr>
                <w:sz w:val="17"/>
              </w:rPr>
              <w:t>Analytics lead</w:t>
            </w:r>
          </w:p>
        </w:tc>
        <w:tc>
          <w:tcPr>
            <w:tcW w:type="dxa" w:w="2479"/>
            <w:tcW w:w="915" w:type="dxa"/>
          </w:tcPr>
          <w:p>
            <w:pPr>
              <w:spacing w:after="0" w:before="0"/>
            </w:pPr>
            <w:r>
              <w:rPr>
                <w:sz w:val="17"/>
              </w:rPr>
              <w:t>☐</w:t>
            </w:r>
          </w:p>
        </w:tc>
      </w:tr>
      <w:tr>
        <w:trPr>
          <w:cantSplit w:val="true"/>
        </w:trPr>
        <w:tc>
          <w:tcPr>
            <w:tcW w:type="dxa" w:w="2479"/>
            <w:tcW w:w="610" w:type="dxa"/>
          </w:tcPr>
          <w:p>
            <w:pPr>
              <w:spacing w:after="0" w:before="0"/>
            </w:pPr>
            <w:r>
              <w:rPr>
                <w:sz w:val="17"/>
              </w:rPr>
              <w:t>10</w:t>
            </w:r>
          </w:p>
        </w:tc>
        <w:tc>
          <w:tcPr>
            <w:tcW w:type="dxa" w:w="2479"/>
            <w:tcW w:w="5950" w:type="dxa"/>
          </w:tcPr>
          <w:p>
            <w:pPr>
              <w:spacing w:after="0" w:before="0"/>
            </w:pPr>
            <w:r>
              <w:rPr>
                <w:sz w:val="17"/>
              </w:rPr>
              <w:t>Connector and skill provisioned to the analyst group in Claude</w:t>
            </w:r>
          </w:p>
        </w:tc>
        <w:tc>
          <w:tcPr>
            <w:tcW w:type="dxa" w:w="2479"/>
            <w:tcW w:w="2441" w:type="dxa"/>
          </w:tcPr>
          <w:p>
            <w:pPr>
              <w:spacing w:after="0" w:before="0"/>
            </w:pPr>
            <w:r>
              <w:rPr>
                <w:sz w:val="17"/>
              </w:rPr>
              <w:t>Claude org owner</w:t>
            </w:r>
          </w:p>
        </w:tc>
        <w:tc>
          <w:tcPr>
            <w:tcW w:type="dxa" w:w="2479"/>
            <w:tcW w:w="915" w:type="dxa"/>
          </w:tcPr>
          <w:p>
            <w:pPr>
              <w:spacing w:after="0" w:before="0"/>
            </w:pPr>
            <w:r>
              <w:rPr>
                <w:sz w:val="17"/>
              </w:rPr>
              <w:t>☐</w:t>
            </w:r>
          </w:p>
        </w:tc>
      </w:tr>
      <w:tr>
        <w:trPr>
          <w:cantSplit w:val="true"/>
        </w:trPr>
        <w:tc>
          <w:tcPr>
            <w:tcW w:type="dxa" w:w="2479"/>
            <w:tcW w:w="610" w:type="dxa"/>
          </w:tcPr>
          <w:p>
            <w:pPr>
              <w:spacing w:after="0" w:before="0"/>
            </w:pPr>
            <w:r>
              <w:rPr>
                <w:sz w:val="17"/>
              </w:rPr>
              <w:t>11</w:t>
            </w:r>
          </w:p>
        </w:tc>
        <w:tc>
          <w:tcPr>
            <w:tcW w:type="dxa" w:w="2479"/>
            <w:tcW w:w="5950" w:type="dxa"/>
          </w:tcPr>
          <w:p>
            <w:pPr>
              <w:spacing w:after="0" w:before="0"/>
            </w:pPr>
            <w:r>
              <w:rPr>
                <w:sz w:val="17"/>
              </w:rPr>
              <w:t>Support tiers, on-call and escalation contacts published</w:t>
            </w:r>
          </w:p>
        </w:tc>
        <w:tc>
          <w:tcPr>
            <w:tcW w:type="dxa" w:w="2479"/>
            <w:tcW w:w="2441" w:type="dxa"/>
          </w:tcPr>
          <w:p>
            <w:pPr>
              <w:spacing w:after="0" w:before="0"/>
            </w:pPr>
            <w:r>
              <w:rPr>
                <w:sz w:val="17"/>
              </w:rPr>
              <w:t>Service owner</w:t>
            </w:r>
          </w:p>
        </w:tc>
        <w:tc>
          <w:tcPr>
            <w:tcW w:type="dxa" w:w="2479"/>
            <w:tcW w:w="915" w:type="dxa"/>
          </w:tcPr>
          <w:p>
            <w:pPr>
              <w:spacing w:after="0" w:before="0"/>
            </w:pPr>
            <w:r>
              <w:rPr>
                <w:sz w:val="17"/>
              </w:rPr>
              <w:t>☐</w:t>
            </w:r>
          </w:p>
        </w:tc>
      </w:tr>
      <w:tr>
        <w:trPr>
          <w:cantSplit w:val="true"/>
        </w:trPr>
        <w:tc>
          <w:tcPr>
            <w:tcW w:type="dxa" w:w="2479"/>
            <w:tcW w:w="610" w:type="dxa"/>
          </w:tcPr>
          <w:p>
            <w:pPr>
              <w:spacing w:after="0" w:before="0"/>
            </w:pPr>
            <w:r>
              <w:rPr>
                <w:sz w:val="17"/>
              </w:rPr>
              <w:t>12</w:t>
            </w:r>
          </w:p>
        </w:tc>
        <w:tc>
          <w:tcPr>
            <w:tcW w:type="dxa" w:w="2479"/>
            <w:tcW w:w="5950" w:type="dxa"/>
          </w:tcPr>
          <w:p>
            <w:pPr>
              <w:spacing w:after="0" w:before="0"/>
            </w:pPr>
            <w:r>
              <w:rPr>
                <w:sz w:val="17"/>
              </w:rPr>
              <w:t>Rollback plan tested (previous image tag and local stdio fallback)</w:t>
            </w:r>
          </w:p>
        </w:tc>
        <w:tc>
          <w:tcPr>
            <w:tcW w:type="dxa" w:w="2479"/>
            <w:tcW w:w="2441" w:type="dxa"/>
          </w:tcPr>
          <w:p>
            <w:pPr>
              <w:spacing w:after="0" w:before="0"/>
            </w:pPr>
            <w:r>
              <w:rPr>
                <w:sz w:val="17"/>
              </w:rPr>
              <w:t>Platform</w:t>
            </w:r>
          </w:p>
        </w:tc>
        <w:tc>
          <w:tcPr>
            <w:tcW w:type="dxa" w:w="2479"/>
            <w:tcW w:w="915" w:type="dxa"/>
          </w:tcPr>
          <w:p>
            <w:pPr>
              <w:spacing w:after="0" w:before="0"/>
            </w:pPr>
            <w:r>
              <w:rPr>
                <w:sz w:val="17"/>
              </w:rPr>
              <w:t>☐</w:t>
            </w:r>
          </w:p>
        </w:tc>
      </w:tr>
      <w:tr>
        <w:trPr>
          <w:cantSplit w:val="true"/>
        </w:trPr>
        <w:tc>
          <w:tcPr>
            <w:tcW w:type="dxa" w:w="2479"/>
            <w:tcW w:w="610" w:type="dxa"/>
          </w:tcPr>
          <w:p>
            <w:pPr>
              <w:spacing w:after="0" w:before="0"/>
            </w:pPr>
            <w:r>
              <w:rPr>
                <w:sz w:val="17"/>
              </w:rPr>
              <w:t>13</w:t>
            </w:r>
          </w:p>
        </w:tc>
        <w:tc>
          <w:tcPr>
            <w:tcW w:type="dxa" w:w="2479"/>
            <w:tcW w:w="5950" w:type="dxa"/>
          </w:tcPr>
          <w:p>
            <w:pPr>
              <w:spacing w:after="0" w:before="0"/>
            </w:pPr>
            <w:r>
              <w:rPr>
                <w:sz w:val="17"/>
              </w:rPr>
              <w:t>Old laptop secrets rotated and local caches deleted</w:t>
            </w:r>
          </w:p>
        </w:tc>
        <w:tc>
          <w:tcPr>
            <w:tcW w:type="dxa" w:w="2479"/>
            <w:tcW w:w="2441" w:type="dxa"/>
          </w:tcPr>
          <w:p>
            <w:pPr>
              <w:spacing w:after="0" w:before="0"/>
            </w:pPr>
            <w:r>
              <w:rPr>
                <w:sz w:val="17"/>
              </w:rPr>
              <w:t>Engineering</w:t>
            </w:r>
          </w:p>
        </w:tc>
        <w:tc>
          <w:tcPr>
            <w:tcW w:type="dxa" w:w="2479"/>
            <w:tcW w:w="915" w:type="dxa"/>
          </w:tcPr>
          <w:p>
            <w:pPr>
              <w:spacing w:after="0" w:before="0"/>
            </w:pPr>
            <w:r>
              <w:rPr>
                <w:sz w:val="17"/>
              </w:rPr>
              <w:t>☐</w:t>
            </w:r>
          </w:p>
        </w:tc>
      </w:tr>
    </w:tbl>
    <w:p>
      <w:pPr>
        <w:spacing w:after="80"/>
      </w:pPr>
    </w:p>
    <w:p>
      <w:pPr>
        <w:pStyle w:val="Heading2"/>
      </w:pPr>
      <w:r>
        <w:t>Rollback and day-2 operations</w:t>
      </w:r>
    </w:p>
    <w:p>
      <w:pPr>
        <w:pStyle w:val="Bullet"/>
      </w:pPr>
      <w:r>
        <w:rPr>
          <w:b/>
        </w:rPr>
        <w:t>Rollback:</w:t>
      </w:r>
      <w:r>
        <w:t xml:space="preserve"> redeploy the previous image tag, which is tied to its git SHA and rule version. In an emergency, analysts can temporarily go back to the local stdio set-up (Section 3) with a short-lived, separately issued secret.</w:t>
      </w:r>
    </w:p>
    <w:p>
      <w:pPr>
        <w:pStyle w:val="Bullet"/>
      </w:pPr>
      <w:r>
        <w:rPr>
          <w:b/>
        </w:rPr>
        <w:t>Releases:</w:t>
      </w:r>
      <w:r>
        <w:t xml:space="preserve"> every change goes through CI, then the test environment, then approval. Changes to business rules must change </w:t>
      </w:r>
      <w:r>
        <w:rPr>
          <w:rFonts w:ascii="Consolas" w:hAnsi="Consolas"/>
          <w:color w:val="3411A3"/>
          <w:sz w:val="18"/>
        </w:rPr>
        <w:t>BUSINESS_RULE_VERSION</w:t>
      </w:r>
      <w:r>
        <w:t xml:space="preserve"> and be announced to users.</w:t>
      </w:r>
    </w:p>
    <w:p>
      <w:pPr>
        <w:pStyle w:val="Bullet"/>
      </w:pPr>
      <w:r>
        <w:rPr>
          <w:b/>
        </w:rPr>
        <w:t>Secrets and identities:</w:t>
      </w:r>
      <w:r>
        <w:t xml:space="preserve"> if any secret remains, rotate it on a schedule. Review security-group membership quarterly.</w:t>
      </w:r>
    </w:p>
    <w:p>
      <w:pPr>
        <w:pStyle w:val="Bullet"/>
      </w:pPr>
      <w:r>
        <w:rPr>
          <w:b/>
        </w:rPr>
        <w:t>Capacity:</w:t>
      </w:r>
      <w:r>
        <w:t xml:space="preserve"> review Fabric CU usage and query latency monthly. Lower </w:t>
      </w:r>
      <w:r>
        <w:rPr>
          <w:rFonts w:ascii="Consolas" w:hAnsi="Consolas"/>
          <w:color w:val="3411A3"/>
          <w:sz w:val="18"/>
        </w:rPr>
        <w:t>FABRIC_MAX_RESULT_ROWS</w:t>
      </w:r>
      <w:r>
        <w:t xml:space="preserve"> or add result reuse if load grows.</w:t>
      </w:r>
    </w:p>
    <w:p>
      <w:pPr>
        <w:pStyle w:val="Bullet"/>
      </w:pPr>
      <w:r>
        <w:rPr>
          <w:b/>
        </w:rPr>
        <w:t>Patching:</w:t>
      </w:r>
      <w:r>
        <w:t xml:space="preserve"> rebuild the image monthly to pick up base-image and ODBC driver security fixes.</w:t>
      </w:r>
    </w:p>
    <w:p>
      <w:pPr>
        <w:pStyle w:val="Bullet"/>
      </w:pPr>
      <w:r>
        <w:rPr>
          <w:b/>
        </w:rPr>
        <w:t>Data retention:</w:t>
      </w:r>
      <w:r>
        <w:t xml:space="preserve"> check that lifecycle rules are deleting cache and exports as configured.</w:t>
      </w:r>
    </w:p>
    <w:p>
      <w:pPr>
        <w:pStyle w:val="Heading1"/>
        <w:pageBreakBefore/>
      </w:pPr>
      <w:r>
        <w:t>Appendix</w:t>
      </w:r>
    </w:p>
    <w:p>
      <w:pPr>
        <w:pStyle w:val="Heading2"/>
      </w:pPr>
      <w:r>
        <w:t>Glossary</w:t>
      </w:r>
    </w:p>
    <w:p>
      <w:pPr>
        <w:keepNext/>
        <w:spacing w:before="160" w:after="80"/>
      </w:pPr>
      <w:r>
        <w:rPr>
          <w:b/>
          <w:color w:val="3411A3"/>
          <w:sz w:val="18"/>
        </w:rPr>
        <w:t xml:space="preserve">Table 21: </w:t>
      </w:r>
      <w:r>
        <w:rPr>
          <w:color w:val="3411A3"/>
          <w:sz w:val="18"/>
        </w:rPr>
        <w:t>Glossary</w:t>
      </w:r>
    </w:p>
    <w:tbl>
      <w:tblPr>
        <w:tblStyle w:val="Style1"/>
        <w:tblLook w:firstColumn="1" w:firstRow="1" w:lastColumn="0" w:lastRow="0" w:noHBand="0" w:noVBand="1" w:val="04A0"/>
        <w:tblW w:w="9917" w:type="dxa"/>
        <w:tblCellMar>
          <w:top w:w="50" w:type="dxa"/>
          <w:left w:w="90" w:type="dxa"/>
          <w:bottom w:w="50" w:type="dxa"/>
          <w:right w:w="90" w:type="dxa"/>
        </w:tblCellMar>
        <w:tblLook w:val="04A0" w:firstRow="1" w:lastRow="0" w:firstColumn="0" w:lastColumn="0" w:noHBand="0" w:noVBand="1"/>
      </w:tblPr>
      <w:tblGrid>
        <w:gridCol w:w="2593"/>
        <w:gridCol w:w="7324"/>
      </w:tblGrid>
      <w:tr>
        <w:trPr>
          <w:tblHeader w:val="true"/>
          <w:trHeight w:val="397"/>
          <w:cantSplit w:val="true"/>
        </w:trPr>
        <w:tc>
          <w:tcPr>
            <w:tcW w:type="dxa" w:w="4959"/>
            <w:tcW w:w="2593" w:type="dxa"/>
          </w:tcPr>
          <w:p>
            <w:pPr>
              <w:spacing w:after="0" w:before="0"/>
            </w:pPr>
            <w:r>
              <w:rPr>
                <w:b/>
                <w:color w:val="FFFFFF"/>
                <w:sz w:val="17"/>
              </w:rPr>
              <w:t>Term</w:t>
            </w:r>
          </w:p>
        </w:tc>
        <w:tc>
          <w:tcPr>
            <w:tcW w:type="dxa" w:w="4959"/>
            <w:tcW w:w="7324" w:type="dxa"/>
          </w:tcPr>
          <w:p>
            <w:pPr>
              <w:spacing w:after="0" w:before="0"/>
            </w:pPr>
            <w:r>
              <w:rPr>
                <w:b/>
                <w:color w:val="FFFFFF"/>
                <w:sz w:val="17"/>
              </w:rPr>
              <w:t>Meaning</w:t>
            </w:r>
          </w:p>
        </w:tc>
      </w:tr>
      <w:tr>
        <w:trPr>
          <w:cantSplit w:val="true"/>
        </w:trPr>
        <w:tc>
          <w:tcPr>
            <w:tcW w:type="dxa" w:w="4959"/>
            <w:tcW w:w="2593" w:type="dxa"/>
          </w:tcPr>
          <w:p>
            <w:pPr>
              <w:spacing w:after="0" w:before="0"/>
            </w:pPr>
            <w:r>
              <w:rPr>
                <w:sz w:val="17"/>
              </w:rPr>
              <w:t>MCP</w:t>
            </w:r>
          </w:p>
        </w:tc>
        <w:tc>
          <w:tcPr>
            <w:tcW w:type="dxa" w:w="4959"/>
            <w:tcW w:w="7324" w:type="dxa"/>
          </w:tcPr>
          <w:p>
            <w:pPr>
              <w:spacing w:after="0" w:before="0"/>
            </w:pPr>
            <w:r>
              <w:rPr>
                <w:sz w:val="17"/>
              </w:rPr>
              <w:t>Model Context Protocol: the open protocol Claude uses to call external tools and services.</w:t>
            </w:r>
          </w:p>
        </w:tc>
      </w:tr>
      <w:tr>
        <w:trPr>
          <w:cantSplit w:val="true"/>
        </w:trPr>
        <w:tc>
          <w:tcPr>
            <w:tcW w:type="dxa" w:w="4959"/>
            <w:tcW w:w="2593" w:type="dxa"/>
          </w:tcPr>
          <w:p>
            <w:pPr>
              <w:spacing w:after="0" w:before="0"/>
            </w:pPr>
            <w:r>
              <w:rPr>
                <w:sz w:val="17"/>
              </w:rPr>
              <w:t>Skill</w:t>
            </w:r>
          </w:p>
        </w:tc>
        <w:tc>
          <w:tcPr>
            <w:tcW w:type="dxa" w:w="4959"/>
            <w:tcW w:w="7324" w:type="dxa"/>
          </w:tcPr>
          <w:p>
            <w:pPr>
              <w:spacing w:after="0" w:before="0"/>
            </w:pPr>
            <w:r>
              <w:rPr>
                <w:sz w:val="17"/>
              </w:rPr>
              <w:t>A packaged set of instructions that guides how Claude uses tools. Here it contains guidance only, no SQL.</w:t>
            </w:r>
          </w:p>
        </w:tc>
      </w:tr>
      <w:tr>
        <w:trPr>
          <w:cantSplit w:val="true"/>
        </w:trPr>
        <w:tc>
          <w:tcPr>
            <w:tcW w:type="dxa" w:w="4959"/>
            <w:tcW w:w="2593" w:type="dxa"/>
          </w:tcPr>
          <w:p>
            <w:pPr>
              <w:spacing w:after="0" w:before="0"/>
            </w:pPr>
            <w:r>
              <w:rPr>
                <w:sz w:val="17"/>
              </w:rPr>
              <w:t>Service Principal (SP)</w:t>
            </w:r>
          </w:p>
        </w:tc>
        <w:tc>
          <w:tcPr>
            <w:tcW w:type="dxa" w:w="4959"/>
            <w:tcW w:w="7324" w:type="dxa"/>
          </w:tcPr>
          <w:p>
            <w:pPr>
              <w:spacing w:after="0" w:before="0"/>
            </w:pPr>
            <w:r>
              <w:rPr>
                <w:sz w:val="17"/>
              </w:rPr>
              <w:t>An Entra ID application identity the server uses to sign in to Fabric.</w:t>
            </w:r>
          </w:p>
        </w:tc>
      </w:tr>
      <w:tr>
        <w:trPr>
          <w:cantSplit w:val="true"/>
        </w:trPr>
        <w:tc>
          <w:tcPr>
            <w:tcW w:type="dxa" w:w="4959"/>
            <w:tcW w:w="2593" w:type="dxa"/>
          </w:tcPr>
          <w:p>
            <w:pPr>
              <w:spacing w:after="0" w:before="0"/>
            </w:pPr>
            <w:r>
              <w:rPr>
                <w:sz w:val="17"/>
              </w:rPr>
              <w:t>DSN</w:t>
            </w:r>
          </w:p>
        </w:tc>
        <w:tc>
          <w:tcPr>
            <w:tcW w:type="dxa" w:w="4959"/>
            <w:tcW w:w="7324" w:type="dxa"/>
          </w:tcPr>
          <w:p>
            <w:pPr>
              <w:spacing w:after="0" w:before="0"/>
            </w:pPr>
            <w:r>
              <w:rPr>
                <w:sz w:val="17"/>
              </w:rPr>
              <w:t>Dealer Services Network, the business whose transaction data this server reports on.</w:t>
            </w:r>
          </w:p>
        </w:tc>
      </w:tr>
      <w:tr>
        <w:trPr>
          <w:cantSplit w:val="true"/>
        </w:trPr>
        <w:tc>
          <w:tcPr>
            <w:tcW w:type="dxa" w:w="4959"/>
            <w:tcW w:w="2593" w:type="dxa"/>
          </w:tcPr>
          <w:p>
            <w:pPr>
              <w:spacing w:after="0" w:before="0"/>
            </w:pPr>
            <w:r>
              <w:rPr>
                <w:sz w:val="17"/>
              </w:rPr>
              <w:t>EFS</w:t>
            </w:r>
          </w:p>
        </w:tc>
        <w:tc>
          <w:tcPr>
            <w:tcW w:type="dxa" w:w="4959"/>
            <w:tcW w:w="7324" w:type="dxa"/>
          </w:tcPr>
          <w:p>
            <w:pPr>
              <w:spacing w:after="0" w:before="0"/>
            </w:pPr>
            <w:r>
              <w:rPr>
                <w:sz w:val="17"/>
              </w:rPr>
              <w:t>A transaction source. All EFS transactions count as core.</w:t>
            </w:r>
          </w:p>
        </w:tc>
      </w:tr>
      <w:tr>
        <w:trPr>
          <w:cantSplit w:val="true"/>
        </w:trPr>
        <w:tc>
          <w:tcPr>
            <w:tcW w:type="dxa" w:w="4959"/>
            <w:tcW w:w="2593" w:type="dxa"/>
          </w:tcPr>
          <w:p>
            <w:pPr>
              <w:spacing w:after="0" w:before="0"/>
            </w:pPr>
            <w:r>
              <w:rPr>
                <w:sz w:val="17"/>
              </w:rPr>
              <w:t>Core transaction</w:t>
            </w:r>
          </w:p>
        </w:tc>
        <w:tc>
          <w:tcPr>
            <w:tcW w:type="dxa" w:w="4959"/>
            <w:tcW w:w="7324" w:type="dxa"/>
          </w:tcPr>
          <w:p>
            <w:pPr>
              <w:spacing w:after="0" w:before="0"/>
            </w:pPr>
            <w:r>
              <w:rPr>
                <w:sz w:val="17"/>
              </w:rPr>
              <w:t>An EFS transaction, or a non-EFS transaction with an approved title sub-service.</w:t>
            </w:r>
          </w:p>
        </w:tc>
      </w:tr>
      <w:tr>
        <w:trPr>
          <w:cantSplit w:val="true"/>
        </w:trPr>
        <w:tc>
          <w:tcPr>
            <w:tcW w:type="dxa" w:w="4959"/>
            <w:tcW w:w="2593" w:type="dxa"/>
          </w:tcPr>
          <w:p>
            <w:pPr>
              <w:spacing w:after="0" w:before="0"/>
            </w:pPr>
            <w:r>
              <w:rPr>
                <w:sz w:val="17"/>
              </w:rPr>
              <w:t>Parent customer / dealer group</w:t>
            </w:r>
          </w:p>
        </w:tc>
        <w:tc>
          <w:tcPr>
            <w:tcW w:type="dxa" w:w="4959"/>
            <w:tcW w:w="7324" w:type="dxa"/>
          </w:tcPr>
          <w:p>
            <w:pPr>
              <w:spacing w:after="0" w:before="0"/>
            </w:pPr>
            <w:r>
              <w:rPr>
                <w:sz w:val="17"/>
              </w:rPr>
              <w:t>The group-level customer (</w:t>
            </w:r>
            <w:r>
              <w:rPr>
                <w:rFonts w:ascii="Consolas" w:hAnsi="Consolas"/>
                <w:color w:val="3411A3"/>
                <w:sz w:val="16"/>
              </w:rPr>
              <w:t>dim_parent_customer.parent_customer_name</w:t>
            </w:r>
            <w:r>
              <w:rPr>
                <w:sz w:val="17"/>
              </w:rPr>
              <w:t>).</w:t>
            </w:r>
          </w:p>
        </w:tc>
      </w:tr>
      <w:tr>
        <w:trPr>
          <w:cantSplit w:val="true"/>
        </w:trPr>
        <w:tc>
          <w:tcPr>
            <w:tcW w:type="dxa" w:w="4959"/>
            <w:tcW w:w="2593" w:type="dxa"/>
          </w:tcPr>
          <w:p>
            <w:pPr>
              <w:spacing w:after="0" w:before="0"/>
            </w:pPr>
            <w:r>
              <w:rPr>
                <w:sz w:val="17"/>
              </w:rPr>
              <w:t>Agency code</w:t>
            </w:r>
          </w:p>
        </w:tc>
        <w:tc>
          <w:tcPr>
            <w:tcW w:type="dxa" w:w="4959"/>
            <w:tcW w:w="7324" w:type="dxa"/>
          </w:tcPr>
          <w:p>
            <w:pPr>
              <w:spacing w:after="0" w:before="0"/>
            </w:pPr>
            <w:r>
              <w:rPr>
                <w:rFonts w:ascii="Consolas" w:hAnsi="Consolas"/>
                <w:color w:val="3411A3"/>
                <w:sz w:val="16"/>
              </w:rPr>
              <w:t>dim_entity.agency_code</w:t>
            </w:r>
            <w:r>
              <w:rPr>
                <w:sz w:val="17"/>
              </w:rPr>
              <w:t>, the agency identifier used for all agency filtering.</w:t>
            </w:r>
          </w:p>
        </w:tc>
      </w:tr>
      <w:tr>
        <w:trPr>
          <w:cantSplit w:val="true"/>
        </w:trPr>
        <w:tc>
          <w:tcPr>
            <w:tcW w:type="dxa" w:w="4959"/>
            <w:tcW w:w="2593" w:type="dxa"/>
          </w:tcPr>
          <w:p>
            <w:pPr>
              <w:spacing w:after="0" w:before="0"/>
            </w:pPr>
            <w:r>
              <w:rPr>
                <w:sz w:val="17"/>
              </w:rPr>
              <w:t>EOMV</w:t>
            </w:r>
          </w:p>
        </w:tc>
        <w:tc>
          <w:tcPr>
            <w:tcW w:type="dxa" w:w="4959"/>
            <w:tcW w:w="7324" w:type="dxa"/>
          </w:tcPr>
          <w:p>
            <w:pPr>
              <w:spacing w:after="0" w:before="0"/>
            </w:pPr>
            <w:r>
              <w:rPr>
                <w:sz w:val="17"/>
              </w:rPr>
              <w:t xml:space="preserve">Express OMV retail. Identified by </w:t>
            </w:r>
            <w:r>
              <w:rPr>
                <w:rFonts w:ascii="Consolas" w:hAnsi="Consolas"/>
                <w:color w:val="3411A3"/>
                <w:sz w:val="16"/>
              </w:rPr>
              <w:t>parent_entity_name = 'EOMV'</w:t>
            </w:r>
            <w:r>
              <w:rPr>
                <w:sz w:val="17"/>
              </w:rPr>
              <w:t>.</w:t>
            </w:r>
          </w:p>
        </w:tc>
      </w:tr>
      <w:tr>
        <w:trPr>
          <w:cantSplit w:val="true"/>
        </w:trPr>
        <w:tc>
          <w:tcPr>
            <w:tcW w:type="dxa" w:w="4959"/>
            <w:tcW w:w="2593" w:type="dxa"/>
          </w:tcPr>
          <w:p>
            <w:pPr>
              <w:spacing w:after="0" w:before="0"/>
            </w:pPr>
            <w:r>
              <w:rPr>
                <w:sz w:val="17"/>
              </w:rPr>
              <w:t>MVD</w:t>
            </w:r>
          </w:p>
        </w:tc>
        <w:tc>
          <w:tcPr>
            <w:tcW w:type="dxa" w:w="4959"/>
            <w:tcW w:w="7324" w:type="dxa"/>
          </w:tcPr>
          <w:p>
            <w:pPr>
              <w:spacing w:after="0" w:before="0"/>
            </w:pPr>
            <w:r>
              <w:rPr>
                <w:sz w:val="17"/>
              </w:rPr>
              <w:t xml:space="preserve">Motor vehicle division transactions held in </w:t>
            </w:r>
            <w:r>
              <w:rPr>
                <w:rFonts w:ascii="Consolas" w:hAnsi="Consolas"/>
                <w:color w:val="3411A3"/>
                <w:sz w:val="16"/>
              </w:rPr>
              <w:t>lh_transform.mvd.transaction</w:t>
            </w:r>
            <w:r>
              <w:rPr>
                <w:sz w:val="17"/>
              </w:rPr>
              <w:t>.</w:t>
            </w:r>
          </w:p>
        </w:tc>
      </w:tr>
      <w:tr>
        <w:trPr>
          <w:cantSplit w:val="true"/>
        </w:trPr>
        <w:tc>
          <w:tcPr>
            <w:tcW w:type="dxa" w:w="4959"/>
            <w:tcW w:w="2593" w:type="dxa"/>
          </w:tcPr>
          <w:p>
            <w:pPr>
              <w:spacing w:after="0" w:before="0"/>
            </w:pPr>
            <w:r>
              <w:rPr>
                <w:sz w:val="17"/>
              </w:rPr>
              <w:t>Fan-out</w:t>
            </w:r>
          </w:p>
        </w:tc>
        <w:tc>
          <w:tcPr>
            <w:tcW w:type="dxa" w:w="4959"/>
            <w:tcW w:w="7324" w:type="dxa"/>
          </w:tcPr>
          <w:p>
            <w:pPr>
              <w:spacing w:after="0" w:before="0"/>
            </w:pPr>
            <w:r>
              <w:rPr>
                <w:sz w:val="17"/>
              </w:rPr>
              <w:t>One business transaction appearing on several fact or join rows, which inflates naive counts and sums.</w:t>
            </w:r>
          </w:p>
        </w:tc>
      </w:tr>
      <w:tr>
        <w:trPr>
          <w:cantSplit w:val="true"/>
        </w:trPr>
        <w:tc>
          <w:tcPr>
            <w:tcW w:type="dxa" w:w="4959"/>
            <w:tcW w:w="2593" w:type="dxa"/>
          </w:tcPr>
          <w:p>
            <w:pPr>
              <w:spacing w:after="0" w:before="0"/>
            </w:pPr>
            <w:r>
              <w:rPr>
                <w:sz w:val="17"/>
              </w:rPr>
              <w:t>Rule version</w:t>
            </w:r>
          </w:p>
        </w:tc>
        <w:tc>
          <w:tcPr>
            <w:tcW w:type="dxa" w:w="4959"/>
            <w:tcW w:w="7324" w:type="dxa"/>
          </w:tcPr>
          <w:p>
            <w:pPr>
              <w:spacing w:after="0" w:before="0"/>
            </w:pPr>
            <w:r>
              <w:rPr>
                <w:rFonts w:ascii="Consolas" w:hAnsi="Consolas"/>
                <w:color w:val="3411A3"/>
                <w:sz w:val="16"/>
              </w:rPr>
              <w:t>BUSINESS_RULE_VERSION</w:t>
            </w:r>
            <w:r>
              <w:rPr>
                <w:sz w:val="17"/>
              </w:rPr>
              <w:t>, stamped on every result and export for traceability.</w:t>
            </w:r>
          </w:p>
        </w:tc>
      </w:tr>
    </w:tbl>
    <w:p>
      <w:pPr>
        <w:spacing w:after="80"/>
      </w:pPr>
    </w:p>
    <w:p>
      <w:pPr>
        <w:pStyle w:val="Heading2"/>
      </w:pPr>
      <w:r>
        <w:t>Example requests</w:t>
      </w:r>
    </w:p>
    <w:p>
      <w:r>
        <w:t>Core transactions for one dealer group in June 2026, by agency:</w:t>
      </w:r>
    </w:p>
    <w:p>
      <w:pPr>
        <w:spacing w:before="80" w:after="200" w:line="240" w:lineRule="auto"/>
        <w:ind w:left="157" w:right="94"/>
        <w:pBdr>
          <w:left w:val="single" w:sz="18" w:space="6" w:color="3411A3"/>
        </w:pBdr>
        <w:shd w:val="clear" w:color="auto" w:fill="F3F1FA"/>
      </w:pPr>
      <w:r>
        <w:rPr>
          <w:rFonts w:ascii="Consolas" w:hAnsi="Consolas"/>
          <w:color w:val="1D1C1C"/>
          <w:sz w:val="16"/>
        </w:rPr>
        <w:t>{ "report": "core_transactions", "year": 2026, "month": 6,</w:t>
        <w:br/>
      </w:r>
      <w:r>
        <w:rPr>
          <w:rFonts w:ascii="Consolas" w:hAnsi="Consolas"/>
          <w:color w:val="1D1C1C"/>
          <w:sz w:val="16"/>
        </w:rPr>
        <w:t xml:space="preserve">  "parent_customer": "Morgan Auto Group", "grain": "month_agency",</w:t>
        <w:br/>
      </w:r>
      <w:r>
        <w:rPr>
          <w:rFonts w:ascii="Consolas" w:hAnsi="Consolas"/>
          <w:color w:val="1D1C1C"/>
          <w:sz w:val="16"/>
        </w:rPr>
        <w:t xml:space="preserve">  "result_mode": "preview", "preview_rows": 100 }</w:t>
      </w:r>
    </w:p>
    <w:p>
      <w:r>
        <w:t>Authoritative aggregate summary for the first half of 2026, exported to Excel:</w:t>
      </w:r>
    </w:p>
    <w:p>
      <w:pPr>
        <w:spacing w:before="80" w:after="200" w:line="240" w:lineRule="auto"/>
        <w:ind w:left="157" w:right="94"/>
        <w:pBdr>
          <w:left w:val="single" w:sz="18" w:space="6" w:color="3411A3"/>
        </w:pBdr>
        <w:shd w:val="clear" w:color="auto" w:fill="F3F1FA"/>
      </w:pPr>
      <w:r>
        <w:rPr>
          <w:rFonts w:ascii="Consolas" w:hAnsi="Consolas"/>
          <w:color w:val="1D1C1C"/>
          <w:sz w:val="16"/>
        </w:rPr>
        <w:t>{ "report": "aggregate_summary", "from_date": "2026-01-01", "to_date": "2026-07-01",</w:t>
        <w:br/>
      </w:r>
      <w:r>
        <w:rPr>
          <w:rFonts w:ascii="Consolas" w:hAnsi="Consolas"/>
          <w:color w:val="1D1C1C"/>
          <w:sz w:val="16"/>
        </w:rPr>
        <w:t xml:space="preserve">  "include_all": false, "result_mode": "export" }</w:t>
      </w:r>
    </w:p>
    <w:p>
      <w:r>
        <w:t>Next page of a cached multi-dataset result:</w:t>
      </w:r>
    </w:p>
    <w:p>
      <w:pPr>
        <w:spacing w:before="80" w:after="200" w:line="240" w:lineRule="auto"/>
        <w:ind w:left="157" w:right="94"/>
        <w:pBdr>
          <w:left w:val="single" w:sz="18" w:space="6" w:color="3411A3"/>
        </w:pBdr>
        <w:shd w:val="clear" w:color="auto" w:fill="F3F1FA"/>
      </w:pPr>
      <w:r>
        <w:rPr>
          <w:rFonts w:ascii="Consolas" w:hAnsi="Consolas"/>
          <w:color w:val="1D1C1C"/>
          <w:sz w:val="16"/>
        </w:rPr>
        <w:t>{ "action": "page", "query_id": "&lt;32-hex id&gt;", "dataset": "Revenue by Source",</w:t>
        <w:br/>
      </w:r>
      <w:r>
        <w:rPr>
          <w:rFonts w:ascii="Consolas" w:hAnsi="Consolas"/>
          <w:color w:val="1D1C1C"/>
          <w:sz w:val="16"/>
        </w:rPr>
        <w:t xml:space="preserve">  "offset": 100, "limit": 100 }</w:t>
      </w:r>
    </w:p>
    <w:sectPr w:rsidR="00F95EE3" w:rsidSect="00795015">
      <w:headerReference w:type="even" r:id="rId18"/>
      <w:headerReference w:type="default" r:id="rId19"/>
      <w:footerReference w:type="even" r:id="rId20"/>
      <w:footerReference w:type="default" r:id="rId21"/>
      <w:headerReference w:type="first" r:id="rId22"/>
      <w:footerReference w:type="first" r:id="rId23"/>
      <w:pgSz w:w="11906" w:h="16838" w:code="9"/>
      <w:pgMar w:top="1440" w:right="994" w:bottom="1282" w:left="994" w:header="1022" w:footer="49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6602" w14:textId="77777777" w:rsidR="0005681E" w:rsidRDefault="0005681E" w:rsidP="00785FBA">
      <w:r>
        <w:separator/>
      </w:r>
    </w:p>
  </w:endnote>
  <w:endnote w:type="continuationSeparator" w:id="0">
    <w:p w14:paraId="5B842E05" w14:textId="77777777" w:rsidR="0005681E" w:rsidRDefault="0005681E" w:rsidP="00785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D9001" w14:textId="77777777" w:rsidR="006E5E1D" w:rsidRDefault="006E5E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C3138" w14:textId="77777777" w:rsidR="00A417ED" w:rsidRPr="002038B5" w:rsidRDefault="000D5FF5" w:rsidP="00DA194F">
    <w:pPr>
      <w:pStyle w:val="Footer"/>
      <w:tabs>
        <w:tab w:val="clear" w:pos="4513"/>
        <w:tab w:val="clear" w:pos="9026"/>
        <w:tab w:val="right" w:pos="9720"/>
      </w:tabs>
      <w:spacing w:before="240"/>
      <w:rPr>
        <w:noProof/>
        <w:sz w:val="16"/>
        <w:szCs w:val="16"/>
      </w:rPr>
    </w:pPr>
    <w:r>
      <w:rPr>
        <w:noProof/>
        <w:sz w:val="16"/>
        <w:szCs w:val="16"/>
      </w:rPr>
      <w:drawing>
        <wp:anchor distT="0" distB="0" distL="114300" distR="114300" simplePos="0" relativeHeight="251716096" behindDoc="1" locked="0" layoutInCell="1" allowOverlap="1" wp14:anchorId="00A77389" wp14:editId="330804B8">
          <wp:simplePos x="0" y="0"/>
          <wp:positionH relativeFrom="column">
            <wp:posOffset>6107430</wp:posOffset>
          </wp:positionH>
          <wp:positionV relativeFrom="paragraph">
            <wp:posOffset>223520</wp:posOffset>
          </wp:positionV>
          <wp:extent cx="822325" cy="208280"/>
          <wp:effectExtent l="0" t="0" r="0" b="1270"/>
          <wp:wrapNone/>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22325" cy="208280"/>
                  </a:xfrm>
                  <a:prstGeom prst="rect">
                    <a:avLst/>
                  </a:prstGeom>
                </pic:spPr>
              </pic:pic>
            </a:graphicData>
          </a:graphic>
        </wp:anchor>
      </w:drawing>
    </w:r>
    <w:r>
      <w:rPr>
        <w:noProof/>
        <w:sz w:val="16"/>
        <w:szCs w:val="16"/>
      </w:rPr>
      <mc:AlternateContent>
        <mc:Choice Requires="wps">
          <w:drawing>
            <wp:anchor distT="0" distB="0" distL="114300" distR="114300" simplePos="0" relativeHeight="251713024" behindDoc="0" locked="0" layoutInCell="1" allowOverlap="1" wp14:anchorId="55A9D84A" wp14:editId="6FDB853B">
              <wp:simplePos x="0" y="0"/>
              <wp:positionH relativeFrom="column">
                <wp:posOffset>6177280</wp:posOffset>
              </wp:positionH>
              <wp:positionV relativeFrom="paragraph">
                <wp:posOffset>234950</wp:posOffset>
              </wp:positionV>
              <wp:extent cx="304800" cy="182880"/>
              <wp:effectExtent l="0" t="0" r="0" b="7620"/>
              <wp:wrapNone/>
              <wp:docPr id="20" name="Text Box 20"/>
              <wp:cNvGraphicFramePr/>
              <a:graphic xmlns:a="http://schemas.openxmlformats.org/drawingml/2006/main">
                <a:graphicData uri="http://schemas.microsoft.com/office/word/2010/wordprocessingShape">
                  <wps:wsp>
                    <wps:cNvSpPr txBox="1"/>
                    <wps:spPr>
                      <a:xfrm>
                        <a:off x="0" y="0"/>
                        <a:ext cx="304800" cy="182880"/>
                      </a:xfrm>
                      <a:prstGeom prst="rect">
                        <a:avLst/>
                      </a:prstGeom>
                      <a:noFill/>
                      <a:ln w="6350">
                        <a:noFill/>
                      </a:ln>
                    </wps:spPr>
                    <wps:txbx>
                      <w:txbxContent>
                        <w:sdt>
                          <w:sdtPr>
                            <w:rPr>
                              <w:color w:val="FFFFFF" w:themeColor="background1"/>
                              <w:sz w:val="14"/>
                              <w:szCs w:val="14"/>
                            </w:rPr>
                            <w:id w:val="-1166775891"/>
                            <w:docPartObj>
                              <w:docPartGallery w:val="Page Numbers (Bottom of Page)"/>
                              <w:docPartUnique/>
                            </w:docPartObj>
                          </w:sdtPr>
                          <w:sdtEndPr>
                            <w:rPr>
                              <w:noProof/>
                            </w:rPr>
                          </w:sdtEndPr>
                          <w:sdtContent>
                            <w:p w14:paraId="21EEA355" w14:textId="77777777" w:rsidR="00312E03" w:rsidRPr="003A4B7D" w:rsidRDefault="00312E03"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5AFCB630" w14:textId="77777777" w:rsidR="00312E03" w:rsidRPr="003A4B7D" w:rsidRDefault="00312E03" w:rsidP="00312E03">
                          <w:pPr>
                            <w:pStyle w:val="Footer"/>
                            <w:jc w:val="center"/>
                            <w:rPr>
                              <w:color w:val="FFFFFF" w:themeColor="background1"/>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5A9D84A" id="_x0000_t202" coordsize="21600,21600" o:spt="202" path="m,l,21600r21600,l21600,xe">
              <v:stroke joinstyle="miter"/>
              <v:path gradientshapeok="t" o:connecttype="rect"/>
            </v:shapetype>
            <v:shape id="Text Box 20" o:spid="_x0000_s1027" type="#_x0000_t202" style="position:absolute;margin-left:486.4pt;margin-top:18.5pt;width:24pt;height:14.4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" filled="f" stroked="f" strokeweight=".5pt">
              <v:textbox>
                <w:txbxContent>
                  <w:sdt>
                    <w:sdtPr>
                      <w:rPr>
                        <w:color w:val="FFFFFF" w:themeColor="background1"/>
                        <w:sz w:val="14"/>
                        <w:szCs w:val="14"/>
                      </w:rPr>
                      <w:id w:val="-1166775891"/>
                      <w:docPartObj>
                        <w:docPartGallery w:val="Page Numbers (Bottom of Page)"/>
                        <w:docPartUnique/>
                      </w:docPartObj>
                    </w:sdtPr>
                    <w:sdtEndPr>
                      <w:rPr>
                        <w:noProof/>
                      </w:rPr>
                    </w:sdtEndPr>
                    <w:sdtContent>
                      <w:p w14:paraId="21EEA355" w14:textId="77777777" w:rsidR="00312E03" w:rsidRPr="003A4B7D" w:rsidRDefault="00312E03"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5AFCB630" w14:textId="77777777" w:rsidR="00312E03" w:rsidRPr="003A4B7D" w:rsidRDefault="00312E03" w:rsidP="00312E03">
                    <w:pPr>
                      <w:pStyle w:val="Footer"/>
                      <w:jc w:val="center"/>
                      <w:rPr>
                        <w:color w:val="FFFFFF" w:themeColor="background1"/>
                        <w:sz w:val="10"/>
                        <w:szCs w:val="10"/>
                        <w:lang w:val="en-US"/>
                      </w:rPr>
                    </w:pPr>
                  </w:p>
                </w:txbxContent>
              </v:textbox>
            </v:shape>
          </w:pict>
        </mc:Fallback>
      </mc:AlternateContent>
    </w:r>
  </w:p>
  <w:tbl>
    <w:tblPr>
      <w:tblStyle w:val="Style1"/>
      <w:tblpPr w:leftFromText="181" w:rightFromText="181" w:vertAnchor="text" w:tblpY="1"/>
      <w:tblW w:w="4700" w:type="pct"/>
      <w:tblBorders>
        <w:bottom w:val="none" w:sz="0" w:space="0" w:color="auto"/>
        <w:insideH w:val="none" w:sz="0" w:space="0" w:color="auto"/>
      </w:tblBorders>
      <w:tblLook w:val="04A0" w:firstRow="1" w:lastRow="0" w:firstColumn="1" w:lastColumn="0" w:noHBand="0" w:noVBand="1"/>
    </w:tblPr>
    <w:tblGrid>
      <w:gridCol w:w="3296"/>
      <w:gridCol w:w="3295"/>
      <w:gridCol w:w="2732"/>
    </w:tblGrid>
    <w:tr w:rsidR="00A417ED" w14:paraId="22C4FC84" w14:textId="77777777" w:rsidTr="000D5FF5">
      <w:trPr>
        <w:cnfStyle w:val="100000000000" w:firstRow="1" w:lastRow="0" w:firstColumn="0" w:lastColumn="0" w:oddVBand="0" w:evenVBand="0" w:oddHBand="0" w:evenHBand="0" w:firstRowFirstColumn="0" w:firstRowLastColumn="0" w:lastRowFirstColumn="0" w:lastRowLastColumn="0"/>
      </w:trPr>
      <w:tc>
        <w:tcPr>
          <w:tcW w:w="3307" w:type="dxa"/>
          <w:tcBorders>
            <w:bottom w:val="none" w:sz="0" w:space="0" w:color="auto"/>
          </w:tcBorders>
          <w:shd w:val="clear" w:color="auto" w:fill="FFFFFF" w:themeFill="background1"/>
          <w:tcMar>
            <w:left w:w="0" w:type="dxa"/>
            <w:right w:w="0" w:type="dxa"/>
          </w:tcMar>
        </w:tcPr>
        <w:p w14:paraId="740905A3" w14:textId="77777777" w:rsidR="00A417ED" w:rsidRPr="00A417ED" w:rsidRDefault="00A417ED" w:rsidP="00A417ED">
          <w:pPr>
            <w:pStyle w:val="Footer"/>
            <w:rPr>
              <w:b w:val="0"/>
              <w:bCs/>
              <w:sz w:val="16"/>
              <w:szCs w:val="16"/>
            </w:rPr>
          </w:pPr>
          <w:r w:rsidRPr="00A417ED">
            <w:rPr>
              <w:b w:val="0"/>
              <w:bCs/>
              <w:sz w:val="16"/>
              <w:szCs w:val="16"/>
            </w:rPr>
            <w:t>Circulation Limited: Client</w:t>
          </w:r>
        </w:p>
      </w:tc>
      <w:tc>
        <w:tcPr>
          <w:tcW w:w="3307" w:type="dxa"/>
          <w:tcBorders>
            <w:bottom w:val="none" w:sz="0" w:space="0" w:color="auto"/>
          </w:tcBorders>
          <w:shd w:val="clear" w:color="auto" w:fill="FFFFFF" w:themeFill="background1"/>
          <w:tcMar>
            <w:left w:w="0" w:type="dxa"/>
            <w:right w:w="0" w:type="dxa"/>
          </w:tcMar>
        </w:tcPr>
        <w:p w14:paraId="192A2552" w14:textId="77777777" w:rsidR="00A417ED" w:rsidRPr="00A417ED" w:rsidRDefault="00A417ED" w:rsidP="00A417ED">
          <w:pPr>
            <w:pStyle w:val="Footer"/>
            <w:jc w:val="center"/>
            <w:rPr>
              <w:b w:val="0"/>
              <w:bCs/>
              <w:sz w:val="16"/>
              <w:szCs w:val="16"/>
            </w:rPr>
          </w:pPr>
          <w:r w:rsidRPr="00A417ED">
            <w:rPr>
              <w:b w:val="0"/>
              <w:bCs/>
              <w:sz w:val="16"/>
              <w:szCs w:val="16"/>
            </w:rPr>
            <w:t>Version 1.0</w:t>
          </w:r>
        </w:p>
      </w:tc>
      <w:tc>
        <w:tcPr>
          <w:tcW w:w="2742" w:type="dxa"/>
          <w:tcBorders>
            <w:bottom w:val="none" w:sz="0" w:space="0" w:color="auto"/>
          </w:tcBorders>
          <w:shd w:val="clear" w:color="auto" w:fill="FFFFFF" w:themeFill="background1"/>
          <w:tcMar>
            <w:left w:w="0" w:type="dxa"/>
            <w:right w:w="0" w:type="dxa"/>
          </w:tcMar>
        </w:tcPr>
        <w:p w14:paraId="00E66BDF" w14:textId="77777777" w:rsidR="00A417ED" w:rsidRPr="00A417ED" w:rsidRDefault="00A417ED" w:rsidP="00A417ED">
          <w:pPr>
            <w:pStyle w:val="Footer"/>
            <w:jc w:val="right"/>
            <w:rPr>
              <w:b w:val="0"/>
              <w:bCs/>
              <w:sz w:val="16"/>
              <w:szCs w:val="16"/>
            </w:rPr>
          </w:pPr>
          <w:r w:rsidRPr="00A417ED">
            <w:rPr>
              <w:b w:val="0"/>
              <w:bCs/>
              <w:sz w:val="16"/>
              <w:szCs w:val="16"/>
            </w:rPr>
            <w:t>October 2026</w:t>
          </w:r>
        </w:p>
      </w:tc>
    </w:tr>
  </w:tbl>
  <w:p w14:paraId="7A1817C3" w14:textId="77777777" w:rsidR="00312E03" w:rsidRPr="002038B5" w:rsidRDefault="00312E03" w:rsidP="00233EF0">
    <w:pPr>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C5404" w14:textId="77777777" w:rsidR="007C0F56" w:rsidRDefault="007C0F56" w:rsidP="00424758">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1FA09" w14:textId="77777777" w:rsidR="00EB74F2" w:rsidRDefault="00EB74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529FB" w14:textId="77777777" w:rsidR="00795015" w:rsidRPr="002038B5" w:rsidRDefault="00795015" w:rsidP="00DA194F">
    <w:pPr>
      <w:pStyle w:val="Footer"/>
      <w:tabs>
        <w:tab w:val="clear" w:pos="4513"/>
        <w:tab w:val="clear" w:pos="9026"/>
        <w:tab w:val="right" w:pos="9720"/>
      </w:tabs>
      <w:spacing w:before="240"/>
      <w:rPr>
        <w:noProof/>
        <w:sz w:val="16"/>
        <w:szCs w:val="16"/>
      </w:rPr>
    </w:pPr>
    <w:r>
      <w:rPr>
        <w:noProof/>
        <w:sz w:val="16"/>
        <w:szCs w:val="16"/>
      </w:rPr>
      <w:drawing>
        <wp:anchor distT="0" distB="0" distL="114300" distR="114300" simplePos="0" relativeHeight="251721216" behindDoc="1" locked="0" layoutInCell="1" allowOverlap="1" wp14:anchorId="4D0300BF" wp14:editId="0740708A">
          <wp:simplePos x="0" y="0"/>
          <wp:positionH relativeFrom="column">
            <wp:posOffset>6107430</wp:posOffset>
          </wp:positionH>
          <wp:positionV relativeFrom="paragraph">
            <wp:posOffset>223520</wp:posOffset>
          </wp:positionV>
          <wp:extent cx="822325" cy="208280"/>
          <wp:effectExtent l="0" t="0" r="0" b="127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22325" cy="208280"/>
                  </a:xfrm>
                  <a:prstGeom prst="rect">
                    <a:avLst/>
                  </a:prstGeom>
                </pic:spPr>
              </pic:pic>
            </a:graphicData>
          </a:graphic>
        </wp:anchor>
      </w:drawing>
    </w:r>
    <w:r>
      <w:rPr>
        <w:noProof/>
        <w:sz w:val="16"/>
        <w:szCs w:val="16"/>
      </w:rPr>
      <mc:AlternateContent>
        <mc:Choice Requires="wps">
          <w:drawing>
            <wp:anchor distT="0" distB="0" distL="114300" distR="114300" simplePos="0" relativeHeight="251720192" behindDoc="0" locked="0" layoutInCell="1" allowOverlap="1" wp14:anchorId="4E2A06BE" wp14:editId="3D519219">
              <wp:simplePos x="0" y="0"/>
              <wp:positionH relativeFrom="column">
                <wp:posOffset>6177280</wp:posOffset>
              </wp:positionH>
              <wp:positionV relativeFrom="paragraph">
                <wp:posOffset>234950</wp:posOffset>
              </wp:positionV>
              <wp:extent cx="304800" cy="182880"/>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304800" cy="182880"/>
                      </a:xfrm>
                      <a:prstGeom prst="rect">
                        <a:avLst/>
                      </a:prstGeom>
                      <a:noFill/>
                      <a:ln w="6350">
                        <a:noFill/>
                      </a:ln>
                    </wps:spPr>
                    <wps:txbx>
                      <w:txbxContent>
                        <w:sdt>
                          <w:sdtPr>
                            <w:rPr>
                              <w:color w:val="FFFFFF" w:themeColor="background1"/>
                              <w:sz w:val="14"/>
                              <w:szCs w:val="14"/>
                            </w:rPr>
                            <w:id w:val="629826396"/>
                            <w:docPartObj>
                              <w:docPartGallery w:val="Page Numbers (Bottom of Page)"/>
                              <w:docPartUnique/>
                            </w:docPartObj>
                          </w:sdtPr>
                          <w:sdtEndPr>
                            <w:rPr>
                              <w:noProof/>
                            </w:rPr>
                          </w:sdtEndPr>
                          <w:sdtContent>
                            <w:p w14:paraId="3C1D08AD" w14:textId="77777777" w:rsidR="00795015" w:rsidRPr="003A4B7D" w:rsidRDefault="00795015"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40E2A087" w14:textId="77777777" w:rsidR="00795015" w:rsidRPr="003A4B7D" w:rsidRDefault="00795015" w:rsidP="00312E03">
                          <w:pPr>
                            <w:pStyle w:val="Footer"/>
                            <w:jc w:val="center"/>
                            <w:rPr>
                              <w:color w:val="FFFFFF" w:themeColor="background1"/>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2A06BE" id="_x0000_t202" coordsize="21600,21600" o:spt="202" path="m,l,21600r21600,l21600,xe">
              <v:stroke joinstyle="miter"/>
              <v:path gradientshapeok="t" o:connecttype="rect"/>
            </v:shapetype>
            <v:shape id="Text Box 1" o:spid="_x0000_s1028" type="#_x0000_t202" style="position:absolute;margin-left:486.4pt;margin-top:18.5pt;width:24pt;height:14.4pt;z-index:25172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" filled="f" stroked="f" strokeweight=".5pt">
              <v:textbox>
                <w:txbxContent>
                  <w:sdt>
                    <w:sdtPr>
                      <w:rPr>
                        <w:color w:val="FFFFFF" w:themeColor="background1"/>
                        <w:sz w:val="14"/>
                        <w:szCs w:val="14"/>
                      </w:rPr>
                      <w:id w:val="629826396"/>
                      <w:docPartObj>
                        <w:docPartGallery w:val="Page Numbers (Bottom of Page)"/>
                        <w:docPartUnique/>
                      </w:docPartObj>
                    </w:sdtPr>
                    <w:sdtEndPr>
                      <w:rPr>
                        <w:noProof/>
                      </w:rPr>
                    </w:sdtEndPr>
                    <w:sdtContent>
                      <w:p w14:paraId="3C1D08AD" w14:textId="77777777" w:rsidR="00795015" w:rsidRPr="003A4B7D" w:rsidRDefault="00795015"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40E2A087" w14:textId="77777777" w:rsidR="00795015" w:rsidRPr="003A4B7D" w:rsidRDefault="00795015" w:rsidP="00312E03">
                    <w:pPr>
                      <w:pStyle w:val="Footer"/>
                      <w:jc w:val="center"/>
                      <w:rPr>
                        <w:color w:val="FFFFFF" w:themeColor="background1"/>
                        <w:sz w:val="10"/>
                        <w:szCs w:val="10"/>
                        <w:lang w:val="en-US"/>
                      </w:rPr>
                    </w:pPr>
                  </w:p>
                </w:txbxContent>
              </v:textbox>
            </v:shape>
          </w:pict>
        </mc:Fallback>
      </mc:AlternateContent>
    </w:r>
  </w:p>
  <w:tbl>
    <w:tblPr>
      <w:tblStyle w:val="Style1"/>
      <w:tblpPr w:leftFromText="181" w:rightFromText="181" w:vertAnchor="text" w:tblpY="1"/>
      <w:tblW w:w="4700" w:type="pct"/>
      <w:tblBorders>
        <w:bottom w:val="none" w:sz="0" w:space="0" w:color="auto"/>
        <w:insideH w:val="none" w:sz="0" w:space="0" w:color="auto"/>
      </w:tblBorders>
      <w:tblLook w:val="04A0" w:firstRow="1" w:lastRow="0" w:firstColumn="1" w:lastColumn="0" w:noHBand="0" w:noVBand="1"/>
    </w:tblPr>
    <w:tblGrid>
      <w:gridCol w:w="3295"/>
      <w:gridCol w:w="3295"/>
      <w:gridCol w:w="2733"/>
    </w:tblGrid>
    <w:tr w:rsidR="00795015" w14:paraId="6B32DC3B" w14:textId="77777777" w:rsidTr="000D5FF5">
      <w:trPr>
        <w:cnfStyle w:val="100000000000" w:firstRow="1" w:lastRow="0" w:firstColumn="0" w:lastColumn="0" w:oddVBand="0" w:evenVBand="0" w:oddHBand="0" w:evenHBand="0" w:firstRowFirstColumn="0" w:firstRowLastColumn="0" w:lastRowFirstColumn="0" w:lastRowLastColumn="0"/>
      </w:trPr>
      <w:tc>
        <w:tcPr>
          <w:tcW w:w="3307" w:type="dxa"/>
          <w:tcBorders>
            <w:bottom w:val="none" w:sz="0" w:space="0" w:color="auto"/>
          </w:tcBorders>
          <w:shd w:val="clear" w:color="auto" w:fill="FFFFFF" w:themeFill="background1"/>
          <w:tcMar>
            <w:left w:w="0" w:type="dxa"/>
            <w:right w:w="0" w:type="dxa"/>
          </w:tcMar>
        </w:tcPr>
        <w:p w14:paraId="37986F6E" w14:textId="77777777" w:rsidR="00795015" w:rsidRPr="00A417ED" w:rsidRDefault="00795015" w:rsidP="00A417ED">
          <w:pPr>
            <w:pStyle w:val="Footer"/>
            <w:rPr>
              <w:b w:val="0"/>
              <w:bCs/>
              <w:sz w:val="16"/>
              <w:szCs w:val="16"/>
            </w:rPr>
          </w:pPr>
          <w:r w:rsidRPr="00A417ED">
            <w:rPr>
              <w:b w:val="0"/>
              <w:bCs/>
              <w:sz w:val="16"/>
              <w:szCs w:val="16"/>
            </w:rPr>
            <w:t>Circulation Limited: Client</w:t>
          </w:r>
        </w:p>
      </w:tc>
      <w:tc>
        <w:tcPr>
          <w:tcW w:w="3307" w:type="dxa"/>
          <w:tcBorders>
            <w:bottom w:val="none" w:sz="0" w:space="0" w:color="auto"/>
          </w:tcBorders>
          <w:shd w:val="clear" w:color="auto" w:fill="FFFFFF" w:themeFill="background1"/>
          <w:tcMar>
            <w:left w:w="0" w:type="dxa"/>
            <w:right w:w="0" w:type="dxa"/>
          </w:tcMar>
        </w:tcPr>
        <w:p w14:paraId="6DF7A25B" w14:textId="77777777" w:rsidR="00795015" w:rsidRPr="00A417ED" w:rsidRDefault="00795015" w:rsidP="00A417ED">
          <w:pPr>
            <w:pStyle w:val="Footer"/>
            <w:jc w:val="center"/>
            <w:rPr>
              <w:b w:val="0"/>
              <w:bCs/>
              <w:sz w:val="16"/>
              <w:szCs w:val="16"/>
            </w:rPr>
          </w:pPr>
          <w:r w:rsidRPr="00A417ED">
            <w:rPr>
              <w:b w:val="0"/>
              <w:bCs/>
              <w:sz w:val="16"/>
              <w:szCs w:val="16"/>
            </w:rPr>
            <w:t>Version 1.0</w:t>
          </w:r>
        </w:p>
      </w:tc>
      <w:tc>
        <w:tcPr>
          <w:tcW w:w="2742" w:type="dxa"/>
          <w:tcBorders>
            <w:bottom w:val="none" w:sz="0" w:space="0" w:color="auto"/>
          </w:tcBorders>
          <w:shd w:val="clear" w:color="auto" w:fill="FFFFFF" w:themeFill="background1"/>
          <w:tcMar>
            <w:left w:w="0" w:type="dxa"/>
            <w:right w:w="0" w:type="dxa"/>
          </w:tcMar>
        </w:tcPr>
        <w:p w14:paraId="501C5D44" w14:textId="77777777" w:rsidR="00795015" w:rsidRPr="006E5E1D" w:rsidRDefault="004406CA" w:rsidP="00A417ED">
          <w:pPr>
            <w:pStyle w:val="Footer"/>
            <w:jc w:val="right"/>
            <w:rPr>
              <w:b w:val="0"/>
              <w:bCs/>
              <w:sz w:val="16"/>
              <w:szCs w:val="16"/>
            </w:rPr>
          </w:pPr>
          <w:r w:rsidRPr="006E5E1D">
            <w:rPr>
              <w:bCs/>
              <w:sz w:val="16"/>
              <w:szCs w:val="16"/>
            </w:rPr>
            <w:fldChar w:fldCharType="begin"/>
          </w:r>
          <w:r w:rsidRPr="006E5E1D">
            <w:rPr>
              <w:b w:val="0"/>
              <w:bCs/>
              <w:sz w:val="16"/>
              <w:szCs w:val="16"/>
            </w:rPr>
            <w:instrText xml:space="preserve"> DATE  \@ "MMMM yyyy" </w:instrText>
          </w:r>
          <w:r w:rsidRPr="006E5E1D">
            <w:rPr>
              <w:bCs/>
              <w:sz w:val="16"/>
              <w:szCs w:val="16"/>
            </w:rPr>
            <w:fldChar w:fldCharType="separate"/>
          </w:r>
          <w:r w:rsidR="00C07A4D">
            <w:rPr>
              <w:bCs/>
              <w:noProof/>
              <w:sz w:val="16"/>
              <w:szCs w:val="16"/>
            </w:rPr>
            <w:t>October 2026</w:t>
          </w:r>
          <w:r w:rsidRPr="006E5E1D">
            <w:rPr>
              <w:bCs/>
              <w:sz w:val="16"/>
              <w:szCs w:val="16"/>
            </w:rPr>
            <w:fldChar w:fldCharType="end"/>
          </w:r>
        </w:p>
      </w:tc>
    </w:tr>
  </w:tbl>
  <w:p w14:paraId="1937BE2B" w14:textId="77777777" w:rsidR="00795015" w:rsidRPr="002038B5" w:rsidRDefault="00795015" w:rsidP="00233EF0">
    <w:pPr>
      <w:rPr>
        <w:noProof/>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CD23E" w14:textId="77777777" w:rsidR="00EB74F2" w:rsidRDefault="00EB7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E1F5E" w14:textId="77777777" w:rsidR="0005681E" w:rsidRDefault="0005681E" w:rsidP="00785FBA">
      <w:r>
        <w:separator/>
      </w:r>
    </w:p>
  </w:footnote>
  <w:footnote w:type="continuationSeparator" w:id="0">
    <w:p w14:paraId="18510483" w14:textId="77777777" w:rsidR="0005681E" w:rsidRDefault="0005681E" w:rsidP="00785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C3268" w14:textId="77777777" w:rsidR="006E5E1D" w:rsidRDefault="006E5E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E8DA3" w14:textId="77777777" w:rsidR="006E5E1D" w:rsidRDefault="006E5E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00098" w14:textId="77777777" w:rsidR="000F1FD4" w:rsidRDefault="00A75459" w:rsidP="00785FBA">
    <w:pPr>
      <w:pStyle w:val="Header"/>
    </w:pPr>
    <w:r>
      <w:rPr>
        <w:noProof/>
      </w:rPr>
      <w:drawing>
        <wp:anchor distT="0" distB="0" distL="114300" distR="114300" simplePos="0" relativeHeight="251706879" behindDoc="1" locked="0" layoutInCell="1" allowOverlap="1" wp14:anchorId="539311A2" wp14:editId="4C184E97">
          <wp:simplePos x="0" y="0"/>
          <wp:positionH relativeFrom="column">
            <wp:posOffset>-631190</wp:posOffset>
          </wp:positionH>
          <wp:positionV relativeFrom="paragraph">
            <wp:posOffset>-356870</wp:posOffset>
          </wp:positionV>
          <wp:extent cx="7559549" cy="10688400"/>
          <wp:effectExtent l="0" t="0" r="3810" b="0"/>
          <wp:wrapNone/>
          <wp:docPr id="27" name="Picture 27"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549" cy="1068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4F">
      <w:rPr>
        <w:noProof/>
      </w:rPr>
      <w:drawing>
        <wp:anchor distT="0" distB="0" distL="114300" distR="114300" simplePos="0" relativeHeight="251707904" behindDoc="1" locked="0" layoutInCell="1" allowOverlap="1" wp14:anchorId="5B8BCF6B" wp14:editId="1DA13089">
          <wp:simplePos x="0" y="0"/>
          <wp:positionH relativeFrom="margin">
            <wp:align>right</wp:align>
          </wp:positionH>
          <wp:positionV relativeFrom="margin">
            <wp:align>top</wp:align>
          </wp:positionV>
          <wp:extent cx="3048294" cy="1016098"/>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3048294" cy="1016098"/>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84D7B" w14:textId="77777777" w:rsidR="00EB74F2" w:rsidRDefault="00EB74F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804E" w14:textId="77777777" w:rsidR="00E4779D" w:rsidRPr="00DE4567" w:rsidRDefault="00C351BA" w:rsidP="00DE4567">
    <w:pPr>
      <w:pStyle w:val="Header"/>
    </w:pPr>
    <w:r>
      <w:rPr>
        <w:noProof/>
      </w:rPr>
      <w:drawing>
        <wp:anchor distT="0" distB="0" distL="114300" distR="114300" simplePos="0" relativeHeight="251718144" behindDoc="1" locked="0" layoutInCell="1" allowOverlap="1" wp14:anchorId="4BCFCA7D" wp14:editId="7D980BA0">
          <wp:simplePos x="0" y="0"/>
          <wp:positionH relativeFrom="margin">
            <wp:posOffset>5157470</wp:posOffset>
          </wp:positionH>
          <wp:positionV relativeFrom="margin">
            <wp:posOffset>-530225</wp:posOffset>
          </wp:positionV>
          <wp:extent cx="1143000" cy="384048"/>
          <wp:effectExtent l="0" t="0" r="0" b="0"/>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3000" cy="384048"/>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B0C95" w14:textId="77777777" w:rsidR="00EB74F2" w:rsidRDefault="00EB74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702"/>
    <w:multiLevelType w:val="hybridMultilevel"/>
    <w:tmpl w:val="4D4EF92C"/>
    <w:lvl w:ilvl="0" w:tplc="4FEA1BDA">
      <w:start w:val="1"/>
      <w:numFmt w:val="bullet"/>
      <w:lvlText w:val="•"/>
      <w:lvlJc w:val="left"/>
      <w:pPr>
        <w:ind w:left="360" w:hanging="360"/>
      </w:pPr>
      <w:rPr>
        <w:rFonts w:ascii="Arial" w:hAnsi="Arial" w:hint="default"/>
        <w:b w:val="0"/>
        <w:i w:val="0"/>
        <w:caps w:val="0"/>
        <w:strike w:val="0"/>
        <w:dstrike w:val="0"/>
        <w:vanish w:val="0"/>
        <w:color w:val="FF6196" w:themeColor="accent1"/>
        <w:sz w:val="22"/>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2BA39D4"/>
    <w:multiLevelType w:val="hybridMultilevel"/>
    <w:tmpl w:val="7FF43238"/>
    <w:lvl w:ilvl="0" w:tplc="871E20C6">
      <w:start w:val="1"/>
      <w:numFmt w:val="bullet"/>
      <w:lvlText w:val="−"/>
      <w:lvlJc w:val="left"/>
      <w:pPr>
        <w:ind w:left="720" w:hanging="360"/>
      </w:pPr>
      <w:rPr>
        <w:rFonts w:ascii="Arial" w:hAnsi="Arial" w:hint="default"/>
        <w:b w:val="0"/>
        <w:i w:val="0"/>
        <w:color w:val="173845"/>
        <w:sz w:val="24"/>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E132CC9"/>
    <w:multiLevelType w:val="hybridMultilevel"/>
    <w:tmpl w:val="CD889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2E7EC2"/>
    <w:multiLevelType w:val="hybridMultilevel"/>
    <w:tmpl w:val="52308B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08B698C"/>
    <w:multiLevelType w:val="hybridMultilevel"/>
    <w:tmpl w:val="4700172A"/>
    <w:lvl w:ilvl="0" w:tplc="6F3828FC">
      <w:start w:val="1"/>
      <w:numFmt w:val="bullet"/>
      <w:lvlText w:val=""/>
      <w:lvlJc w:val="left"/>
      <w:pPr>
        <w:ind w:left="1074" w:hanging="360"/>
      </w:pPr>
      <w:rPr>
        <w:rFonts w:ascii="Wingdings" w:hAnsi="Wingdings" w:hint="default"/>
        <w:color w:val="FF6196" w:themeColor="accent1"/>
        <w:sz w:val="22"/>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5" w15:restartNumberingAfterBreak="0">
    <w:nsid w:val="12CC3CD3"/>
    <w:multiLevelType w:val="hybridMultilevel"/>
    <w:tmpl w:val="33C8F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7D547E"/>
    <w:multiLevelType w:val="hybridMultilevel"/>
    <w:tmpl w:val="ED764B7C"/>
    <w:lvl w:ilvl="0" w:tplc="6B62F2BE">
      <w:start w:val="1"/>
      <w:numFmt w:val="decimal"/>
      <w:pStyle w:val="NumberList"/>
      <w:lvlText w:val="%1."/>
      <w:lvlJc w:val="left"/>
      <w:pPr>
        <w:ind w:left="720" w:hanging="360"/>
      </w:pPr>
      <w:rPr>
        <w:rFonts w:ascii="Arial" w:hAnsi="Arial"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69081F"/>
    <w:multiLevelType w:val="hybridMultilevel"/>
    <w:tmpl w:val="73A02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CE0590"/>
    <w:multiLevelType w:val="hybridMultilevel"/>
    <w:tmpl w:val="239C6188"/>
    <w:lvl w:ilvl="0" w:tplc="FB48AC58">
      <w:start w:val="1"/>
      <w:numFmt w:val="bullet"/>
      <w:lvlText w:val="•"/>
      <w:lvlJc w:val="left"/>
      <w:pPr>
        <w:ind w:left="360" w:hanging="360"/>
      </w:pPr>
      <w:rPr>
        <w:rFonts w:ascii="Arial" w:hAnsi="Arial" w:hint="default"/>
        <w:b w:val="0"/>
        <w:i w:val="0"/>
        <w:caps w:val="0"/>
        <w:strike w:val="0"/>
        <w:dstrike w:val="0"/>
        <w:vanish w:val="0"/>
        <w:color w:val="173845"/>
        <w:sz w:val="24"/>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CA74F9A"/>
    <w:multiLevelType w:val="hybridMultilevel"/>
    <w:tmpl w:val="3F0ACEA6"/>
    <w:lvl w:ilvl="0" w:tplc="F87EC44E">
      <w:start w:val="1"/>
      <w:numFmt w:val="bullet"/>
      <w:lvlText w:val="•"/>
      <w:lvlJc w:val="left"/>
      <w:pPr>
        <w:ind w:left="360" w:hanging="360"/>
      </w:pPr>
      <w:rPr>
        <w:rFonts w:ascii="Arial" w:hAnsi="Arial" w:hint="default"/>
        <w:b w:val="0"/>
        <w:i w:val="0"/>
        <w:caps w:val="0"/>
        <w:strike w:val="0"/>
        <w:dstrike w:val="0"/>
        <w:vanish w:val="0"/>
        <w:color w:val="173845"/>
        <w:sz w:val="24"/>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2366C39"/>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88D417D"/>
    <w:multiLevelType w:val="hybridMultilevel"/>
    <w:tmpl w:val="F9524BA6"/>
    <w:lvl w:ilvl="0" w:tplc="94E208BA">
      <w:start w:val="1"/>
      <w:numFmt w:val="bullet"/>
      <w:pStyle w:val="Subsubbullet"/>
      <w:lvlText w:val=""/>
      <w:lvlJc w:val="left"/>
      <w:pPr>
        <w:ind w:left="1074" w:hanging="360"/>
      </w:pPr>
      <w:rPr>
        <w:rFonts w:ascii="Wingdings" w:hAnsi="Wingdings" w:hint="default"/>
        <w:color w:val="19105B" w:themeColor="background2"/>
        <w:sz w:val="22"/>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12" w15:restartNumberingAfterBreak="0">
    <w:nsid w:val="3A8B1E91"/>
    <w:multiLevelType w:val="hybridMultilevel"/>
    <w:tmpl w:val="D5B628A0"/>
    <w:lvl w:ilvl="0" w:tplc="DD34C4B6">
      <w:start w:val="1"/>
      <w:numFmt w:val="bullet"/>
      <w:pStyle w:val="ListParagraph"/>
      <w:lvlText w:val=""/>
      <w:lvlJc w:val="left"/>
      <w:pPr>
        <w:ind w:left="720" w:hanging="360"/>
      </w:pPr>
      <w:rPr>
        <w:rFonts w:ascii="Symbol" w:hAnsi="Symbol" w:hint="default"/>
        <w:color w:val="17384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446F85"/>
    <w:multiLevelType w:val="hybridMultilevel"/>
    <w:tmpl w:val="14BE0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387C4E"/>
    <w:multiLevelType w:val="hybridMultilevel"/>
    <w:tmpl w:val="08225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A4192F"/>
    <w:multiLevelType w:val="hybridMultilevel"/>
    <w:tmpl w:val="928C9866"/>
    <w:lvl w:ilvl="0" w:tplc="29503FBC">
      <w:start w:val="1"/>
      <w:numFmt w:val="bullet"/>
      <w:pStyle w:val="SubBullet"/>
      <w:lvlText w:val="−"/>
      <w:lvlJc w:val="left"/>
      <w:pPr>
        <w:ind w:left="720" w:hanging="360"/>
      </w:pPr>
      <w:rPr>
        <w:rFonts w:ascii="Arial" w:hAnsi="Arial" w:hint="default"/>
        <w:b w:val="0"/>
        <w:i w:val="0"/>
        <w:color w:val="19105B" w:themeColor="background2"/>
        <w:sz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8F46FD5"/>
    <w:multiLevelType w:val="hybridMultilevel"/>
    <w:tmpl w:val="FFB6957E"/>
    <w:lvl w:ilvl="0" w:tplc="7ABC00FE">
      <w:start w:val="1"/>
      <w:numFmt w:val="bullet"/>
      <w:lvlText w:val=""/>
      <w:lvlJc w:val="left"/>
      <w:pPr>
        <w:ind w:left="1771" w:hanging="360"/>
      </w:pPr>
      <w:rPr>
        <w:rFonts w:ascii="Wingdings" w:hAnsi="Wingdings" w:hint="default"/>
        <w:color w:val="173845"/>
        <w:sz w:val="24"/>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17" w15:restartNumberingAfterBreak="0">
    <w:nsid w:val="58711DF1"/>
    <w:multiLevelType w:val="hybridMultilevel"/>
    <w:tmpl w:val="A684C106"/>
    <w:lvl w:ilvl="0" w:tplc="44AE33BA">
      <w:start w:val="1"/>
      <w:numFmt w:val="bullet"/>
      <w:lvlText w:val="–"/>
      <w:lvlJc w:val="left"/>
      <w:pPr>
        <w:ind w:left="1440" w:hanging="360"/>
      </w:pPr>
      <w:rPr>
        <w:rFonts w:ascii="Arial" w:hAnsi="Arial" w:hint="default"/>
        <w:color w:val="173845"/>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AD0190E"/>
    <w:multiLevelType w:val="hybridMultilevel"/>
    <w:tmpl w:val="3196B9D8"/>
    <w:lvl w:ilvl="0" w:tplc="07E2A5BC">
      <w:start w:val="1"/>
      <w:numFmt w:val="lowerLetter"/>
      <w:pStyle w:val="AlphaBullet"/>
      <w:lvlText w:val="%1."/>
      <w:lvlJc w:val="left"/>
      <w:pPr>
        <w:ind w:left="720" w:hanging="360"/>
      </w:pPr>
      <w:rPr>
        <w:rFonts w:ascii="Arial" w:hAnsi="Arial"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B9C4C21"/>
    <w:multiLevelType w:val="hybridMultilevel"/>
    <w:tmpl w:val="0F381862"/>
    <w:lvl w:ilvl="0" w:tplc="D00CE5D6">
      <w:start w:val="1"/>
      <w:numFmt w:val="bullet"/>
      <w:pStyle w:val="Bullet"/>
      <w:lvlText w:val="•"/>
      <w:lvlJc w:val="left"/>
      <w:pPr>
        <w:ind w:left="360" w:hanging="360"/>
      </w:pPr>
      <w:rPr>
        <w:rFonts w:ascii="Arial" w:hAnsi="Arial" w:hint="default"/>
        <w:b w:val="0"/>
        <w:i w:val="0"/>
        <w:caps w:val="0"/>
        <w:strike w:val="0"/>
        <w:dstrike w:val="0"/>
        <w:vanish w:val="0"/>
        <w:color w:val="19105B" w:themeColor="background2"/>
        <w:sz w:val="22"/>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5E36199F"/>
    <w:multiLevelType w:val="hybridMultilevel"/>
    <w:tmpl w:val="48126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1E2FA1"/>
    <w:multiLevelType w:val="multilevel"/>
    <w:tmpl w:val="E60AB5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6191F58"/>
    <w:multiLevelType w:val="hybridMultilevel"/>
    <w:tmpl w:val="ACEC736E"/>
    <w:lvl w:ilvl="0" w:tplc="C9B6FC78">
      <w:start w:val="1"/>
      <w:numFmt w:val="bullet"/>
      <w:lvlText w:val="−"/>
      <w:lvlJc w:val="left"/>
      <w:pPr>
        <w:ind w:left="720" w:hanging="360"/>
      </w:pPr>
      <w:rPr>
        <w:rFonts w:ascii="Arial" w:hAnsi="Arial" w:hint="default"/>
        <w:b w:val="0"/>
        <w:i w:val="0"/>
        <w:color w:val="FF6196" w:themeColor="accent1"/>
        <w:sz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17C6701"/>
    <w:multiLevelType w:val="hybridMultilevel"/>
    <w:tmpl w:val="AFE80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81497D"/>
    <w:multiLevelType w:val="multilevel"/>
    <w:tmpl w:val="451CA8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758365C4"/>
    <w:multiLevelType w:val="hybridMultilevel"/>
    <w:tmpl w:val="A9689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D70A95"/>
    <w:multiLevelType w:val="hybridMultilevel"/>
    <w:tmpl w:val="371A6B3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7DD34D68"/>
    <w:multiLevelType w:val="multilevel"/>
    <w:tmpl w:val="F9A27180"/>
    <w:lvl w:ilvl="0">
      <w:start w:val="1"/>
      <w:numFmt w:val="decimal"/>
      <w:pStyle w:val="Listnumber1"/>
      <w:lvlText w:val="%1."/>
      <w:lvlJc w:val="left"/>
      <w:pPr>
        <w:ind w:left="360" w:hanging="360"/>
      </w:pPr>
    </w:lvl>
    <w:lvl w:ilvl="1">
      <w:start w:val="1"/>
      <w:numFmt w:val="decimal"/>
      <w:pStyle w:val="ListNumber21"/>
      <w:lvlText w:val="%1.%2."/>
      <w:lvlJc w:val="left"/>
      <w:pPr>
        <w:ind w:left="792" w:hanging="432"/>
      </w:pPr>
    </w:lvl>
    <w:lvl w:ilvl="2">
      <w:start w:val="1"/>
      <w:numFmt w:val="decimal"/>
      <w:pStyle w:val="ListNumber31"/>
      <w:lvlText w:val="%1.%2.%3."/>
      <w:lvlJc w:val="left"/>
      <w:pPr>
        <w:ind w:left="1224" w:hanging="504"/>
      </w:pPr>
    </w:lvl>
    <w:lvl w:ilvl="3">
      <w:start w:val="1"/>
      <w:numFmt w:val="decimal"/>
      <w:pStyle w:val="ListNumber41"/>
      <w:lvlText w:val="%1.%2.%3.%4."/>
      <w:lvlJc w:val="left"/>
      <w:pPr>
        <w:ind w:left="1925"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1295135">
    <w:abstractNumId w:val="14"/>
  </w:num>
  <w:num w:numId="2" w16cid:durableId="1436486968">
    <w:abstractNumId w:val="13"/>
  </w:num>
  <w:num w:numId="3" w16cid:durableId="302780341">
    <w:abstractNumId w:val="5"/>
  </w:num>
  <w:num w:numId="4" w16cid:durableId="914244388">
    <w:abstractNumId w:val="25"/>
  </w:num>
  <w:num w:numId="5" w16cid:durableId="1012419087">
    <w:abstractNumId w:val="2"/>
  </w:num>
  <w:num w:numId="6" w16cid:durableId="763378332">
    <w:abstractNumId w:val="26"/>
  </w:num>
  <w:num w:numId="7" w16cid:durableId="643239132">
    <w:abstractNumId w:val="10"/>
  </w:num>
  <w:num w:numId="8" w16cid:durableId="362707269">
    <w:abstractNumId w:val="3"/>
  </w:num>
  <w:num w:numId="9" w16cid:durableId="521361483">
    <w:abstractNumId w:val="20"/>
  </w:num>
  <w:num w:numId="10" w16cid:durableId="839076312">
    <w:abstractNumId w:val="23"/>
  </w:num>
  <w:num w:numId="11" w16cid:durableId="466900893">
    <w:abstractNumId w:val="7"/>
  </w:num>
  <w:num w:numId="12" w16cid:durableId="1397632547">
    <w:abstractNumId w:val="12"/>
  </w:num>
  <w:num w:numId="13" w16cid:durableId="1868104787">
    <w:abstractNumId w:val="17"/>
  </w:num>
  <w:num w:numId="14" w16cid:durableId="1130978338">
    <w:abstractNumId w:val="1"/>
  </w:num>
  <w:num w:numId="15" w16cid:durableId="1347826002">
    <w:abstractNumId w:val="21"/>
  </w:num>
  <w:num w:numId="16" w16cid:durableId="1871531083">
    <w:abstractNumId w:val="2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157" w:hanging="5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16cid:durableId="1151480306">
    <w:abstractNumId w:val="18"/>
  </w:num>
  <w:num w:numId="18" w16cid:durableId="2016611217">
    <w:abstractNumId w:val="6"/>
  </w:num>
  <w:num w:numId="19" w16cid:durableId="1193227098">
    <w:abstractNumId w:val="18"/>
    <w:lvlOverride w:ilvl="0">
      <w:startOverride w:val="1"/>
    </w:lvlOverride>
  </w:num>
  <w:num w:numId="20" w16cid:durableId="1790473266">
    <w:abstractNumId w:val="18"/>
    <w:lvlOverride w:ilvl="0">
      <w:startOverride w:val="1"/>
    </w:lvlOverride>
  </w:num>
  <w:num w:numId="21" w16cid:durableId="878930019">
    <w:abstractNumId w:val="6"/>
    <w:lvlOverride w:ilvl="0">
      <w:startOverride w:val="1"/>
    </w:lvlOverride>
  </w:num>
  <w:num w:numId="22" w16cid:durableId="307829197">
    <w:abstractNumId w:val="6"/>
    <w:lvlOverride w:ilvl="0">
      <w:startOverride w:val="1"/>
    </w:lvlOverride>
  </w:num>
  <w:num w:numId="23" w16cid:durableId="1405105091">
    <w:abstractNumId w:val="6"/>
    <w:lvlOverride w:ilvl="0">
      <w:startOverride w:val="1"/>
    </w:lvlOverride>
  </w:num>
  <w:num w:numId="24" w16cid:durableId="1756587598">
    <w:abstractNumId w:val="6"/>
    <w:lvlOverride w:ilvl="0">
      <w:startOverride w:val="1"/>
    </w:lvlOverride>
  </w:num>
  <w:num w:numId="25" w16cid:durableId="1037196716">
    <w:abstractNumId w:val="6"/>
    <w:lvlOverride w:ilvl="0">
      <w:startOverride w:val="1"/>
    </w:lvlOverride>
  </w:num>
  <w:num w:numId="26" w16cid:durableId="670454377">
    <w:abstractNumId w:val="6"/>
    <w:lvlOverride w:ilvl="0">
      <w:startOverride w:val="1"/>
    </w:lvlOverride>
  </w:num>
  <w:num w:numId="27" w16cid:durableId="782921331">
    <w:abstractNumId w:val="6"/>
    <w:lvlOverride w:ilvl="0">
      <w:startOverride w:val="1"/>
    </w:lvlOverride>
  </w:num>
  <w:num w:numId="28" w16cid:durableId="1610821800">
    <w:abstractNumId w:val="9"/>
  </w:num>
  <w:num w:numId="29" w16cid:durableId="1551068610">
    <w:abstractNumId w:val="16"/>
  </w:num>
  <w:num w:numId="30" w16cid:durableId="2135443176">
    <w:abstractNumId w:val="24"/>
  </w:num>
  <w:num w:numId="31" w16cid:durableId="1470437840">
    <w:abstractNumId w:val="18"/>
    <w:lvlOverride w:ilvl="0">
      <w:startOverride w:val="1"/>
    </w:lvlOverride>
  </w:num>
  <w:num w:numId="32" w16cid:durableId="1999838971">
    <w:abstractNumId w:val="27"/>
  </w:num>
  <w:num w:numId="33" w16cid:durableId="1244681787">
    <w:abstractNumId w:val="27"/>
  </w:num>
  <w:num w:numId="34" w16cid:durableId="55781214">
    <w:abstractNumId w:val="8"/>
  </w:num>
  <w:num w:numId="35" w16cid:durableId="1704090152">
    <w:abstractNumId w:val="22"/>
  </w:num>
  <w:num w:numId="36" w16cid:durableId="516312228">
    <w:abstractNumId w:val="0"/>
  </w:num>
  <w:num w:numId="37" w16cid:durableId="575361827">
    <w:abstractNumId w:val="4"/>
  </w:num>
  <w:num w:numId="38" w16cid:durableId="1267998975">
    <w:abstractNumId w:val="19"/>
  </w:num>
  <w:num w:numId="39" w16cid:durableId="1821386693">
    <w:abstractNumId w:val="15"/>
  </w:num>
  <w:num w:numId="40" w16cid:durableId="12734803">
    <w:abstractNumId w:val="11"/>
  </w:num>
  <w:num w:numId="41">
    <w:abstractNumId w:val="27"/>
    <w:lvlOverride w:ilvl="0">
      <w:startOverride w:val="1"/>
    </w:lvlOverride>
  </w:num>
  <w:num w:numId="42">
    <w:abstractNumId w:val="27"/>
    <w:lvlOverride w:ilvl="0">
      <w:startOverride w:val="1"/>
    </w:lvlOverride>
  </w:num>
  <w:num w:numId="43">
    <w:abstractNumId w:val="27"/>
    <w:lvlOverride w:ilvl="0">
      <w:startOverride w:val="1"/>
    </w:lvlOverride>
  </w:num>
  <w:num w:numId="44">
    <w:abstractNumId w:val="27"/>
    <w:lvlOverride w:ilvl="0">
      <w:startOverride w:val="1"/>
    </w:lvlOverride>
  </w:num>
  <w:num w:numId="45">
    <w:abstractNumId w:val="27"/>
    <w:lvlOverride w:ilvl="0">
      <w:startOverride w:val="1"/>
    </w:lvlOverride>
  </w:num>
  <w:num w:numId="46">
    <w:abstractNumId w:val="27"/>
    <w:lvlOverride w:ilvl="0">
      <w:startOverride w:val="1"/>
    </w:lvlOverride>
  </w:num>
  <w:num w:numId="47">
    <w:abstractNumId w:val="27"/>
    <w:lvlOverride w:ilvl="0">
      <w:startOverride w:val="1"/>
    </w:lvlOverride>
  </w:num>
  <w:num w:numId="48">
    <w:abstractNumId w:val="27"/>
    <w:lvlOverride w:ilvl="0">
      <w:startOverride w:val="1"/>
    </w:lvlOverride>
  </w:num>
  <w:num w:numId="49">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SortMethod w:val="0004"/>
  <w:defaultTabStop w:val="720"/>
  <w:drawingGridHorizontalSpacing w:val="110"/>
  <w:displayHorizontalDrawingGridEvery w:val="2"/>
  <w:characterSpacingControl w:val="doNotCompress"/>
  <w:hdrShapeDefaults>
    <o:shapedefaults v:ext="edit" spidmax="2050">
      <o:colormru v:ext="edit" colors="#32819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4D"/>
    <w:rsid w:val="000012C9"/>
    <w:rsid w:val="00006855"/>
    <w:rsid w:val="00010305"/>
    <w:rsid w:val="00013A16"/>
    <w:rsid w:val="00017730"/>
    <w:rsid w:val="00017C58"/>
    <w:rsid w:val="00024BDE"/>
    <w:rsid w:val="00026791"/>
    <w:rsid w:val="00027996"/>
    <w:rsid w:val="00027B97"/>
    <w:rsid w:val="000366A7"/>
    <w:rsid w:val="00037D5A"/>
    <w:rsid w:val="0004582E"/>
    <w:rsid w:val="00050575"/>
    <w:rsid w:val="00051F56"/>
    <w:rsid w:val="0005681E"/>
    <w:rsid w:val="000604B8"/>
    <w:rsid w:val="00067F90"/>
    <w:rsid w:val="00076DBE"/>
    <w:rsid w:val="00080D61"/>
    <w:rsid w:val="00095ACC"/>
    <w:rsid w:val="00096B6D"/>
    <w:rsid w:val="000A0772"/>
    <w:rsid w:val="000B4915"/>
    <w:rsid w:val="000C1EE5"/>
    <w:rsid w:val="000C717F"/>
    <w:rsid w:val="000D5FF5"/>
    <w:rsid w:val="000E1D9F"/>
    <w:rsid w:val="000F083F"/>
    <w:rsid w:val="000F0B93"/>
    <w:rsid w:val="000F1FD4"/>
    <w:rsid w:val="00100BC4"/>
    <w:rsid w:val="00100EEA"/>
    <w:rsid w:val="00101656"/>
    <w:rsid w:val="0010771F"/>
    <w:rsid w:val="001150A6"/>
    <w:rsid w:val="00124F15"/>
    <w:rsid w:val="00127342"/>
    <w:rsid w:val="001279C3"/>
    <w:rsid w:val="00132FB5"/>
    <w:rsid w:val="00136E32"/>
    <w:rsid w:val="0014604E"/>
    <w:rsid w:val="001473DB"/>
    <w:rsid w:val="00150C03"/>
    <w:rsid w:val="00152A3D"/>
    <w:rsid w:val="00153395"/>
    <w:rsid w:val="00153A6E"/>
    <w:rsid w:val="00160303"/>
    <w:rsid w:val="0017231B"/>
    <w:rsid w:val="00187DB6"/>
    <w:rsid w:val="00192E53"/>
    <w:rsid w:val="00193D1A"/>
    <w:rsid w:val="001A090A"/>
    <w:rsid w:val="001A12B5"/>
    <w:rsid w:val="001A29C2"/>
    <w:rsid w:val="001A4912"/>
    <w:rsid w:val="001A6E47"/>
    <w:rsid w:val="001B52D9"/>
    <w:rsid w:val="001D0567"/>
    <w:rsid w:val="001D19D4"/>
    <w:rsid w:val="001D615C"/>
    <w:rsid w:val="001E1099"/>
    <w:rsid w:val="001E266D"/>
    <w:rsid w:val="001E34CD"/>
    <w:rsid w:val="001E44B7"/>
    <w:rsid w:val="001F06B2"/>
    <w:rsid w:val="001F680C"/>
    <w:rsid w:val="001F68F3"/>
    <w:rsid w:val="0020176B"/>
    <w:rsid w:val="00202225"/>
    <w:rsid w:val="002038B5"/>
    <w:rsid w:val="00206242"/>
    <w:rsid w:val="00206FAA"/>
    <w:rsid w:val="00207EAC"/>
    <w:rsid w:val="00212116"/>
    <w:rsid w:val="00220817"/>
    <w:rsid w:val="00220BC4"/>
    <w:rsid w:val="002233E8"/>
    <w:rsid w:val="00223491"/>
    <w:rsid w:val="0022451F"/>
    <w:rsid w:val="002329F8"/>
    <w:rsid w:val="00233EF0"/>
    <w:rsid w:val="002351A6"/>
    <w:rsid w:val="00237FF9"/>
    <w:rsid w:val="002400E3"/>
    <w:rsid w:val="002420C4"/>
    <w:rsid w:val="00244056"/>
    <w:rsid w:val="002452C1"/>
    <w:rsid w:val="0024767D"/>
    <w:rsid w:val="00261EDD"/>
    <w:rsid w:val="002645D1"/>
    <w:rsid w:val="00264D04"/>
    <w:rsid w:val="00273FD2"/>
    <w:rsid w:val="002758BF"/>
    <w:rsid w:val="00281AE8"/>
    <w:rsid w:val="002831C4"/>
    <w:rsid w:val="002833B3"/>
    <w:rsid w:val="00283494"/>
    <w:rsid w:val="00285BF4"/>
    <w:rsid w:val="002918C0"/>
    <w:rsid w:val="0029351D"/>
    <w:rsid w:val="00294EFC"/>
    <w:rsid w:val="002A2793"/>
    <w:rsid w:val="002C347A"/>
    <w:rsid w:val="002C4433"/>
    <w:rsid w:val="002D2C0C"/>
    <w:rsid w:val="002D3272"/>
    <w:rsid w:val="002D40EA"/>
    <w:rsid w:val="002D585C"/>
    <w:rsid w:val="002D5EA8"/>
    <w:rsid w:val="002D64D6"/>
    <w:rsid w:val="002E4A94"/>
    <w:rsid w:val="0030278A"/>
    <w:rsid w:val="00310E53"/>
    <w:rsid w:val="00312E03"/>
    <w:rsid w:val="00320013"/>
    <w:rsid w:val="003260A4"/>
    <w:rsid w:val="00332D23"/>
    <w:rsid w:val="00334299"/>
    <w:rsid w:val="00341B86"/>
    <w:rsid w:val="00346BF1"/>
    <w:rsid w:val="00347635"/>
    <w:rsid w:val="00367C1B"/>
    <w:rsid w:val="00373210"/>
    <w:rsid w:val="00373262"/>
    <w:rsid w:val="00380790"/>
    <w:rsid w:val="003869E9"/>
    <w:rsid w:val="00395D9A"/>
    <w:rsid w:val="003B669D"/>
    <w:rsid w:val="003B68B7"/>
    <w:rsid w:val="003C39D8"/>
    <w:rsid w:val="003C3EBB"/>
    <w:rsid w:val="003C703E"/>
    <w:rsid w:val="003C744B"/>
    <w:rsid w:val="003C76D1"/>
    <w:rsid w:val="003D2CB5"/>
    <w:rsid w:val="003D3152"/>
    <w:rsid w:val="003E0A73"/>
    <w:rsid w:val="003E5456"/>
    <w:rsid w:val="00404BFB"/>
    <w:rsid w:val="00406D9D"/>
    <w:rsid w:val="00410008"/>
    <w:rsid w:val="00411F6B"/>
    <w:rsid w:val="00413698"/>
    <w:rsid w:val="004147A2"/>
    <w:rsid w:val="0041663A"/>
    <w:rsid w:val="004237BA"/>
    <w:rsid w:val="00424758"/>
    <w:rsid w:val="004308F0"/>
    <w:rsid w:val="00435B51"/>
    <w:rsid w:val="00436362"/>
    <w:rsid w:val="004406CA"/>
    <w:rsid w:val="00445DBB"/>
    <w:rsid w:val="0045168E"/>
    <w:rsid w:val="004573D3"/>
    <w:rsid w:val="00464231"/>
    <w:rsid w:val="00464307"/>
    <w:rsid w:val="00474786"/>
    <w:rsid w:val="00477612"/>
    <w:rsid w:val="0048440A"/>
    <w:rsid w:val="00492997"/>
    <w:rsid w:val="00493BA4"/>
    <w:rsid w:val="004A2B47"/>
    <w:rsid w:val="004A6A86"/>
    <w:rsid w:val="004B029B"/>
    <w:rsid w:val="004B247A"/>
    <w:rsid w:val="004B2D1D"/>
    <w:rsid w:val="004B324B"/>
    <w:rsid w:val="004B7C7F"/>
    <w:rsid w:val="004C03F5"/>
    <w:rsid w:val="004C60B6"/>
    <w:rsid w:val="004C70E8"/>
    <w:rsid w:val="004E193A"/>
    <w:rsid w:val="004E325F"/>
    <w:rsid w:val="004F2E08"/>
    <w:rsid w:val="004F2E4D"/>
    <w:rsid w:val="004F3B29"/>
    <w:rsid w:val="0050374C"/>
    <w:rsid w:val="005038F1"/>
    <w:rsid w:val="00504CA9"/>
    <w:rsid w:val="00510A6E"/>
    <w:rsid w:val="00510ABE"/>
    <w:rsid w:val="005126F2"/>
    <w:rsid w:val="00517C4F"/>
    <w:rsid w:val="00526E4C"/>
    <w:rsid w:val="0053038D"/>
    <w:rsid w:val="0053432F"/>
    <w:rsid w:val="005343BE"/>
    <w:rsid w:val="0053505C"/>
    <w:rsid w:val="00536653"/>
    <w:rsid w:val="00537E14"/>
    <w:rsid w:val="00541DE9"/>
    <w:rsid w:val="005537DF"/>
    <w:rsid w:val="00554B60"/>
    <w:rsid w:val="00560151"/>
    <w:rsid w:val="00561FAD"/>
    <w:rsid w:val="00562621"/>
    <w:rsid w:val="005742E9"/>
    <w:rsid w:val="00586673"/>
    <w:rsid w:val="00586C3D"/>
    <w:rsid w:val="005917C5"/>
    <w:rsid w:val="00597A8B"/>
    <w:rsid w:val="005A688D"/>
    <w:rsid w:val="005B2F19"/>
    <w:rsid w:val="005B3CAF"/>
    <w:rsid w:val="005B4899"/>
    <w:rsid w:val="005B5313"/>
    <w:rsid w:val="005B6B21"/>
    <w:rsid w:val="005D56FD"/>
    <w:rsid w:val="005D5AFE"/>
    <w:rsid w:val="005D6C7F"/>
    <w:rsid w:val="005E11CB"/>
    <w:rsid w:val="005F11AE"/>
    <w:rsid w:val="005F1EEB"/>
    <w:rsid w:val="005F35C4"/>
    <w:rsid w:val="005F3777"/>
    <w:rsid w:val="005F60C3"/>
    <w:rsid w:val="005F61B7"/>
    <w:rsid w:val="005F6665"/>
    <w:rsid w:val="005F698A"/>
    <w:rsid w:val="0061085F"/>
    <w:rsid w:val="006163AB"/>
    <w:rsid w:val="00621334"/>
    <w:rsid w:val="00626769"/>
    <w:rsid w:val="006329AB"/>
    <w:rsid w:val="006400BD"/>
    <w:rsid w:val="00641A00"/>
    <w:rsid w:val="00641AE7"/>
    <w:rsid w:val="00644667"/>
    <w:rsid w:val="00652E4B"/>
    <w:rsid w:val="006603D6"/>
    <w:rsid w:val="00670580"/>
    <w:rsid w:val="00673FE6"/>
    <w:rsid w:val="0068337C"/>
    <w:rsid w:val="006874B0"/>
    <w:rsid w:val="0069079D"/>
    <w:rsid w:val="006909DB"/>
    <w:rsid w:val="006956E4"/>
    <w:rsid w:val="00695955"/>
    <w:rsid w:val="00696EB9"/>
    <w:rsid w:val="006A79BF"/>
    <w:rsid w:val="006B1907"/>
    <w:rsid w:val="006C1C0E"/>
    <w:rsid w:val="006C2574"/>
    <w:rsid w:val="006C4341"/>
    <w:rsid w:val="006C584A"/>
    <w:rsid w:val="006D309F"/>
    <w:rsid w:val="006D38CD"/>
    <w:rsid w:val="006D6010"/>
    <w:rsid w:val="006E0297"/>
    <w:rsid w:val="006E31DE"/>
    <w:rsid w:val="006E3935"/>
    <w:rsid w:val="006E5880"/>
    <w:rsid w:val="006E5E1D"/>
    <w:rsid w:val="006F06D6"/>
    <w:rsid w:val="006F1E11"/>
    <w:rsid w:val="006F791C"/>
    <w:rsid w:val="00700C9A"/>
    <w:rsid w:val="00703F6A"/>
    <w:rsid w:val="00710609"/>
    <w:rsid w:val="00721016"/>
    <w:rsid w:val="007211FD"/>
    <w:rsid w:val="00723694"/>
    <w:rsid w:val="00724825"/>
    <w:rsid w:val="00725A0E"/>
    <w:rsid w:val="00733B9A"/>
    <w:rsid w:val="00745A61"/>
    <w:rsid w:val="0075557A"/>
    <w:rsid w:val="00756CED"/>
    <w:rsid w:val="0076060E"/>
    <w:rsid w:val="00760B9C"/>
    <w:rsid w:val="00760CC7"/>
    <w:rsid w:val="00761323"/>
    <w:rsid w:val="0076144D"/>
    <w:rsid w:val="0076643B"/>
    <w:rsid w:val="0076671F"/>
    <w:rsid w:val="00772F53"/>
    <w:rsid w:val="00774B5B"/>
    <w:rsid w:val="007825D4"/>
    <w:rsid w:val="007839CB"/>
    <w:rsid w:val="00785275"/>
    <w:rsid w:val="00785FBA"/>
    <w:rsid w:val="00787F39"/>
    <w:rsid w:val="00790AA7"/>
    <w:rsid w:val="00792538"/>
    <w:rsid w:val="00793A0C"/>
    <w:rsid w:val="00795015"/>
    <w:rsid w:val="007B3B09"/>
    <w:rsid w:val="007C05B7"/>
    <w:rsid w:val="007C0F56"/>
    <w:rsid w:val="007C2304"/>
    <w:rsid w:val="007C2358"/>
    <w:rsid w:val="007C2F92"/>
    <w:rsid w:val="007C6580"/>
    <w:rsid w:val="007E1D09"/>
    <w:rsid w:val="007E3114"/>
    <w:rsid w:val="007E74B3"/>
    <w:rsid w:val="007F471B"/>
    <w:rsid w:val="00803A9F"/>
    <w:rsid w:val="00810889"/>
    <w:rsid w:val="00827D5C"/>
    <w:rsid w:val="00831671"/>
    <w:rsid w:val="00836A0D"/>
    <w:rsid w:val="00841196"/>
    <w:rsid w:val="00842295"/>
    <w:rsid w:val="00842D24"/>
    <w:rsid w:val="00845383"/>
    <w:rsid w:val="008544D8"/>
    <w:rsid w:val="00856206"/>
    <w:rsid w:val="00856F15"/>
    <w:rsid w:val="00867CED"/>
    <w:rsid w:val="00870E3A"/>
    <w:rsid w:val="00874D71"/>
    <w:rsid w:val="00877192"/>
    <w:rsid w:val="00887EB8"/>
    <w:rsid w:val="008902AA"/>
    <w:rsid w:val="00893CB1"/>
    <w:rsid w:val="008B25C5"/>
    <w:rsid w:val="008B731C"/>
    <w:rsid w:val="008C1435"/>
    <w:rsid w:val="008C1E5F"/>
    <w:rsid w:val="008C66E7"/>
    <w:rsid w:val="008D2520"/>
    <w:rsid w:val="008D32C3"/>
    <w:rsid w:val="008E3722"/>
    <w:rsid w:val="008E3810"/>
    <w:rsid w:val="008E5578"/>
    <w:rsid w:val="00903EC4"/>
    <w:rsid w:val="0090718F"/>
    <w:rsid w:val="00911981"/>
    <w:rsid w:val="009135B0"/>
    <w:rsid w:val="009140E0"/>
    <w:rsid w:val="00917539"/>
    <w:rsid w:val="00922833"/>
    <w:rsid w:val="00934625"/>
    <w:rsid w:val="00941C80"/>
    <w:rsid w:val="0094588E"/>
    <w:rsid w:val="00947FE9"/>
    <w:rsid w:val="00956221"/>
    <w:rsid w:val="00956803"/>
    <w:rsid w:val="00966EBD"/>
    <w:rsid w:val="00981145"/>
    <w:rsid w:val="00982A4C"/>
    <w:rsid w:val="00983689"/>
    <w:rsid w:val="00995DF8"/>
    <w:rsid w:val="009A125B"/>
    <w:rsid w:val="009B20C0"/>
    <w:rsid w:val="009B593F"/>
    <w:rsid w:val="009C0D10"/>
    <w:rsid w:val="009C4F59"/>
    <w:rsid w:val="009C6548"/>
    <w:rsid w:val="009E189C"/>
    <w:rsid w:val="009E2A85"/>
    <w:rsid w:val="009E45BC"/>
    <w:rsid w:val="009E4B38"/>
    <w:rsid w:val="009F0E2C"/>
    <w:rsid w:val="00A0263A"/>
    <w:rsid w:val="00A16754"/>
    <w:rsid w:val="00A16888"/>
    <w:rsid w:val="00A264FD"/>
    <w:rsid w:val="00A32F42"/>
    <w:rsid w:val="00A417ED"/>
    <w:rsid w:val="00A51EF3"/>
    <w:rsid w:val="00A6391B"/>
    <w:rsid w:val="00A6523B"/>
    <w:rsid w:val="00A67C7D"/>
    <w:rsid w:val="00A75459"/>
    <w:rsid w:val="00A91AAB"/>
    <w:rsid w:val="00A92742"/>
    <w:rsid w:val="00A94744"/>
    <w:rsid w:val="00A95F40"/>
    <w:rsid w:val="00AA7A0B"/>
    <w:rsid w:val="00AB2B68"/>
    <w:rsid w:val="00AB534F"/>
    <w:rsid w:val="00AD7262"/>
    <w:rsid w:val="00AE721A"/>
    <w:rsid w:val="00AF0B5D"/>
    <w:rsid w:val="00AF3D5C"/>
    <w:rsid w:val="00B024AB"/>
    <w:rsid w:val="00B044B1"/>
    <w:rsid w:val="00B06105"/>
    <w:rsid w:val="00B07A15"/>
    <w:rsid w:val="00B11326"/>
    <w:rsid w:val="00B17571"/>
    <w:rsid w:val="00B22416"/>
    <w:rsid w:val="00B24C90"/>
    <w:rsid w:val="00B349DB"/>
    <w:rsid w:val="00B34D91"/>
    <w:rsid w:val="00B40C93"/>
    <w:rsid w:val="00B46258"/>
    <w:rsid w:val="00B52A95"/>
    <w:rsid w:val="00B55780"/>
    <w:rsid w:val="00B602D6"/>
    <w:rsid w:val="00B73013"/>
    <w:rsid w:val="00B838D3"/>
    <w:rsid w:val="00B856E9"/>
    <w:rsid w:val="00B86189"/>
    <w:rsid w:val="00B863B7"/>
    <w:rsid w:val="00B966D2"/>
    <w:rsid w:val="00B97F3A"/>
    <w:rsid w:val="00BA2C30"/>
    <w:rsid w:val="00BB284D"/>
    <w:rsid w:val="00BB4709"/>
    <w:rsid w:val="00BB75F8"/>
    <w:rsid w:val="00BD45CF"/>
    <w:rsid w:val="00BD5C1B"/>
    <w:rsid w:val="00BE1DDA"/>
    <w:rsid w:val="00BE5A91"/>
    <w:rsid w:val="00BE5EFD"/>
    <w:rsid w:val="00BE6887"/>
    <w:rsid w:val="00BE72EA"/>
    <w:rsid w:val="00BF603A"/>
    <w:rsid w:val="00BF6B82"/>
    <w:rsid w:val="00BF7789"/>
    <w:rsid w:val="00C05D19"/>
    <w:rsid w:val="00C07A4D"/>
    <w:rsid w:val="00C10A8A"/>
    <w:rsid w:val="00C14A33"/>
    <w:rsid w:val="00C23044"/>
    <w:rsid w:val="00C318E4"/>
    <w:rsid w:val="00C32C36"/>
    <w:rsid w:val="00C351BA"/>
    <w:rsid w:val="00C376D2"/>
    <w:rsid w:val="00C4046E"/>
    <w:rsid w:val="00C43806"/>
    <w:rsid w:val="00C46C09"/>
    <w:rsid w:val="00C4720D"/>
    <w:rsid w:val="00C514D5"/>
    <w:rsid w:val="00C54F14"/>
    <w:rsid w:val="00C55AF3"/>
    <w:rsid w:val="00C56D03"/>
    <w:rsid w:val="00C570AB"/>
    <w:rsid w:val="00C64F09"/>
    <w:rsid w:val="00C71D73"/>
    <w:rsid w:val="00C83D4A"/>
    <w:rsid w:val="00C93AF5"/>
    <w:rsid w:val="00CA3BDD"/>
    <w:rsid w:val="00CB0041"/>
    <w:rsid w:val="00CB4265"/>
    <w:rsid w:val="00CB4E9D"/>
    <w:rsid w:val="00CB5750"/>
    <w:rsid w:val="00CC04AE"/>
    <w:rsid w:val="00CC2824"/>
    <w:rsid w:val="00CC4050"/>
    <w:rsid w:val="00CC6317"/>
    <w:rsid w:val="00CD012C"/>
    <w:rsid w:val="00CD2E1C"/>
    <w:rsid w:val="00CE16F1"/>
    <w:rsid w:val="00CE3E13"/>
    <w:rsid w:val="00CE6F1D"/>
    <w:rsid w:val="00CE7398"/>
    <w:rsid w:val="00CE7A6F"/>
    <w:rsid w:val="00CF64BC"/>
    <w:rsid w:val="00CF7DC8"/>
    <w:rsid w:val="00CF7ED4"/>
    <w:rsid w:val="00D013D2"/>
    <w:rsid w:val="00D02985"/>
    <w:rsid w:val="00D0455F"/>
    <w:rsid w:val="00D07EAB"/>
    <w:rsid w:val="00D11313"/>
    <w:rsid w:val="00D27964"/>
    <w:rsid w:val="00D556C4"/>
    <w:rsid w:val="00D6795A"/>
    <w:rsid w:val="00D7690D"/>
    <w:rsid w:val="00D77ED2"/>
    <w:rsid w:val="00D814C0"/>
    <w:rsid w:val="00D8449F"/>
    <w:rsid w:val="00D930C2"/>
    <w:rsid w:val="00D96BF5"/>
    <w:rsid w:val="00DA191C"/>
    <w:rsid w:val="00DA194F"/>
    <w:rsid w:val="00DA6283"/>
    <w:rsid w:val="00DA6790"/>
    <w:rsid w:val="00DB02F5"/>
    <w:rsid w:val="00DB6FA9"/>
    <w:rsid w:val="00DC1D9E"/>
    <w:rsid w:val="00DC6333"/>
    <w:rsid w:val="00DD2CF9"/>
    <w:rsid w:val="00DD531A"/>
    <w:rsid w:val="00DE0317"/>
    <w:rsid w:val="00DE4567"/>
    <w:rsid w:val="00DE4661"/>
    <w:rsid w:val="00DE7C3D"/>
    <w:rsid w:val="00DF1E6D"/>
    <w:rsid w:val="00DF5B1D"/>
    <w:rsid w:val="00E00F6E"/>
    <w:rsid w:val="00E016D9"/>
    <w:rsid w:val="00E030EF"/>
    <w:rsid w:val="00E04266"/>
    <w:rsid w:val="00E04282"/>
    <w:rsid w:val="00E2070E"/>
    <w:rsid w:val="00E212BB"/>
    <w:rsid w:val="00E22CC7"/>
    <w:rsid w:val="00E2551F"/>
    <w:rsid w:val="00E2656D"/>
    <w:rsid w:val="00E279C3"/>
    <w:rsid w:val="00E31271"/>
    <w:rsid w:val="00E32A45"/>
    <w:rsid w:val="00E337B6"/>
    <w:rsid w:val="00E36B0D"/>
    <w:rsid w:val="00E41085"/>
    <w:rsid w:val="00E4779D"/>
    <w:rsid w:val="00E541AF"/>
    <w:rsid w:val="00E6109C"/>
    <w:rsid w:val="00E64AD3"/>
    <w:rsid w:val="00E717DE"/>
    <w:rsid w:val="00E722C0"/>
    <w:rsid w:val="00E72A6F"/>
    <w:rsid w:val="00E8059D"/>
    <w:rsid w:val="00E814CB"/>
    <w:rsid w:val="00E92297"/>
    <w:rsid w:val="00E92B02"/>
    <w:rsid w:val="00E94B07"/>
    <w:rsid w:val="00EA272B"/>
    <w:rsid w:val="00EA337B"/>
    <w:rsid w:val="00EA4364"/>
    <w:rsid w:val="00EA6294"/>
    <w:rsid w:val="00EB1652"/>
    <w:rsid w:val="00EB1ECE"/>
    <w:rsid w:val="00EB74F2"/>
    <w:rsid w:val="00EC3C1D"/>
    <w:rsid w:val="00ED7BC8"/>
    <w:rsid w:val="00EE678C"/>
    <w:rsid w:val="00EE75F3"/>
    <w:rsid w:val="00F01191"/>
    <w:rsid w:val="00F0527A"/>
    <w:rsid w:val="00F10CAA"/>
    <w:rsid w:val="00F11485"/>
    <w:rsid w:val="00F12323"/>
    <w:rsid w:val="00F12914"/>
    <w:rsid w:val="00F33399"/>
    <w:rsid w:val="00F3682C"/>
    <w:rsid w:val="00F4655D"/>
    <w:rsid w:val="00F529E0"/>
    <w:rsid w:val="00F5635B"/>
    <w:rsid w:val="00F564AA"/>
    <w:rsid w:val="00F56869"/>
    <w:rsid w:val="00F72375"/>
    <w:rsid w:val="00F75869"/>
    <w:rsid w:val="00F77E39"/>
    <w:rsid w:val="00F82C73"/>
    <w:rsid w:val="00F95EE3"/>
    <w:rsid w:val="00FB149F"/>
    <w:rsid w:val="00FB32C7"/>
    <w:rsid w:val="00FB5742"/>
    <w:rsid w:val="00FB77BB"/>
    <w:rsid w:val="00FC51DD"/>
    <w:rsid w:val="00FD18DB"/>
    <w:rsid w:val="00FD2638"/>
    <w:rsid w:val="00FD6669"/>
    <w:rsid w:val="00FF218D"/>
    <w:rsid w:val="00FF54F3"/>
    <w:rsid w:val="00FF7ECF"/>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2819f"/>
    </o:shapedefaults>
    <o:shapelayout v:ext="edit">
      <o:idmap v:ext="edit" data="2"/>
    </o:shapelayout>
  </w:shapeDefaults>
  <w:decimalSymbol w:val="."/>
  <w:listSeparator w:val=","/>
  <w14:docId w14:val="1886A0E6"/>
  <w15:docId w15:val="{14AF6C8A-58FA-4CBD-9295-4D63DF13D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297"/>
    <w:pPr>
      <w:spacing w:after="120" w:line="276" w:lineRule="auto"/>
    </w:pPr>
    <w:rPr>
      <w:color w:val="1D1C1C"/>
      <w:sz w:val="20"/>
      <w:szCs w:val="20"/>
    </w:rPr>
  </w:style>
  <w:style w:type="paragraph" w:styleId="Heading1">
    <w:name w:val="heading 1"/>
    <w:basedOn w:val="Normal"/>
    <w:next w:val="Normal"/>
    <w:link w:val="Heading1Char"/>
    <w:uiPriority w:val="9"/>
    <w:qFormat/>
    <w:rsid w:val="00DE4661"/>
    <w:pPr>
      <w:keepNext/>
      <w:keepLines/>
      <w:numPr>
        <w:numId w:val="30"/>
      </w:numPr>
      <w:spacing w:before="240"/>
      <w:ind w:left="578" w:hanging="578"/>
      <w:outlineLvl w:val="0"/>
    </w:pPr>
    <w:rPr>
      <w:rFonts w:asciiTheme="majorHAnsi" w:eastAsiaTheme="majorEastAsia" w:hAnsiTheme="majorHAnsi" w:cstheme="majorBidi"/>
      <w:b/>
      <w:color w:val="19105B" w:themeColor="background2"/>
      <w:sz w:val="24"/>
      <w:szCs w:val="24"/>
    </w:rPr>
  </w:style>
  <w:style w:type="paragraph" w:styleId="Heading2">
    <w:name w:val="heading 2"/>
    <w:basedOn w:val="ListParagraph"/>
    <w:next w:val="Normal"/>
    <w:link w:val="Heading2Char"/>
    <w:unhideWhenUsed/>
    <w:qFormat/>
    <w:rsid w:val="00DE4661"/>
    <w:pPr>
      <w:keepNext/>
      <w:numPr>
        <w:ilvl w:val="1"/>
        <w:numId w:val="30"/>
      </w:numPr>
      <w:tabs>
        <w:tab w:val="left" w:pos="2834"/>
        <w:tab w:val="left" w:pos="5102"/>
        <w:tab w:val="left" w:pos="6803"/>
      </w:tabs>
      <w:spacing w:before="240" w:after="120"/>
      <w:ind w:left="578" w:hanging="578"/>
      <w:outlineLvl w:val="1"/>
    </w:pPr>
    <w:rPr>
      <w:rFonts w:ascii="Arial" w:eastAsia="Times New Roman" w:hAnsi="Arial" w:cs="Times New Roman"/>
      <w:b/>
      <w:color w:val="3411A3" w:themeColor="text2"/>
      <w:sz w:val="22"/>
    </w:rPr>
  </w:style>
  <w:style w:type="paragraph" w:styleId="Heading3">
    <w:name w:val="heading 3"/>
    <w:basedOn w:val="Normal"/>
    <w:next w:val="Normal"/>
    <w:link w:val="Heading3Char"/>
    <w:uiPriority w:val="9"/>
    <w:unhideWhenUsed/>
    <w:qFormat/>
    <w:rsid w:val="00C14A33"/>
    <w:pPr>
      <w:keepNext/>
      <w:keepLines/>
      <w:numPr>
        <w:ilvl w:val="2"/>
        <w:numId w:val="30"/>
      </w:numPr>
      <w:spacing w:line="259" w:lineRule="auto"/>
      <w:outlineLvl w:val="2"/>
    </w:pPr>
    <w:rPr>
      <w:rFonts w:asciiTheme="majorHAnsi" w:eastAsiaTheme="majorEastAsia" w:hAnsiTheme="majorHAnsi" w:cstheme="majorBidi"/>
      <w:b/>
      <w:color w:val="FF6196" w:themeColor="accent1"/>
      <w:sz w:val="22"/>
    </w:rPr>
  </w:style>
  <w:style w:type="paragraph" w:styleId="Heading4">
    <w:name w:val="heading 4"/>
    <w:basedOn w:val="Normal"/>
    <w:next w:val="Normal"/>
    <w:link w:val="Heading4Char"/>
    <w:uiPriority w:val="9"/>
    <w:unhideWhenUsed/>
    <w:qFormat/>
    <w:rsid w:val="00CF64BC"/>
    <w:pPr>
      <w:keepNext/>
      <w:keepLines/>
      <w:numPr>
        <w:ilvl w:val="3"/>
        <w:numId w:val="30"/>
      </w:numPr>
      <w:spacing w:before="40" w:after="0"/>
      <w:ind w:left="862" w:hanging="862"/>
      <w:outlineLvl w:val="3"/>
    </w:pPr>
    <w:rPr>
      <w:rFonts w:asciiTheme="majorHAnsi" w:eastAsiaTheme="majorEastAsia" w:hAnsiTheme="majorHAnsi" w:cstheme="majorBidi"/>
      <w:i/>
      <w:iCs/>
      <w:color w:val="1D1C1C" w:themeColor="text1"/>
    </w:rPr>
  </w:style>
  <w:style w:type="paragraph" w:styleId="Heading5">
    <w:name w:val="heading 5"/>
    <w:basedOn w:val="Normal"/>
    <w:next w:val="Normal"/>
    <w:link w:val="Heading5Char"/>
    <w:uiPriority w:val="9"/>
    <w:unhideWhenUsed/>
    <w:qFormat/>
    <w:rsid w:val="00B11326"/>
    <w:pPr>
      <w:keepNext/>
      <w:keepLines/>
      <w:numPr>
        <w:ilvl w:val="4"/>
        <w:numId w:val="30"/>
      </w:numPr>
      <w:spacing w:before="40" w:after="0"/>
      <w:outlineLvl w:val="4"/>
    </w:pPr>
    <w:rPr>
      <w:rFonts w:asciiTheme="majorHAnsi" w:eastAsiaTheme="majorEastAsia" w:hAnsiTheme="majorHAnsi" w:cstheme="majorBidi"/>
      <w:color w:val="1D1C1C" w:themeColor="text1"/>
    </w:rPr>
  </w:style>
  <w:style w:type="paragraph" w:styleId="Heading6">
    <w:name w:val="heading 6"/>
    <w:basedOn w:val="Normal"/>
    <w:next w:val="Normal"/>
    <w:link w:val="Heading6Char"/>
    <w:uiPriority w:val="9"/>
    <w:unhideWhenUsed/>
    <w:qFormat/>
    <w:rsid w:val="00B11326"/>
    <w:pPr>
      <w:keepNext/>
      <w:keepLines/>
      <w:numPr>
        <w:ilvl w:val="5"/>
        <w:numId w:val="30"/>
      </w:numPr>
      <w:spacing w:before="40" w:after="0"/>
      <w:outlineLvl w:val="5"/>
    </w:pPr>
    <w:rPr>
      <w:rFonts w:asciiTheme="majorHAnsi" w:eastAsiaTheme="majorEastAsia" w:hAnsiTheme="majorHAnsi" w:cstheme="majorBidi"/>
      <w:color w:val="1D1C1C" w:themeColor="text1"/>
    </w:rPr>
  </w:style>
  <w:style w:type="paragraph" w:styleId="Heading7">
    <w:name w:val="heading 7"/>
    <w:basedOn w:val="Normal"/>
    <w:next w:val="Normal"/>
    <w:link w:val="Heading7Char"/>
    <w:uiPriority w:val="9"/>
    <w:unhideWhenUsed/>
    <w:qFormat/>
    <w:rsid w:val="00B11326"/>
    <w:pPr>
      <w:keepNext/>
      <w:keepLines/>
      <w:numPr>
        <w:ilvl w:val="6"/>
        <w:numId w:val="30"/>
      </w:numPr>
      <w:spacing w:before="40" w:after="0"/>
      <w:outlineLvl w:val="6"/>
    </w:pPr>
    <w:rPr>
      <w:rFonts w:asciiTheme="majorHAnsi" w:eastAsiaTheme="majorEastAsia" w:hAnsiTheme="majorHAnsi" w:cstheme="majorBidi"/>
      <w:i/>
      <w:iCs/>
      <w:color w:val="1D1C1C" w:themeColor="text1"/>
    </w:rPr>
  </w:style>
  <w:style w:type="paragraph" w:styleId="Heading8">
    <w:name w:val="heading 8"/>
    <w:basedOn w:val="Normal"/>
    <w:next w:val="Normal"/>
    <w:link w:val="Heading8Char"/>
    <w:uiPriority w:val="9"/>
    <w:unhideWhenUsed/>
    <w:qFormat/>
    <w:rsid w:val="00D930C2"/>
    <w:pPr>
      <w:keepNext/>
      <w:keepLines/>
      <w:numPr>
        <w:ilvl w:val="7"/>
        <w:numId w:val="30"/>
      </w:numPr>
      <w:spacing w:before="40" w:after="0"/>
      <w:outlineLvl w:val="7"/>
    </w:pPr>
    <w:rPr>
      <w:rFonts w:asciiTheme="majorHAnsi" w:eastAsiaTheme="majorEastAsia" w:hAnsiTheme="majorHAnsi" w:cstheme="majorBidi"/>
      <w:color w:val="403E3E" w:themeColor="text1" w:themeTint="D8"/>
    </w:rPr>
  </w:style>
  <w:style w:type="paragraph" w:styleId="Heading9">
    <w:name w:val="heading 9"/>
    <w:basedOn w:val="Normal"/>
    <w:next w:val="Normal"/>
    <w:link w:val="Heading9Char"/>
    <w:uiPriority w:val="9"/>
    <w:unhideWhenUsed/>
    <w:qFormat/>
    <w:rsid w:val="00D930C2"/>
    <w:pPr>
      <w:keepNext/>
      <w:keepLines/>
      <w:numPr>
        <w:ilvl w:val="8"/>
        <w:numId w:val="30"/>
      </w:numPr>
      <w:spacing w:before="40" w:after="0"/>
      <w:outlineLvl w:val="8"/>
    </w:pPr>
    <w:rPr>
      <w:rFonts w:asciiTheme="majorHAnsi" w:eastAsiaTheme="majorEastAsia" w:hAnsiTheme="majorHAnsi" w:cstheme="majorBidi"/>
      <w:i/>
      <w:iCs/>
      <w:color w:val="403E3E"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5A91"/>
    <w:pPr>
      <w:tabs>
        <w:tab w:val="center" w:pos="4513"/>
        <w:tab w:val="right" w:pos="9026"/>
      </w:tabs>
      <w:spacing w:after="0" w:line="240" w:lineRule="auto"/>
    </w:pPr>
    <w:rPr>
      <w:color w:val="1D1C1C" w:themeColor="text1"/>
      <w:sz w:val="22"/>
    </w:rPr>
  </w:style>
  <w:style w:type="character" w:customStyle="1" w:styleId="HeaderChar">
    <w:name w:val="Header Char"/>
    <w:basedOn w:val="DefaultParagraphFont"/>
    <w:link w:val="Header"/>
    <w:uiPriority w:val="99"/>
    <w:rsid w:val="00BE5A91"/>
    <w:rPr>
      <w:color w:val="1D1C1C" w:themeColor="text1"/>
    </w:rPr>
  </w:style>
  <w:style w:type="paragraph" w:styleId="Footer">
    <w:name w:val="footer"/>
    <w:basedOn w:val="Normal"/>
    <w:link w:val="FooterChar"/>
    <w:uiPriority w:val="99"/>
    <w:unhideWhenUsed/>
    <w:rsid w:val="00076DBE"/>
    <w:pPr>
      <w:tabs>
        <w:tab w:val="center" w:pos="4513"/>
        <w:tab w:val="right" w:pos="9026"/>
      </w:tabs>
      <w:spacing w:after="0" w:line="240" w:lineRule="auto"/>
    </w:pPr>
    <w:rPr>
      <w:color w:val="1D1C1C" w:themeColor="text1"/>
    </w:rPr>
  </w:style>
  <w:style w:type="character" w:customStyle="1" w:styleId="FooterChar">
    <w:name w:val="Footer Char"/>
    <w:basedOn w:val="DefaultParagraphFont"/>
    <w:link w:val="Footer"/>
    <w:uiPriority w:val="99"/>
    <w:rsid w:val="00076DBE"/>
    <w:rPr>
      <w:color w:val="1D1C1C" w:themeColor="text1"/>
      <w:sz w:val="20"/>
    </w:rPr>
  </w:style>
  <w:style w:type="paragraph" w:styleId="BalloonText">
    <w:name w:val="Balloon Text"/>
    <w:basedOn w:val="Normal"/>
    <w:link w:val="BalloonTextChar"/>
    <w:uiPriority w:val="99"/>
    <w:semiHidden/>
    <w:unhideWhenUsed/>
    <w:rsid w:val="00332D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2D23"/>
    <w:rPr>
      <w:rFonts w:ascii="Tahoma" w:hAnsi="Tahoma" w:cs="Tahoma"/>
      <w:sz w:val="16"/>
      <w:szCs w:val="16"/>
    </w:rPr>
  </w:style>
  <w:style w:type="paragraph" w:styleId="NoSpacing">
    <w:name w:val="No Spacing"/>
    <w:link w:val="NoSpacingChar"/>
    <w:uiPriority w:val="1"/>
    <w:qFormat/>
    <w:rsid w:val="00785FBA"/>
    <w:pPr>
      <w:spacing w:after="0" w:line="240" w:lineRule="auto"/>
    </w:pPr>
    <w:rPr>
      <w:rFonts w:eastAsiaTheme="minorEastAsia"/>
      <w:color w:val="1D1C1C" w:themeColor="text1"/>
      <w:sz w:val="20"/>
      <w:szCs w:val="20"/>
      <w:lang w:val="en-US"/>
    </w:rPr>
  </w:style>
  <w:style w:type="character" w:customStyle="1" w:styleId="NoSpacingChar">
    <w:name w:val="No Spacing Char"/>
    <w:basedOn w:val="DefaultParagraphFont"/>
    <w:link w:val="NoSpacing"/>
    <w:uiPriority w:val="1"/>
    <w:rsid w:val="00785FBA"/>
    <w:rPr>
      <w:rFonts w:eastAsiaTheme="minorEastAsia"/>
      <w:color w:val="1D1C1C" w:themeColor="text1"/>
      <w:sz w:val="20"/>
      <w:szCs w:val="20"/>
      <w:lang w:val="en-US"/>
    </w:rPr>
  </w:style>
  <w:style w:type="character" w:customStyle="1" w:styleId="Heading1Char">
    <w:name w:val="Heading 1 Char"/>
    <w:basedOn w:val="DefaultParagraphFont"/>
    <w:link w:val="Heading1"/>
    <w:uiPriority w:val="9"/>
    <w:rsid w:val="00DE4661"/>
    <w:rPr>
      <w:rFonts w:asciiTheme="majorHAnsi" w:eastAsiaTheme="majorEastAsia" w:hAnsiTheme="majorHAnsi" w:cstheme="majorBidi"/>
      <w:b/>
      <w:color w:val="19105B" w:themeColor="background2"/>
      <w:sz w:val="24"/>
      <w:szCs w:val="24"/>
    </w:rPr>
  </w:style>
  <w:style w:type="character" w:styleId="BookTitle">
    <w:name w:val="Book Title"/>
    <w:basedOn w:val="DefaultParagraphFont"/>
    <w:uiPriority w:val="33"/>
    <w:qFormat/>
    <w:rsid w:val="0053505C"/>
    <w:rPr>
      <w:b/>
      <w:bCs/>
      <w:i/>
      <w:iCs/>
      <w:spacing w:val="5"/>
    </w:rPr>
  </w:style>
  <w:style w:type="character" w:customStyle="1" w:styleId="Heading2Char">
    <w:name w:val="Heading 2 Char"/>
    <w:basedOn w:val="DefaultParagraphFont"/>
    <w:link w:val="Heading2"/>
    <w:rsid w:val="00DE4661"/>
    <w:rPr>
      <w:rFonts w:ascii="Arial" w:eastAsia="Times New Roman" w:hAnsi="Arial" w:cs="Times New Roman"/>
      <w:b/>
      <w:color w:val="3411A3" w:themeColor="text2"/>
      <w:szCs w:val="20"/>
    </w:rPr>
  </w:style>
  <w:style w:type="paragraph" w:styleId="Title">
    <w:name w:val="Title"/>
    <w:basedOn w:val="Normal"/>
    <w:next w:val="Normal"/>
    <w:link w:val="TitleChar"/>
    <w:uiPriority w:val="10"/>
    <w:qFormat/>
    <w:rsid w:val="00076DBE"/>
    <w:pPr>
      <w:spacing w:after="0" w:line="240" w:lineRule="auto"/>
      <w:contextualSpacing/>
    </w:pPr>
    <w:rPr>
      <w:rFonts w:asciiTheme="majorHAnsi" w:eastAsiaTheme="majorEastAsia" w:hAnsiTheme="majorHAnsi" w:cstheme="majorBidi"/>
      <w:b/>
      <w:color w:val="3411A3" w:themeColor="text2"/>
      <w:spacing w:val="-10"/>
      <w:kern w:val="28"/>
      <w:sz w:val="40"/>
      <w:szCs w:val="56"/>
    </w:rPr>
  </w:style>
  <w:style w:type="character" w:customStyle="1" w:styleId="TitleChar">
    <w:name w:val="Title Char"/>
    <w:basedOn w:val="DefaultParagraphFont"/>
    <w:link w:val="Title"/>
    <w:uiPriority w:val="10"/>
    <w:rsid w:val="00076DBE"/>
    <w:rPr>
      <w:rFonts w:asciiTheme="majorHAnsi" w:eastAsiaTheme="majorEastAsia" w:hAnsiTheme="majorHAnsi" w:cstheme="majorBidi"/>
      <w:b/>
      <w:color w:val="3411A3" w:themeColor="text2"/>
      <w:spacing w:val="-10"/>
      <w:kern w:val="28"/>
      <w:sz w:val="40"/>
      <w:szCs w:val="56"/>
    </w:rPr>
  </w:style>
  <w:style w:type="paragraph" w:styleId="ListParagraph">
    <w:name w:val="List Paragraph"/>
    <w:basedOn w:val="Normal"/>
    <w:link w:val="ListParagraphChar"/>
    <w:uiPriority w:val="34"/>
    <w:qFormat/>
    <w:rsid w:val="007211FD"/>
    <w:pPr>
      <w:numPr>
        <w:numId w:val="12"/>
      </w:numPr>
      <w:spacing w:before="40" w:after="40"/>
      <w:ind w:left="924" w:hanging="357"/>
    </w:pPr>
  </w:style>
  <w:style w:type="paragraph" w:customStyle="1" w:styleId="SubBullet">
    <w:name w:val="Sub Bullet"/>
    <w:basedOn w:val="ListParagraph"/>
    <w:qFormat/>
    <w:rsid w:val="00CF64BC"/>
    <w:pPr>
      <w:numPr>
        <w:numId w:val="39"/>
      </w:numPr>
      <w:spacing w:before="0" w:after="120"/>
      <w:ind w:left="714" w:hanging="357"/>
      <w:contextualSpacing/>
    </w:pPr>
  </w:style>
  <w:style w:type="table" w:styleId="TableGrid">
    <w:name w:val="Table Grid"/>
    <w:basedOn w:val="TableNormal"/>
    <w:uiPriority w:val="39"/>
    <w:rsid w:val="001E44B7"/>
    <w:pPr>
      <w:spacing w:after="0" w:line="240" w:lineRule="auto"/>
    </w:pPr>
    <w:rPr>
      <w:sz w:val="20"/>
    </w:rPr>
    <w:tblPr>
      <w:tblStyleRowBandSize w:val="1"/>
      <w:tblBorders>
        <w:top w:val="single" w:sz="8" w:space="0" w:color="auto"/>
        <w:bottom w:val="single" w:sz="8" w:space="0" w:color="auto"/>
        <w:insideH w:val="single" w:sz="8" w:space="0" w:color="auto"/>
      </w:tblBorders>
    </w:tblPr>
    <w:tcPr>
      <w:shd w:val="clear" w:color="auto" w:fill="D1E8F1"/>
    </w:tcPr>
    <w:tblStylePr w:type="firstRow">
      <w:pPr>
        <w:jc w:val="center"/>
      </w:pPr>
      <w:rPr>
        <w:rFonts w:ascii="Arial" w:hAnsi="Arial"/>
        <w:b/>
        <w:i w:val="0"/>
        <w:color w:val="3B3838"/>
        <w:sz w:val="20"/>
      </w:rPr>
      <w:tblPr/>
      <w:tcPr>
        <w:tcBorders>
          <w:top w:val="single" w:sz="8" w:space="0" w:color="173845"/>
          <w:left w:val="nil"/>
          <w:bottom w:val="single" w:sz="8" w:space="0" w:color="173845"/>
          <w:right w:val="nil"/>
          <w:insideH w:val="nil"/>
          <w:insideV w:val="nil"/>
          <w:tl2br w:val="nil"/>
          <w:tr2bl w:val="nil"/>
        </w:tcBorders>
        <w:vAlign w:val="center"/>
      </w:tcPr>
    </w:tblStylePr>
    <w:tblStylePr w:type="lastRow">
      <w:rPr>
        <w:rFonts w:ascii="Arial" w:hAnsi="Arial"/>
        <w:b/>
        <w:i w:val="0"/>
        <w:color w:val="3B3838"/>
        <w:sz w:val="20"/>
      </w:rPr>
      <w:tblPr/>
      <w:tcPr>
        <w:tcBorders>
          <w:top w:val="single" w:sz="8" w:space="0" w:color="3411A3" w:themeColor="text2"/>
          <w:left w:val="nil"/>
          <w:bottom w:val="single" w:sz="8" w:space="0" w:color="3411A3" w:themeColor="text2"/>
          <w:right w:val="nil"/>
          <w:insideH w:val="nil"/>
          <w:insideV w:val="nil"/>
          <w:tl2br w:val="nil"/>
          <w:tr2bl w:val="nil"/>
        </w:tcBorders>
        <w:shd w:val="clear" w:color="auto" w:fill="FFFFFF" w:themeFill="background1"/>
      </w:tcPr>
    </w:tblStylePr>
    <w:tblStylePr w:type="band1Horz">
      <w:rPr>
        <w:rFonts w:ascii="Arial" w:hAnsi="Arial"/>
        <w:b w:val="0"/>
        <w:i w:val="0"/>
        <w:color w:val="3B3838"/>
        <w:sz w:val="20"/>
      </w:rPr>
      <w:tblPr/>
      <w:tcPr>
        <w:tcBorders>
          <w:top w:val="nil"/>
          <w:left w:val="nil"/>
          <w:bottom w:val="nil"/>
          <w:right w:val="nil"/>
          <w:insideH w:val="nil"/>
          <w:insideV w:val="nil"/>
          <w:tl2br w:val="nil"/>
          <w:tr2bl w:val="nil"/>
        </w:tcBorders>
        <w:shd w:val="clear" w:color="auto" w:fill="FFFFFF"/>
      </w:tcPr>
    </w:tblStylePr>
    <w:tblStylePr w:type="band2Horz">
      <w:rPr>
        <w:rFonts w:ascii="Arial" w:hAnsi="Arial"/>
        <w:b w:val="0"/>
        <w:i w:val="0"/>
        <w:color w:val="FFFFFF"/>
        <w:sz w:val="20"/>
      </w:rPr>
      <w:tblPr/>
      <w:tcPr>
        <w:tcBorders>
          <w:top w:val="nil"/>
          <w:left w:val="nil"/>
          <w:bottom w:val="nil"/>
          <w:right w:val="nil"/>
          <w:insideH w:val="nil"/>
          <w:insideV w:val="nil"/>
        </w:tcBorders>
        <w:shd w:val="clear" w:color="auto" w:fill="FFFFFF"/>
      </w:tcPr>
    </w:tblStylePr>
  </w:style>
  <w:style w:type="character" w:styleId="Hyperlink">
    <w:name w:val="Hyperlink"/>
    <w:basedOn w:val="DefaultParagraphFont"/>
    <w:uiPriority w:val="99"/>
    <w:unhideWhenUsed/>
    <w:rsid w:val="009F0E2C"/>
    <w:rPr>
      <w:color w:val="3411A3" w:themeColor="text2"/>
      <w:u w:val="single"/>
    </w:rPr>
  </w:style>
  <w:style w:type="paragraph" w:styleId="TOCHeading">
    <w:name w:val="TOC Heading"/>
    <w:basedOn w:val="Heading1"/>
    <w:next w:val="Normal"/>
    <w:uiPriority w:val="39"/>
    <w:unhideWhenUsed/>
    <w:qFormat/>
    <w:rsid w:val="00076DBE"/>
    <w:pPr>
      <w:numPr>
        <w:numId w:val="0"/>
      </w:numPr>
      <w:spacing w:line="259" w:lineRule="auto"/>
      <w:outlineLvl w:val="9"/>
    </w:pPr>
    <w:rPr>
      <w:sz w:val="32"/>
      <w:szCs w:val="32"/>
      <w:lang w:val="en-US"/>
    </w:rPr>
  </w:style>
  <w:style w:type="paragraph" w:styleId="TOC1">
    <w:name w:val="toc 1"/>
    <w:basedOn w:val="Normal"/>
    <w:next w:val="Normal"/>
    <w:autoRedefine/>
    <w:uiPriority w:val="39"/>
    <w:unhideWhenUsed/>
    <w:rsid w:val="00346BF1"/>
    <w:pPr>
      <w:tabs>
        <w:tab w:val="right" w:leader="dot" w:pos="9912"/>
      </w:tabs>
      <w:spacing w:after="100"/>
      <w:ind w:left="680" w:hanging="680"/>
    </w:pPr>
    <w:rPr>
      <w:b/>
      <w:noProof/>
      <w:color w:val="1D1C1C" w:themeColor="text1"/>
    </w:rPr>
  </w:style>
  <w:style w:type="paragraph" w:styleId="TOC2">
    <w:name w:val="toc 2"/>
    <w:basedOn w:val="Normal"/>
    <w:next w:val="Normal"/>
    <w:autoRedefine/>
    <w:uiPriority w:val="39"/>
    <w:unhideWhenUsed/>
    <w:rsid w:val="00346BF1"/>
    <w:pPr>
      <w:tabs>
        <w:tab w:val="right" w:leader="dot" w:pos="9912"/>
      </w:tabs>
      <w:spacing w:after="100"/>
      <w:ind w:left="680" w:hanging="680"/>
    </w:pPr>
    <w:rPr>
      <w:noProof/>
      <w:color w:val="1D1C1C" w:themeColor="text1"/>
    </w:rPr>
  </w:style>
  <w:style w:type="character" w:customStyle="1" w:styleId="Heading3Char">
    <w:name w:val="Heading 3 Char"/>
    <w:basedOn w:val="DefaultParagraphFont"/>
    <w:link w:val="Heading3"/>
    <w:uiPriority w:val="9"/>
    <w:rsid w:val="00C14A33"/>
    <w:rPr>
      <w:rFonts w:asciiTheme="majorHAnsi" w:eastAsiaTheme="majorEastAsia" w:hAnsiTheme="majorHAnsi" w:cstheme="majorBidi"/>
      <w:b/>
      <w:color w:val="FF6196" w:themeColor="accent1"/>
      <w:szCs w:val="20"/>
    </w:rPr>
  </w:style>
  <w:style w:type="paragraph" w:customStyle="1" w:styleId="AlphaBullet">
    <w:name w:val="Alpha Bullet"/>
    <w:basedOn w:val="Normal"/>
    <w:qFormat/>
    <w:rsid w:val="001A090A"/>
    <w:pPr>
      <w:numPr>
        <w:numId w:val="17"/>
      </w:numPr>
      <w:ind w:left="360"/>
      <w:contextualSpacing/>
    </w:pPr>
    <w:rPr>
      <w:color w:val="1D1C1C" w:themeColor="text1"/>
    </w:rPr>
  </w:style>
  <w:style w:type="paragraph" w:customStyle="1" w:styleId="NumberList">
    <w:name w:val="Number List"/>
    <w:basedOn w:val="AlphaBullet"/>
    <w:qFormat/>
    <w:rsid w:val="001A090A"/>
    <w:pPr>
      <w:numPr>
        <w:numId w:val="18"/>
      </w:numPr>
      <w:ind w:left="360"/>
    </w:pPr>
  </w:style>
  <w:style w:type="character" w:styleId="Strong">
    <w:name w:val="Strong"/>
    <w:basedOn w:val="DefaultParagraphFont"/>
    <w:uiPriority w:val="22"/>
    <w:qFormat/>
    <w:rsid w:val="00076DBE"/>
    <w:rPr>
      <w:b/>
      <w:bCs/>
      <w:color w:val="1D1C1C" w:themeColor="text1"/>
    </w:rPr>
  </w:style>
  <w:style w:type="paragraph" w:styleId="TOC3">
    <w:name w:val="toc 3"/>
    <w:basedOn w:val="Normal"/>
    <w:next w:val="Normal"/>
    <w:autoRedefine/>
    <w:uiPriority w:val="39"/>
    <w:unhideWhenUsed/>
    <w:rsid w:val="00346BF1"/>
    <w:pPr>
      <w:tabs>
        <w:tab w:val="left" w:pos="1100"/>
        <w:tab w:val="right" w:leader="dot" w:pos="9912"/>
      </w:tabs>
      <w:spacing w:after="100"/>
      <w:ind w:left="680" w:hanging="680"/>
    </w:pPr>
    <w:rPr>
      <w:color w:val="1D1C1C" w:themeColor="text1"/>
    </w:rPr>
  </w:style>
  <w:style w:type="character" w:styleId="CommentReference">
    <w:name w:val="annotation reference"/>
    <w:basedOn w:val="DefaultParagraphFont"/>
    <w:uiPriority w:val="99"/>
    <w:semiHidden/>
    <w:unhideWhenUsed/>
    <w:rsid w:val="00D07EAB"/>
    <w:rPr>
      <w:sz w:val="16"/>
      <w:szCs w:val="16"/>
    </w:rPr>
  </w:style>
  <w:style w:type="paragraph" w:styleId="CommentText">
    <w:name w:val="annotation text"/>
    <w:basedOn w:val="Normal"/>
    <w:link w:val="CommentTextChar"/>
    <w:uiPriority w:val="99"/>
    <w:semiHidden/>
    <w:unhideWhenUsed/>
    <w:rsid w:val="00D07EAB"/>
    <w:pPr>
      <w:spacing w:line="240" w:lineRule="auto"/>
    </w:pPr>
  </w:style>
  <w:style w:type="character" w:customStyle="1" w:styleId="CommentTextChar">
    <w:name w:val="Comment Text Char"/>
    <w:basedOn w:val="DefaultParagraphFont"/>
    <w:link w:val="CommentText"/>
    <w:uiPriority w:val="99"/>
    <w:semiHidden/>
    <w:rsid w:val="00D07EAB"/>
    <w:rPr>
      <w:sz w:val="20"/>
      <w:szCs w:val="20"/>
    </w:rPr>
  </w:style>
  <w:style w:type="paragraph" w:styleId="CommentSubject">
    <w:name w:val="annotation subject"/>
    <w:basedOn w:val="CommentText"/>
    <w:next w:val="CommentText"/>
    <w:link w:val="CommentSubjectChar"/>
    <w:uiPriority w:val="99"/>
    <w:semiHidden/>
    <w:unhideWhenUsed/>
    <w:rsid w:val="00D07EAB"/>
    <w:rPr>
      <w:b/>
      <w:bCs/>
    </w:rPr>
  </w:style>
  <w:style w:type="character" w:customStyle="1" w:styleId="CommentSubjectChar">
    <w:name w:val="Comment Subject Char"/>
    <w:basedOn w:val="CommentTextChar"/>
    <w:link w:val="CommentSubject"/>
    <w:uiPriority w:val="99"/>
    <w:semiHidden/>
    <w:rsid w:val="00D07EAB"/>
    <w:rPr>
      <w:b/>
      <w:bCs/>
      <w:sz w:val="20"/>
      <w:szCs w:val="20"/>
    </w:rPr>
  </w:style>
  <w:style w:type="paragraph" w:styleId="Revision">
    <w:name w:val="Revision"/>
    <w:hidden/>
    <w:uiPriority w:val="99"/>
    <w:semiHidden/>
    <w:rsid w:val="00D07EAB"/>
    <w:pPr>
      <w:spacing w:after="0" w:line="240" w:lineRule="auto"/>
    </w:pPr>
    <w:rPr>
      <w:sz w:val="20"/>
    </w:rPr>
  </w:style>
  <w:style w:type="paragraph" w:customStyle="1" w:styleId="Bullet">
    <w:name w:val="Bullet"/>
    <w:basedOn w:val="SubBullet"/>
    <w:qFormat/>
    <w:rsid w:val="00CF64BC"/>
    <w:pPr>
      <w:numPr>
        <w:numId w:val="38"/>
      </w:numPr>
      <w:spacing w:before="120"/>
      <w:ind w:left="357" w:hanging="357"/>
    </w:pPr>
  </w:style>
  <w:style w:type="paragraph" w:customStyle="1" w:styleId="Subsubbullet">
    <w:name w:val="Sub sub bullet"/>
    <w:basedOn w:val="SubBullet"/>
    <w:qFormat/>
    <w:rsid w:val="00CF64BC"/>
    <w:pPr>
      <w:numPr>
        <w:numId w:val="40"/>
      </w:numPr>
      <w:ind w:left="1071" w:hanging="357"/>
    </w:pPr>
  </w:style>
  <w:style w:type="table" w:styleId="TableGridLight">
    <w:name w:val="Grid Table Light"/>
    <w:basedOn w:val="TableNormal"/>
    <w:uiPriority w:val="40"/>
    <w:rsid w:val="00C93A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CF64BC"/>
    <w:rPr>
      <w:rFonts w:asciiTheme="majorHAnsi" w:eastAsiaTheme="majorEastAsia" w:hAnsiTheme="majorHAnsi" w:cstheme="majorBidi"/>
      <w:i/>
      <w:iCs/>
      <w:color w:val="1D1C1C" w:themeColor="text1"/>
      <w:sz w:val="20"/>
      <w:szCs w:val="20"/>
    </w:rPr>
  </w:style>
  <w:style w:type="paragraph" w:styleId="Subtitle">
    <w:name w:val="Subtitle"/>
    <w:basedOn w:val="Normal"/>
    <w:next w:val="Normal"/>
    <w:link w:val="SubtitleChar"/>
    <w:uiPriority w:val="11"/>
    <w:qFormat/>
    <w:rsid w:val="00076DBE"/>
    <w:pPr>
      <w:numPr>
        <w:ilvl w:val="1"/>
      </w:numPr>
      <w:spacing w:after="160"/>
    </w:pPr>
    <w:rPr>
      <w:rFonts w:eastAsiaTheme="minorEastAsia"/>
      <w:color w:val="1D1C1C" w:themeColor="text1"/>
      <w:spacing w:val="15"/>
      <w:sz w:val="22"/>
    </w:rPr>
  </w:style>
  <w:style w:type="character" w:customStyle="1" w:styleId="SubtitleChar">
    <w:name w:val="Subtitle Char"/>
    <w:basedOn w:val="DefaultParagraphFont"/>
    <w:link w:val="Subtitle"/>
    <w:uiPriority w:val="11"/>
    <w:rsid w:val="00076DBE"/>
    <w:rPr>
      <w:rFonts w:eastAsiaTheme="minorEastAsia"/>
      <w:color w:val="1D1C1C" w:themeColor="text1"/>
      <w:spacing w:val="15"/>
    </w:rPr>
  </w:style>
  <w:style w:type="character" w:styleId="SubtleEmphasis">
    <w:name w:val="Subtle Emphasis"/>
    <w:basedOn w:val="DefaultParagraphFont"/>
    <w:uiPriority w:val="19"/>
    <w:qFormat/>
    <w:rsid w:val="00076DBE"/>
    <w:rPr>
      <w:i/>
      <w:iCs/>
      <w:color w:val="1D1C1C" w:themeColor="text1"/>
    </w:rPr>
  </w:style>
  <w:style w:type="character" w:styleId="Emphasis">
    <w:name w:val="Emphasis"/>
    <w:basedOn w:val="DefaultParagraphFont"/>
    <w:uiPriority w:val="20"/>
    <w:qFormat/>
    <w:rsid w:val="00076DBE"/>
    <w:rPr>
      <w:i/>
      <w:iCs/>
      <w:color w:val="1D1C1C" w:themeColor="text1"/>
    </w:rPr>
  </w:style>
  <w:style w:type="paragraph" w:styleId="Quote">
    <w:name w:val="Quote"/>
    <w:basedOn w:val="Normal"/>
    <w:next w:val="Normal"/>
    <w:link w:val="QuoteChar"/>
    <w:uiPriority w:val="29"/>
    <w:qFormat/>
    <w:rsid w:val="00076DBE"/>
    <w:pPr>
      <w:spacing w:before="200" w:after="160"/>
      <w:ind w:left="864" w:right="864"/>
      <w:jc w:val="center"/>
    </w:pPr>
    <w:rPr>
      <w:i/>
      <w:iCs/>
      <w:color w:val="1D1C1C" w:themeColor="text1"/>
    </w:rPr>
  </w:style>
  <w:style w:type="character" w:customStyle="1" w:styleId="QuoteChar">
    <w:name w:val="Quote Char"/>
    <w:basedOn w:val="DefaultParagraphFont"/>
    <w:link w:val="Quote"/>
    <w:uiPriority w:val="29"/>
    <w:rsid w:val="00076DBE"/>
    <w:rPr>
      <w:i/>
      <w:iCs/>
      <w:color w:val="1D1C1C" w:themeColor="text1"/>
      <w:sz w:val="20"/>
    </w:rPr>
  </w:style>
  <w:style w:type="paragraph" w:styleId="IntenseQuote">
    <w:name w:val="Intense Quote"/>
    <w:basedOn w:val="Normal"/>
    <w:next w:val="Normal"/>
    <w:link w:val="IntenseQuoteChar"/>
    <w:uiPriority w:val="30"/>
    <w:qFormat/>
    <w:rsid w:val="00076DBE"/>
    <w:pPr>
      <w:pBdr>
        <w:top w:val="single" w:sz="4" w:space="10" w:color="FF6196" w:themeColor="accent1"/>
        <w:bottom w:val="single" w:sz="4" w:space="10" w:color="FF6196" w:themeColor="accent1"/>
      </w:pBdr>
      <w:spacing w:before="360" w:after="360"/>
      <w:ind w:left="864" w:right="864"/>
      <w:jc w:val="center"/>
    </w:pPr>
    <w:rPr>
      <w:i/>
      <w:iCs/>
      <w:color w:val="FF6196" w:themeColor="accent1"/>
    </w:rPr>
  </w:style>
  <w:style w:type="character" w:customStyle="1" w:styleId="IntenseQuoteChar">
    <w:name w:val="Intense Quote Char"/>
    <w:basedOn w:val="DefaultParagraphFont"/>
    <w:link w:val="IntenseQuote"/>
    <w:uiPriority w:val="30"/>
    <w:rsid w:val="00076DBE"/>
    <w:rPr>
      <w:i/>
      <w:iCs/>
      <w:color w:val="FF6196" w:themeColor="accent1"/>
      <w:sz w:val="20"/>
    </w:rPr>
  </w:style>
  <w:style w:type="character" w:styleId="IntenseReference">
    <w:name w:val="Intense Reference"/>
    <w:basedOn w:val="DefaultParagraphFont"/>
    <w:uiPriority w:val="32"/>
    <w:qFormat/>
    <w:rsid w:val="00076DBE"/>
    <w:rPr>
      <w:b/>
      <w:bCs/>
      <w:smallCaps/>
      <w:color w:val="FF6196" w:themeColor="accent1"/>
      <w:spacing w:val="5"/>
    </w:rPr>
  </w:style>
  <w:style w:type="character" w:customStyle="1" w:styleId="Heading5Char">
    <w:name w:val="Heading 5 Char"/>
    <w:basedOn w:val="DefaultParagraphFont"/>
    <w:link w:val="Heading5"/>
    <w:uiPriority w:val="9"/>
    <w:rsid w:val="00B11326"/>
    <w:rPr>
      <w:rFonts w:asciiTheme="majorHAnsi" w:eastAsiaTheme="majorEastAsia" w:hAnsiTheme="majorHAnsi" w:cstheme="majorBidi"/>
      <w:color w:val="1D1C1C" w:themeColor="text1"/>
      <w:sz w:val="20"/>
      <w:szCs w:val="20"/>
    </w:rPr>
  </w:style>
  <w:style w:type="character" w:customStyle="1" w:styleId="Heading6Char">
    <w:name w:val="Heading 6 Char"/>
    <w:basedOn w:val="DefaultParagraphFont"/>
    <w:link w:val="Heading6"/>
    <w:uiPriority w:val="9"/>
    <w:rsid w:val="00B11326"/>
    <w:rPr>
      <w:rFonts w:asciiTheme="majorHAnsi" w:eastAsiaTheme="majorEastAsia" w:hAnsiTheme="majorHAnsi" w:cstheme="majorBidi"/>
      <w:color w:val="1D1C1C" w:themeColor="text1"/>
      <w:sz w:val="20"/>
      <w:szCs w:val="20"/>
    </w:rPr>
  </w:style>
  <w:style w:type="character" w:customStyle="1" w:styleId="Heading7Char">
    <w:name w:val="Heading 7 Char"/>
    <w:basedOn w:val="DefaultParagraphFont"/>
    <w:link w:val="Heading7"/>
    <w:uiPriority w:val="9"/>
    <w:rsid w:val="00B11326"/>
    <w:rPr>
      <w:rFonts w:asciiTheme="majorHAnsi" w:eastAsiaTheme="majorEastAsia" w:hAnsiTheme="majorHAnsi" w:cstheme="majorBidi"/>
      <w:i/>
      <w:iCs/>
      <w:color w:val="1D1C1C" w:themeColor="text1"/>
      <w:sz w:val="20"/>
      <w:szCs w:val="20"/>
    </w:rPr>
  </w:style>
  <w:style w:type="character" w:customStyle="1" w:styleId="Heading8Char">
    <w:name w:val="Heading 8 Char"/>
    <w:basedOn w:val="DefaultParagraphFont"/>
    <w:link w:val="Heading8"/>
    <w:uiPriority w:val="9"/>
    <w:rsid w:val="00D930C2"/>
    <w:rPr>
      <w:rFonts w:asciiTheme="majorHAnsi" w:eastAsiaTheme="majorEastAsia" w:hAnsiTheme="majorHAnsi" w:cstheme="majorBidi"/>
      <w:color w:val="403E3E" w:themeColor="text1" w:themeTint="D8"/>
      <w:sz w:val="20"/>
      <w:szCs w:val="20"/>
    </w:rPr>
  </w:style>
  <w:style w:type="character" w:customStyle="1" w:styleId="Heading9Char">
    <w:name w:val="Heading 9 Char"/>
    <w:basedOn w:val="DefaultParagraphFont"/>
    <w:link w:val="Heading9"/>
    <w:uiPriority w:val="9"/>
    <w:rsid w:val="00D930C2"/>
    <w:rPr>
      <w:rFonts w:asciiTheme="majorHAnsi" w:eastAsiaTheme="majorEastAsia" w:hAnsiTheme="majorHAnsi" w:cstheme="majorBidi"/>
      <w:i/>
      <w:iCs/>
      <w:color w:val="403E3E" w:themeColor="text1" w:themeTint="D8"/>
      <w:sz w:val="20"/>
      <w:szCs w:val="20"/>
    </w:rPr>
  </w:style>
  <w:style w:type="paragraph" w:customStyle="1" w:styleId="Listnumber1">
    <w:name w:val="List number 1"/>
    <w:basedOn w:val="ListParagraph"/>
    <w:link w:val="Listnumber1Char"/>
    <w:qFormat/>
    <w:rsid w:val="00CF64BC"/>
    <w:pPr>
      <w:numPr>
        <w:numId w:val="32"/>
      </w:numPr>
      <w:spacing w:before="0" w:after="120"/>
      <w:ind w:left="249" w:hanging="249"/>
      <w:contextualSpacing/>
    </w:pPr>
  </w:style>
  <w:style w:type="paragraph" w:customStyle="1" w:styleId="ListNumber21">
    <w:name w:val="List Number 21"/>
    <w:basedOn w:val="ListParagraph"/>
    <w:link w:val="Listnumber2Char"/>
    <w:qFormat/>
    <w:rsid w:val="00CF64BC"/>
    <w:pPr>
      <w:numPr>
        <w:ilvl w:val="1"/>
        <w:numId w:val="32"/>
      </w:numPr>
      <w:spacing w:before="0" w:after="120"/>
      <w:ind w:left="448" w:hanging="448"/>
      <w:contextualSpacing/>
    </w:pPr>
  </w:style>
  <w:style w:type="character" w:customStyle="1" w:styleId="ListParagraphChar">
    <w:name w:val="List Paragraph Char"/>
    <w:basedOn w:val="DefaultParagraphFont"/>
    <w:link w:val="ListParagraph"/>
    <w:uiPriority w:val="34"/>
    <w:rsid w:val="00A6523B"/>
    <w:rPr>
      <w:color w:val="3B3838"/>
      <w:sz w:val="20"/>
    </w:rPr>
  </w:style>
  <w:style w:type="character" w:customStyle="1" w:styleId="Listnumber1Char">
    <w:name w:val="List number 1 Char"/>
    <w:basedOn w:val="ListParagraphChar"/>
    <w:link w:val="Listnumber1"/>
    <w:rsid w:val="00CF64BC"/>
    <w:rPr>
      <w:color w:val="1D1C1C"/>
      <w:sz w:val="20"/>
      <w:szCs w:val="20"/>
    </w:rPr>
  </w:style>
  <w:style w:type="paragraph" w:customStyle="1" w:styleId="ListNumber31">
    <w:name w:val="List Number 31"/>
    <w:basedOn w:val="ListParagraph"/>
    <w:link w:val="Listnumber3Char"/>
    <w:qFormat/>
    <w:rsid w:val="00785FBA"/>
    <w:pPr>
      <w:numPr>
        <w:ilvl w:val="2"/>
        <w:numId w:val="32"/>
      </w:numPr>
      <w:spacing w:before="0" w:after="120"/>
      <w:ind w:left="644" w:hanging="644"/>
      <w:contextualSpacing/>
    </w:pPr>
  </w:style>
  <w:style w:type="character" w:customStyle="1" w:styleId="Listnumber2Char">
    <w:name w:val="List number 2 Char"/>
    <w:basedOn w:val="ListParagraphChar"/>
    <w:link w:val="ListNumber21"/>
    <w:rsid w:val="00CF64BC"/>
    <w:rPr>
      <w:color w:val="1D1C1C"/>
      <w:sz w:val="20"/>
      <w:szCs w:val="20"/>
    </w:rPr>
  </w:style>
  <w:style w:type="paragraph" w:customStyle="1" w:styleId="ListNumber41">
    <w:name w:val="List Number 41"/>
    <w:basedOn w:val="ListParagraph"/>
    <w:link w:val="Listnumber4Char"/>
    <w:qFormat/>
    <w:rsid w:val="00785FBA"/>
    <w:pPr>
      <w:numPr>
        <w:ilvl w:val="3"/>
        <w:numId w:val="32"/>
      </w:numPr>
      <w:spacing w:before="0" w:after="120"/>
      <w:ind w:left="854" w:hanging="854"/>
      <w:contextualSpacing/>
    </w:pPr>
  </w:style>
  <w:style w:type="character" w:customStyle="1" w:styleId="Listnumber3Char">
    <w:name w:val="List number 3 Char"/>
    <w:basedOn w:val="ListParagraphChar"/>
    <w:link w:val="ListNumber31"/>
    <w:rsid w:val="00785FBA"/>
    <w:rPr>
      <w:color w:val="1D1C1C"/>
      <w:sz w:val="20"/>
      <w:szCs w:val="20"/>
    </w:rPr>
  </w:style>
  <w:style w:type="character" w:customStyle="1" w:styleId="Listnumber4Char">
    <w:name w:val="List number 4 Char"/>
    <w:basedOn w:val="ListParagraphChar"/>
    <w:link w:val="ListNumber41"/>
    <w:rsid w:val="00785FBA"/>
    <w:rPr>
      <w:color w:val="1D1C1C"/>
      <w:sz w:val="20"/>
      <w:szCs w:val="20"/>
    </w:rPr>
  </w:style>
  <w:style w:type="character" w:styleId="PlaceholderText">
    <w:name w:val="Placeholder Text"/>
    <w:basedOn w:val="DefaultParagraphFont"/>
    <w:uiPriority w:val="99"/>
    <w:semiHidden/>
    <w:rsid w:val="00922833"/>
    <w:rPr>
      <w:color w:val="808080"/>
    </w:rPr>
  </w:style>
  <w:style w:type="table" w:styleId="ListTable3-Accent1">
    <w:name w:val="List Table 3 Accent 1"/>
    <w:basedOn w:val="TableNormal"/>
    <w:uiPriority w:val="48"/>
    <w:rsid w:val="00050575"/>
    <w:pPr>
      <w:spacing w:after="120" w:line="276" w:lineRule="auto"/>
    </w:pPr>
    <w:tblPr>
      <w:tblStyleRowBandSize w:val="1"/>
      <w:tblStyleColBandSize w:val="1"/>
      <w:tblInd w:w="0" w:type="nil"/>
      <w:tblBorders>
        <w:bottom w:val="single" w:sz="8" w:space="0" w:color="26D4F0" w:themeColor="accent3"/>
        <w:insideH w:val="single" w:sz="8" w:space="0" w:color="26D4F0" w:themeColor="accent3"/>
      </w:tblBorders>
    </w:tblPr>
    <w:tblStylePr w:type="firstRow">
      <w:pPr>
        <w:wordWrap/>
        <w:spacing w:beforeLines="0" w:before="0" w:beforeAutospacing="0" w:afterLines="0" w:after="0" w:afterAutospacing="0" w:line="240" w:lineRule="auto"/>
        <w:jc w:val="left"/>
      </w:pPr>
      <w:rPr>
        <w:b/>
        <w:bCs/>
        <w:color w:val="FFFFFF" w:themeColor="background1"/>
      </w:rPr>
      <w:tblPr/>
      <w:tcPr>
        <w:tcBorders>
          <w:bottom w:val="nil"/>
        </w:tcBorders>
        <w:shd w:val="clear" w:color="auto" w:fill="FF6196" w:themeFill="accent1"/>
        <w:vAlign w:val="center"/>
      </w:tcPr>
    </w:tblStylePr>
    <w:tblStylePr w:type="lastRow">
      <w:rPr>
        <w:b/>
        <w:bCs/>
      </w:rPr>
      <w:tblPr/>
      <w:tcPr>
        <w:tcBorders>
          <w:top w:val="double" w:sz="4" w:space="0" w:color="FF619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196" w:themeColor="accent1"/>
          <w:right w:val="single" w:sz="4" w:space="0" w:color="FF6196" w:themeColor="accent1"/>
        </w:tcBorders>
      </w:tcPr>
    </w:tblStylePr>
    <w:tblStylePr w:type="band1Horz">
      <w:tblPr/>
      <w:tcPr>
        <w:tcBorders>
          <w:top w:val="single" w:sz="4" w:space="0" w:color="FF6196" w:themeColor="accent1"/>
          <w:bottom w:val="single" w:sz="4" w:space="0" w:color="FF619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196" w:themeColor="accent1"/>
          <w:left w:val="nil"/>
        </w:tcBorders>
      </w:tcPr>
    </w:tblStylePr>
    <w:tblStylePr w:type="swCell">
      <w:tblPr/>
      <w:tcPr>
        <w:tcBorders>
          <w:top w:val="double" w:sz="4" w:space="0" w:color="FF6196" w:themeColor="accent1"/>
          <w:right w:val="nil"/>
        </w:tcBorders>
      </w:tcPr>
    </w:tblStylePr>
  </w:style>
  <w:style w:type="character" w:styleId="IntenseEmphasis">
    <w:name w:val="Intense Emphasis"/>
    <w:basedOn w:val="DefaultParagraphFont"/>
    <w:uiPriority w:val="21"/>
    <w:qFormat/>
    <w:rsid w:val="00785FBA"/>
    <w:rPr>
      <w:i/>
      <w:iCs/>
      <w:color w:val="FF6196" w:themeColor="accent1"/>
    </w:rPr>
  </w:style>
  <w:style w:type="table" w:customStyle="1" w:styleId="Style1">
    <w:name w:val="Style1"/>
    <w:basedOn w:val="TableNormal"/>
    <w:uiPriority w:val="99"/>
    <w:rsid w:val="00BD45CF"/>
    <w:pPr>
      <w:spacing w:after="0" w:line="240" w:lineRule="auto"/>
    </w:pPr>
    <w:tblPr>
      <w:tblBorders>
        <w:bottom w:val="single" w:sz="4" w:space="0" w:color="FF6196" w:themeColor="accent1"/>
        <w:insideH w:val="single" w:sz="4" w:space="0" w:color="FF6196" w:themeColor="accent1"/>
      </w:tblBorders>
    </w:tblPr>
    <w:tblStylePr w:type="firstRow">
      <w:pPr>
        <w:wordWrap/>
        <w:spacing w:beforeLines="0" w:before="0" w:beforeAutospacing="0" w:afterLines="0" w:after="0" w:afterAutospacing="0" w:line="240" w:lineRule="auto"/>
        <w:jc w:val="left"/>
      </w:pPr>
      <w:rPr>
        <w:b/>
        <w:color w:val="FFFFFF" w:themeColor="background1"/>
      </w:rPr>
      <w:tblPr/>
      <w:tcPr>
        <w:tcBorders>
          <w:bottom w:val="single" w:sz="4" w:space="0" w:color="19105B" w:themeColor="background2"/>
        </w:tcBorders>
        <w:shd w:val="clear" w:color="auto" w:fill="19105B" w:themeFill="background2"/>
        <w:vAlign w:val="center"/>
      </w:tcPr>
    </w:tblStylePr>
  </w:style>
  <w:style w:type="character" w:styleId="UnresolvedMention">
    <w:name w:val="Unresolved Mention"/>
    <w:basedOn w:val="DefaultParagraphFont"/>
    <w:uiPriority w:val="99"/>
    <w:semiHidden/>
    <w:unhideWhenUsed/>
    <w:rsid w:val="009F0E2C"/>
    <w:rPr>
      <w:color w:val="605E5C"/>
      <w:shd w:val="clear" w:color="auto" w:fill="E1DFDD"/>
    </w:rPr>
  </w:style>
  <w:style w:type="character" w:styleId="FollowedHyperlink">
    <w:name w:val="FollowedHyperlink"/>
    <w:basedOn w:val="DefaultParagraphFont"/>
    <w:uiPriority w:val="99"/>
    <w:semiHidden/>
    <w:unhideWhenUsed/>
    <w:rsid w:val="009F0E2C"/>
    <w:rPr>
      <w:color w:val="FF6196"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345821">
      <w:bodyDiv w:val="1"/>
      <w:marLeft w:val="0"/>
      <w:marRight w:val="0"/>
      <w:marTop w:val="0"/>
      <w:marBottom w:val="0"/>
      <w:divBdr>
        <w:top w:val="none" w:sz="0" w:space="0" w:color="auto"/>
        <w:left w:val="none" w:sz="0" w:space="0" w:color="auto"/>
        <w:bottom w:val="none" w:sz="0" w:space="0" w:color="auto"/>
        <w:right w:val="none" w:sz="0" w:space="0" w:color="auto"/>
      </w:divBdr>
      <w:divsChild>
        <w:div w:id="1161391056">
          <w:marLeft w:val="0"/>
          <w:marRight w:val="0"/>
          <w:marTop w:val="0"/>
          <w:marBottom w:val="0"/>
          <w:divBdr>
            <w:top w:val="none" w:sz="0" w:space="0" w:color="auto"/>
            <w:left w:val="none" w:sz="0" w:space="0" w:color="auto"/>
            <w:bottom w:val="none" w:sz="0" w:space="0" w:color="auto"/>
            <w:right w:val="none" w:sz="0" w:space="0" w:color="auto"/>
          </w:divBdr>
          <w:divsChild>
            <w:div w:id="59213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jmangroup.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 Id="rId26" Type="http://schemas.openxmlformats.org/officeDocument/2006/relationships/image" Target="media/image8.png"/><Relationship Id="rId27" Type="http://schemas.openxmlformats.org/officeDocument/2006/relationships/image" Target="media/image9.png"/></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https://jmangroupltd.sharepoint.com/sites/AssetLibrary/Shared%20Documents/JMAN%20Word%20Template%20v1.2%20(Cover%20Page,%20No%20Appendix).dotx" TargetMode="External"/></Relationships>
</file>

<file path=word/theme/theme1.xml><?xml version="1.0" encoding="utf-8"?>
<a:theme xmlns:a="http://schemas.openxmlformats.org/drawingml/2006/main" name="Office Theme">
  <a:themeElements>
    <a:clrScheme name="Custom 4">
      <a:dk1>
        <a:srgbClr val="1D1C1C"/>
      </a:dk1>
      <a:lt1>
        <a:srgbClr val="FFFFFF"/>
      </a:lt1>
      <a:dk2>
        <a:srgbClr val="3411A3"/>
      </a:dk2>
      <a:lt2>
        <a:srgbClr val="19105B"/>
      </a:lt2>
      <a:accent1>
        <a:srgbClr val="FF6196"/>
      </a:accent1>
      <a:accent2>
        <a:srgbClr val="71EAE1"/>
      </a:accent2>
      <a:accent3>
        <a:srgbClr val="26D4F0"/>
      </a:accent3>
      <a:accent4>
        <a:srgbClr val="A16BDB"/>
      </a:accent4>
      <a:accent5>
        <a:srgbClr val="A6265E"/>
      </a:accent5>
      <a:accent6>
        <a:srgbClr val="16978E"/>
      </a:accent6>
      <a:hlink>
        <a:srgbClr val="3411A3"/>
      </a:hlink>
      <a:folHlink>
        <a:srgbClr val="FF61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405374391C1641A168C1236A716607" ma:contentTypeVersion="10" ma:contentTypeDescription="Create a new document." ma:contentTypeScope="" ma:versionID="dc82ab80b39d76336834c4ff58ca0733">
  <xsd:schema xmlns:xsd="http://www.w3.org/2001/XMLSchema" xmlns:xs="http://www.w3.org/2001/XMLSchema" xmlns:p="http://schemas.microsoft.com/office/2006/metadata/properties" xmlns:ns2="a5b11a77-7788-46fd-9668-95ec4506d6ec" xmlns:ns3="d6ec6e21-06be-401a-af9b-7c1579062cf2" targetNamespace="http://schemas.microsoft.com/office/2006/metadata/properties" ma:root="true" ma:fieldsID="150240c4c5ece0b62514323c29b6d46f" ns2:_="" ns3:_="">
    <xsd:import namespace="a5b11a77-7788-46fd-9668-95ec4506d6ec"/>
    <xsd:import namespace="d6ec6e21-06be-401a-af9b-7c1579062c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b11a77-7788-46fd-9668-95ec4506d6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90ee516-008d-467c-846c-f354b89760b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ec6e21-06be-401a-af9b-7c1579062c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4a59fc-f3fb-48c0-921a-e0f917b12790}" ma:internalName="TaxCatchAll" ma:showField="CatchAllData" ma:web="d6ec6e21-06be-401a-af9b-7c1579062c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5b11a77-7788-46fd-9668-95ec4506d6ec">
      <Terms xmlns="http://schemas.microsoft.com/office/infopath/2007/PartnerControls"/>
    </lcf76f155ced4ddcb4097134ff3c332f>
    <TaxCatchAll xmlns="d6ec6e21-06be-401a-af9b-7c1579062cf2"/>
  </documentManagement>
</p:properties>
</file>

<file path=customXml/itemProps1.xml><?xml version="1.0" encoding="utf-8"?>
<ds:datastoreItem xmlns:ds="http://schemas.openxmlformats.org/officeDocument/2006/customXml" ds:itemID="{7FFCC5B9-6968-482B-A352-3A323DEE2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b11a77-7788-46fd-9668-95ec4506d6ec"/>
    <ds:schemaRef ds:uri="d6ec6e21-06be-401a-af9b-7c1579062c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66BDA-BC1C-48D9-8297-A8C612E8ACBB}">
  <ds:schemaRefs>
    <ds:schemaRef ds:uri="http://schemas.openxmlformats.org/officeDocument/2006/bibliography"/>
  </ds:schemaRefs>
</ds:datastoreItem>
</file>

<file path=customXml/itemProps3.xml><?xml version="1.0" encoding="utf-8"?>
<ds:datastoreItem xmlns:ds="http://schemas.openxmlformats.org/officeDocument/2006/customXml" ds:itemID="{F77FFBCC-9C22-4178-A4D4-21BC983E2CC4}">
  <ds:schemaRefs>
    <ds:schemaRef ds:uri="http://schemas.microsoft.com/sharepoint/v3/contenttype/forms"/>
  </ds:schemaRefs>
</ds:datastoreItem>
</file>

<file path=customXml/itemProps4.xml><?xml version="1.0" encoding="utf-8"?>
<ds:datastoreItem xmlns:ds="http://schemas.openxmlformats.org/officeDocument/2006/customXml" ds:itemID="{8525BEEE-E69A-4100-AFD4-163895F8B03F}">
  <ds:schemaRefs>
    <ds:schemaRef ds:uri="http://schemas.microsoft.com/office/2006/metadata/properties"/>
    <ds:schemaRef ds:uri="http://schemas.microsoft.com/office/infopath/2007/PartnerControls"/>
    <ds:schemaRef ds:uri="a5b11a77-7788-46fd-9668-95ec4506d6ec"/>
    <ds:schemaRef ds:uri="d6ec6e21-06be-401a-af9b-7c1579062cf2"/>
  </ds:schemaRefs>
</ds:datastoreItem>
</file>

<file path=docProps/app.xml><?xml version="1.0" encoding="utf-8"?>
<Properties xmlns="http://schemas.openxmlformats.org/officeDocument/2006/extended-properties" xmlns:vt="http://schemas.openxmlformats.org/officeDocument/2006/docPropsVTypes">
  <Template>JMAN%20Word%20Template%20v1.2%20(Cover%20Page,%20No%20Appendix).dotx</Template>
  <TotalTime>0</TotalTime>
  <Pages>2</Pages>
  <Words>49</Words>
  <Characters>280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DSN Fabric MCP Server</dc:title>
  <dc:subject>Solution overview, technical handover and deployment guide</dc:subject>
  <dc:creator>JMAN Group</dc:creator>
  <cp:lastModifiedBy>Sai Gowtham</cp:lastModifiedBy>
  <cp:revision>1</cp:revision>
  <cp:lastPrinted>2019-04-04T11:00:00Z</cp:lastPrinted>
  <dcterms:created xsi:type="dcterms:W3CDTF">2026-10-09T12:50:00Z</dcterms:created>
  <dcterms:modified xsi:type="dcterms:W3CDTF">2026-10-09T12:50:00Z</dcterms:modified>
  <cp:keywords>DSN, Microsoft Fabric, MCP, Claude, handover</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0x01010007405374391C1641A168C1236A716607</vt:lpwstr>
  </property>
  <property fmtid="{D5CDD505-2E9C-101B-9397-08002B2CF9AE}" pid="3" name="MediaServiceImageTags">
    <vt:lpwstr/>
  </property>
</Properties>
</file>