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kfndjvbjdbv</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fnrekjdvbared</w:t>
            </w:r>
          </w:p>
        </w:tc>
      </w:tr>
      <w:tr>
        <w:tc>
          <w:tcPr>
            <w:tcW w:type="dxa" w:w="3402"/>
          </w:tcPr>
          <w:p>
            <w:pPr>
              <w:pStyle w:val="NormalText"/>
            </w:pPr>
            <w:r>
              <w:rPr>
                <w:b/>
              </w:rPr>
              <w:t>National Clinical Trial (NCT) Identified Number:</w:t>
            </w:r>
          </w:p>
        </w:tc>
        <w:tc>
          <w:tcPr>
            <w:tcW w:type="dxa" w:w="5669"/>
          </w:tcPr>
          <w:p>
            <w:pPr>
              <w:pStyle w:val="NormalText"/>
            </w:pPr>
            <w:r>
              <w:t>vdgvredvrv</w:t>
            </w:r>
          </w:p>
        </w:tc>
      </w:tr>
      <w:tr>
        <w:tc>
          <w:tcPr>
            <w:tcW w:type="dxa" w:w="3402"/>
          </w:tcPr>
          <w:p>
            <w:pPr>
              <w:pStyle w:val="NormalText"/>
            </w:pPr>
            <w:r>
              <w:rPr>
                <w:b/>
              </w:rPr>
              <w:t>Principal Investigator:</w:t>
            </w:r>
          </w:p>
        </w:tc>
        <w:tc>
          <w:tcPr>
            <w:tcW w:type="dxa" w:w="5669"/>
          </w:tcPr>
          <w:p>
            <w:pPr>
              <w:pStyle w:val="NormalText"/>
            </w:pPr>
            <w:r>
              <w:t>vrvrefvrf</w:t>
            </w:r>
          </w:p>
        </w:tc>
      </w:tr>
      <w:tr>
        <w:tc>
          <w:tcPr>
            <w:tcW w:type="dxa" w:w="3402"/>
          </w:tcPr>
          <w:p>
            <w:pPr>
              <w:pStyle w:val="NormalText"/>
            </w:pPr>
            <w:r>
              <w:rPr>
                <w:b/>
              </w:rPr>
              <w:t>IND/IDE Sponsor:</w:t>
            </w:r>
          </w:p>
        </w:tc>
        <w:tc>
          <w:tcPr>
            <w:tcW w:type="dxa" w:w="5669"/>
          </w:tcPr>
          <w:p>
            <w:pPr>
              <w:pStyle w:val="NormalText"/>
            </w:pPr>
            <w:r>
              <w:t>vsrdvbdbdf</w:t>
            </w:r>
          </w:p>
        </w:tc>
      </w:tr>
      <w:tr>
        <w:tc>
          <w:tcPr>
            <w:tcW w:type="dxa" w:w="3402"/>
          </w:tcPr>
          <w:p>
            <w:pPr>
              <w:pStyle w:val="NormalText"/>
            </w:pPr>
            <w:r>
              <w:rPr>
                <w:b/>
              </w:rPr>
              <w:t>Funded by:</w:t>
            </w:r>
          </w:p>
        </w:tc>
        <w:tc>
          <w:tcPr>
            <w:tcW w:type="dxa" w:w="5669"/>
          </w:tcPr>
          <w:p>
            <w:pPr>
              <w:pStyle w:val="NormalText"/>
            </w:pPr>
            <w:r>
              <w:t>fbefvrf</w:t>
            </w:r>
          </w:p>
        </w:tc>
      </w:tr>
      <w:tr>
        <w:tc>
          <w:tcPr>
            <w:tcW w:type="dxa" w:w="3402"/>
          </w:tcPr>
          <w:p>
            <w:pPr>
              <w:pStyle w:val="NormalText"/>
            </w:pPr>
            <w:r>
              <w:rPr>
                <w:b/>
              </w:rPr>
              <w:t>Version Number:</w:t>
            </w:r>
          </w:p>
        </w:tc>
        <w:tc>
          <w:tcPr>
            <w:tcW w:type="dxa" w:w="5669"/>
          </w:tcPr>
          <w:p>
            <w:pPr>
              <w:pStyle w:val="NormalText"/>
            </w:pPr>
            <w:r>
              <w:t>rvrefvfgvf</w:t>
            </w:r>
          </w:p>
        </w:tc>
      </w:tr>
      <w:tr>
        <w:tc>
          <w:tcPr>
            <w:tcW w:type="dxa" w:w="3402"/>
          </w:tcPr>
          <w:p>
            <w:pPr>
              <w:pStyle w:val="NormalText"/>
            </w:pPr>
            <w:r>
              <w:rPr>
                <w:b/>
              </w:rPr>
              <w:t>Date:</w:t>
            </w:r>
          </w:p>
        </w:tc>
        <w:tc>
          <w:tcPr>
            <w:tcW w:type="dxa" w:w="5669"/>
          </w:tcPr>
          <w:p>
            <w:pPr>
              <w:pStyle w:val="NormalText"/>
            </w:pPr>
            <w:r>
              <w:t>2026-02-22</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p>
        </w:tc>
      </w:tr>
      <w:tr>
        <w:tc>
          <w:tcPr>
            <w:tcW w:type="dxa" w:w="4680"/>
          </w:tcPr>
          <w:p>
            <w:r>
              <w:rPr>
                <w:b/>
              </w:rPr>
              <w:t>Protocol Number:</w:t>
            </w:r>
          </w:p>
        </w:tc>
        <w:tc>
          <w:tcPr>
            <w:tcW w:type="dxa" w:w="4680"/>
          </w:tcPr>
          <w:p>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Investigator Agreement</w:t>
      </w:r>
    </w:p>
    <w:p>
      <w:pPr>
        <w:pStyle w:val="NormalText"/>
      </w:pPr>
    </w:p>
    <w:p>
      <w:pPr>
        <w:pStyle w:val="NormalText"/>
      </w:pPr>
      <w:r>
        <w:t xml:space="preserve">&lt;b&gt;Investigator Name:&lt;/b&gt; </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Heading2"/>
      </w:pPr>
      <w:r>
        <w:t>4.1 Overall Design</w:t>
      </w:r>
    </w:p>
    <w:p>
      <w:pPr>
        <w:pStyle w:val="Heading2"/>
      </w:pPr>
      <w:r>
        <w:t>4.2 Scientific Rationale for Study Design</w:t>
      </w:r>
    </w:p>
    <w:p>
      <w:pPr>
        <w:pStyle w:val="Heading2"/>
      </w:pPr>
      <w:r>
        <w:t>4.3 Justification for Dose</w:t>
      </w:r>
    </w:p>
    <w:p>
      <w:pPr>
        <w:pStyle w:val="Heading2"/>
      </w:pPr>
      <w:r>
        <w:t>4.4 End of Study Definition</w:t>
      </w:r>
    </w:p>
    <w:p>
      <w:r>
        <w:br w:type="page"/>
      </w:r>
    </w:p>
    <w:p>
      <w:pPr>
        <w:pStyle w:val="Heading1"/>
      </w:pPr>
      <w:r>
        <w:t>5 STUDY POPULATION</w:t>
      </w:r>
    </w:p>
    <w:p>
      <w:pPr>
        <w:pStyle w:val="Heading2"/>
      </w:pPr>
      <w:r>
        <w:t>5.1 Inclusion Criteria</w:t>
      </w:r>
    </w:p>
    <w:p>
      <w:pPr>
        <w:pStyle w:val="Heading2"/>
      </w:pPr>
      <w:r>
        <w:t>5.2 Exclusion Criteria</w:t>
      </w:r>
    </w:p>
    <w:p>
      <w:pPr>
        <w:pStyle w:val="Heading2"/>
      </w:pPr>
      <w:r>
        <w:t>5.3 Lifestyle Considerations</w:t>
      </w:r>
    </w:p>
    <w:p>
      <w:pPr>
        <w:pStyle w:val="Heading2"/>
      </w:pPr>
      <w:r>
        <w:t>5.4 Screen Failures</w:t>
      </w:r>
    </w:p>
    <w:p>
      <w:pPr>
        <w:pStyle w:val="Heading2"/>
      </w:pPr>
      <w:r>
        <w:t>5.5 Strategies for Recruitment and Retention</w:t>
      </w:r>
    </w:p>
    <w:p>
      <w:r>
        <w:br w:type="page"/>
      </w:r>
    </w:p>
    <w:p>
      <w:pPr>
        <w:pStyle w:val="Heading1"/>
      </w:pPr>
      <w:r>
        <w:t>6 STUDY INTERVENTION</w:t>
      </w:r>
    </w:p>
    <w:p>
      <w:pPr>
        <w:pStyle w:val="Heading2"/>
      </w:pPr>
      <w:r>
        <w:t>6.1 Study Intervention(s) Administration</w:t>
      </w:r>
    </w:p>
    <w:p>
      <w:pPr>
        <w:pStyle w:val="Heading2"/>
      </w:pPr>
      <w:r>
        <w:t>6.2 Study Intervention Description</w:t>
      </w:r>
    </w:p>
    <w:p>
      <w:pPr>
        <w:pStyle w:val="Heading2"/>
      </w:pPr>
      <w:r>
        <w:t>6.3 Dosing and Administration</w:t>
      </w:r>
    </w:p>
    <w:p>
      <w:pPr>
        <w:pStyle w:val="Heading2"/>
      </w:pPr>
      <w:r>
        <w:t>6.4 Preparation/Handling/Storage/Accountability</w:t>
      </w:r>
    </w:p>
    <w:p>
      <w:pPr>
        <w:pStyle w:val="Heading2"/>
      </w:pPr>
      <w:r>
        <w:t>6.5 Acquisition and accountability</w:t>
      </w:r>
    </w:p>
    <w:p>
      <w:pPr>
        <w:pStyle w:val="Heading2"/>
      </w:pPr>
      <w:r>
        <w:t>6.6 Formulation, Appearance, Packaging, and Labeling</w:t>
      </w:r>
    </w:p>
    <w:p>
      <w:pPr>
        <w:pStyle w:val="Heading2"/>
      </w:pPr>
      <w:r>
        <w:t>6.7 Product Storage and Stability</w:t>
      </w:r>
    </w:p>
    <w:p>
      <w:pPr>
        <w:pStyle w:val="Heading2"/>
      </w:pPr>
      <w:r>
        <w:t>6.8 Preparation</w:t>
      </w:r>
    </w:p>
    <w:p>
      <w:pPr>
        <w:pStyle w:val="Heading2"/>
      </w:pPr>
      <w:r>
        <w:t>6.9 Measures to Minimize Bias: Randomization and Blinding</w:t>
      </w:r>
    </w:p>
    <w:p>
      <w:pPr>
        <w:pStyle w:val="Heading2"/>
      </w:pPr>
      <w:r>
        <w:t>6.10 Study Intervention Compliance</w:t>
      </w:r>
    </w:p>
    <w:p>
      <w:pPr>
        <w:pStyle w:val="Heading2"/>
      </w:pPr>
      <w:r>
        <w:t>6.11 Concomitant Therapy</w:t>
      </w:r>
    </w:p>
    <w:p>
      <w:pPr>
        <w:pStyle w:val="Heading2"/>
      </w:pPr>
      <w:r>
        <w:t>6.12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kfndjvbjdbv – Version rvrefvfgvf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kfndjvbjdbv</w:t>
          </w:r>
        </w:p>
      </w:tc>
      <w:tc>
        <w:tcPr>
          <w:tcW w:type="dxa" w:w="4535"/>
        </w:tcPr>
        <w:p>
          <w:pPr>
            <w:jc w:val="right"/>
          </w:pPr>
          <w:r>
            <w:t>Version rvrefvfgvf</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