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A Phase II, Randomized, Double‑Blind, Placebo‑Controlled Study </w:t>
      </w:r>
    </w:p>
    <w:p>
      <w:r>
        <w:br/>
      </w:r>
    </w:p>
    <w:p>
      <w:pPr>
        <w:spacing w:line="276" w:lineRule="auto"/>
        <w:jc w:val="center"/>
      </w:pPr>
      <w:r>
        <w:rPr>
          <w:b/>
          <w:sz w:val="24"/>
        </w:rPr>
        <w:t xml:space="preserve">Protocol Number: </w:t>
      </w:r>
      <w:r>
        <w:rPr>
          <w:sz w:val="24"/>
        </w:rPr>
        <w:t>PROTO‑001</w:t>
      </w:r>
    </w:p>
    <w:p>
      <w:pPr>
        <w:spacing w:line="276" w:lineRule="auto"/>
        <w:jc w:val="center"/>
      </w:pPr>
      <w:r>
        <w:rPr>
          <w:b/>
          <w:sz w:val="24"/>
        </w:rPr>
        <w:t xml:space="preserve">National Clinical Trial (NCT) Identified Number: </w:t>
      </w:r>
      <w:r>
        <w:rPr>
          <w:sz w:val="24"/>
        </w:rPr>
        <w:t>NCT12345678</w:t>
      </w:r>
    </w:p>
    <w:p>
      <w:pPr>
        <w:spacing w:line="276" w:lineRule="auto"/>
        <w:jc w:val="center"/>
      </w:pPr>
      <w:r>
        <w:rPr>
          <w:b/>
          <w:sz w:val="24"/>
        </w:rPr>
        <w:t xml:space="preserve">Principal Investigator: </w:t>
      </w:r>
      <w:r>
        <w:rPr>
          <w:sz w:val="24"/>
        </w:rPr>
        <w:t>Dr. Ananya R. Mehta, MD, PhD</w:t>
      </w:r>
    </w:p>
    <w:p>
      <w:pPr>
        <w:spacing w:line="276" w:lineRule="auto"/>
        <w:jc w:val="center"/>
      </w:pPr>
      <w:r>
        <w:rPr>
          <w:b/>
          <w:sz w:val="24"/>
        </w:rPr>
        <w:t xml:space="preserve">IND/IDE Sponsor: </w:t>
      </w:r>
      <w:r>
        <w:rPr>
          <w:sz w:val="24"/>
        </w:rPr>
        <w:t>BioAdvance Therapeutics Pvt. Ltd.</w:t>
      </w:r>
    </w:p>
    <w:p>
      <w:pPr>
        <w:spacing w:line="276" w:lineRule="auto"/>
        <w:jc w:val="center"/>
      </w:pPr>
      <w:r>
        <w:rPr>
          <w:b/>
          <w:sz w:val="24"/>
        </w:rPr>
        <w:t xml:space="preserve">Funded by: </w:t>
      </w:r>
      <w:r>
        <w:rPr>
          <w:sz w:val="24"/>
        </w:rPr>
        <w:t>National Institutes of Health (NIH)</w:t>
      </w:r>
    </w:p>
    <w:p>
      <w:pPr>
        <w:spacing w:line="276" w:lineRule="auto"/>
        <w:jc w:val="center"/>
      </w:pPr>
      <w:r>
        <w:rPr>
          <w:b/>
          <w:sz w:val="24"/>
        </w:rPr>
        <w:t xml:space="preserve">Version Number: </w:t>
      </w:r>
      <w:r>
        <w:rPr>
          <w:sz w:val="24"/>
        </w:rPr>
        <w:t>v1.0</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t xml:space="preserve">A Phase II, Randomized, Double‑Blind Study </w:t>
            </w:r>
          </w:p>
        </w:tc>
      </w:tr>
      <w:tr>
        <w:tc>
          <w:tcPr>
            <w:tcW w:type="dxa" w:w="4680"/>
          </w:tcPr>
          <w:p>
            <w:r>
              <w:rPr>
                <w:b/>
              </w:rPr>
              <w:t>Protocol Number:</w:t>
            </w:r>
          </w:p>
        </w:tc>
        <w:tc>
          <w:tcPr>
            <w:tcW w:type="dxa" w:w="4680"/>
          </w:tcPr>
          <w:p>
            <w:r>
              <w:t>PROTO‑001</w:t>
            </w:r>
          </w:p>
        </w:tc>
      </w:tr>
      <w:tr>
        <w:tc>
          <w:tcPr>
            <w:tcW w:type="dxa" w:w="4680"/>
          </w:tcPr>
          <w:p>
            <w:r>
              <w:rPr>
                <w:b/>
              </w:rPr>
              <w:t>IMP:</w:t>
            </w:r>
          </w:p>
        </w:tc>
        <w:tc>
          <w:tcPr>
            <w:tcW w:type="dxa" w:w="4680"/>
          </w:tcPr>
          <w:p>
            <w:r>
              <w:t>XYZ‑101 (Inhalation Suspension)</w:t>
            </w:r>
          </w:p>
        </w:tc>
      </w:tr>
      <w:tr>
        <w:tc>
          <w:tcPr>
            <w:tcW w:type="dxa" w:w="4680"/>
          </w:tcPr>
          <w:p>
            <w:r>
              <w:rPr>
                <w:b/>
              </w:rPr>
              <w:t>Indication:</w:t>
            </w:r>
          </w:p>
        </w:tc>
        <w:tc>
          <w:tcPr>
            <w:tcW w:type="dxa" w:w="4680"/>
          </w:tcPr>
          <w:p>
            <w:r>
              <w:t>Moderate-to-Severe Asthma</w:t>
            </w:r>
          </w:p>
        </w:tc>
      </w:tr>
      <w:tr>
        <w:tc>
          <w:tcPr>
            <w:tcW w:type="dxa" w:w="4680"/>
          </w:tcPr>
          <w:p>
            <w:r>
              <w:rPr>
                <w:b/>
              </w:rPr>
              <w:t>Clinical Phase:</w:t>
            </w:r>
          </w:p>
        </w:tc>
        <w:tc>
          <w:tcPr>
            <w:tcW w:type="dxa" w:w="4680"/>
          </w:tcPr>
          <w:p>
            <w:r>
              <w:t>phase-II</w:t>
            </w:r>
          </w:p>
        </w:tc>
      </w:tr>
      <w:tr>
        <w:tc>
          <w:tcPr>
            <w:tcW w:type="dxa" w:w="4680"/>
          </w:tcPr>
          <w:p>
            <w:r>
              <w:rPr>
                <w:b/>
              </w:rPr>
              <w:t>Investigators:</w:t>
            </w:r>
          </w:p>
        </w:tc>
        <w:tc>
          <w:tcPr>
            <w:tcW w:type="dxa" w:w="4680"/>
          </w:tcPr>
          <w:p>
            <w:r>
              <w:t>Dr. Ananya R. Mehta, MD, PhD – Principal Investigator</w:t>
            </w:r>
          </w:p>
        </w:tc>
      </w:tr>
      <w:tr>
        <w:tc>
          <w:tcPr>
            <w:tcW w:type="dxa" w:w="4680"/>
          </w:tcPr>
          <w:p>
            <w:r>
              <w:rPr>
                <w:b/>
              </w:rPr>
              <w:t>Coordinating Investigator:</w:t>
            </w:r>
          </w:p>
        </w:tc>
        <w:tc>
          <w:tcPr>
            <w:tcW w:type="dxa" w:w="4680"/>
          </w:tcPr>
          <w:p>
            <w:r>
              <w:t>Dr. Ananya R. Mehta, MD, PhD</w:t>
            </w:r>
          </w:p>
        </w:tc>
      </w:tr>
      <w:tr>
        <w:tc>
          <w:tcPr>
            <w:tcW w:type="dxa" w:w="4680"/>
          </w:tcPr>
          <w:p>
            <w:r>
              <w:rPr>
                <w:b/>
              </w:rPr>
              <w:t>Expert Committee:</w:t>
            </w:r>
          </w:p>
        </w:tc>
        <w:tc>
          <w:tcPr>
            <w:tcW w:type="dxa" w:w="4680"/>
          </w:tcPr>
          <w:p>
            <w:r>
              <w:t>Dr. N. Raghavan, Clinical Pharmacology Expert Dr. Latha Venugopal, Pulmonology Specialist</w:t>
            </w:r>
          </w:p>
        </w:tc>
      </w:tr>
    </w:tbl>
    <w:p>
      <w:r>
        <w:br/>
      </w:r>
    </w:p>
    <w:p>
      <w:pPr>
        <w:pStyle w:val="Heading2"/>
      </w:pPr>
      <w:r>
        <w:t>GCP Statement</w:t>
      </w:r>
    </w:p>
    <w:p>
      <w:pPr>
        <w:pStyle w:val="NormalText"/>
      </w:pPr>
      <w:r>
        <w:t>This clinical trial will be conducted in full compliance with the principles outlined in the International Council for Harmonisation (ICH) Guideline for Good Clinical Practice (E6 R2/R3), the Declaration of Helsinki, and applicable local regulatory requirements. All investigators agree to adhere to these guidelines to ensure the rights, safety, and well‑being of trial participants.</w:t>
      </w:r>
    </w:p>
    <w:p>
      <w:pPr>
        <w:pStyle w:val="Heading2"/>
      </w:pPr>
      <w:r>
        <w:t>Approval Statement</w:t>
      </w:r>
    </w:p>
    <w:p>
      <w:pPr>
        <w:pStyle w:val="NormalText"/>
      </w:pPr>
      <w:r>
        <w:t>By signing this document, the undersigned acknowledge approval of this clinical trial protocol and agree to conduct the study in accordance with its provisions, the Sponsor’s standard operating procedures (SOPs), applicable regulatory requirements, and ICH‑GCP guidelines. No deviations or modifications to the protocol may be implemented without written approval from the Sponsor and Ethics Committee, except where necessary to eliminate immediate hazards to participants.</w:t>
      </w:r>
    </w:p>
    <w:p>
      <w:pPr>
        <w:pStyle w:val="Heading2"/>
      </w:pPr>
      <w:r>
        <w:t>Sponsor Representatives</w:t>
      </w:r>
    </w:p>
    <w:p>
      <w:r>
        <w:rPr>
          <w:b/>
        </w:rPr>
        <w:t xml:space="preserve">Name: </w:t>
      </w:r>
      <w:r>
        <w:t>Mr. R. Sandeep Kumar</w:t>
      </w:r>
    </w:p>
    <w:p>
      <w:r>
        <w:rPr>
          <w:b/>
        </w:rPr>
        <w:t xml:space="preserve">Title: </w:t>
      </w:r>
      <w:r>
        <w:t>Director, Clinical Development</w:t>
      </w:r>
    </w:p>
    <w:p>
      <w:r>
        <w:rPr>
          <w:b/>
        </w:rPr>
        <w:t xml:space="preserve">Organization: </w:t>
      </w:r>
      <w:r/>
    </w:p>
    <w:p>
      <w:r>
        <w:rPr>
          <w:b/>
        </w:rPr>
        <w:t xml:space="preserve">Date: </w:t>
      </w:r>
      <w:r>
        <w:t>22/2/2026</w:t>
      </w:r>
    </w:p>
    <w:p>
      <w:r>
        <w:rPr>
          <w:b/>
        </w:rPr>
        <w:t xml:space="preserve">Signature: </w:t>
      </w:r>
      <w:r>
        <w:t>____________________</w:t>
      </w:r>
    </w:p>
    <w:p>
      <w:r>
        <w:t>--------------------</w:t>
      </w:r>
    </w:p>
    <w:p>
      <w:r>
        <w:rPr>
          <w:b/>
        </w:rPr>
        <w:t xml:space="preserve">Name: </w:t>
      </w:r>
      <w:r>
        <w:t>Dr. Latha Venugopal</w:t>
      </w:r>
    </w:p>
    <w:p>
      <w:r>
        <w:rPr>
          <w:b/>
        </w:rPr>
        <w:t xml:space="preserve">Title: </w:t>
      </w:r>
      <w:r>
        <w:t>Pulmonology Specialist</w:t>
      </w:r>
    </w:p>
    <w:p>
      <w:r>
        <w:rPr>
          <w:b/>
        </w:rPr>
        <w:t xml:space="preserve">Organization: </w:t>
      </w:r>
      <w:r/>
    </w:p>
    <w:p>
      <w:r>
        <w:rPr>
          <w:b/>
        </w:rPr>
        <w:t xml:space="preserve">Date: </w:t>
      </w:r>
      <w:r>
        <w:t>22/2/2026</w:t>
      </w:r>
    </w:p>
    <w:p>
      <w:r>
        <w:rPr>
          <w:b/>
        </w:rPr>
        <w:t xml:space="preserve">Signature: </w:t>
      </w:r>
      <w:r>
        <w:t>____________________</w:t>
      </w:r>
    </w:p>
    <w:p>
      <w:r>
        <w:t>--------------------</w:t>
      </w:r>
    </w:p>
    <w:p>
      <w:pPr>
        <w:pStyle w:val="Heading2"/>
      </w:pPr>
      <w:r>
        <w:t>Investigator Agreement</w:t>
      </w:r>
    </w:p>
    <w:p>
      <w:pPr>
        <w:pStyle w:val="NormalText"/>
      </w:pPr>
      <w:r>
        <w:t>I, the undersigned Investigator, confirm that I have read and understood this clinical trial protocol (Version 1.0 dated 22‑02‑2026). I agree to conduct this study in accordance with the protocol, ICH‑GCP guidelines, applicable ethical and regulatory requirements, and to ensure the protection, safety, and confidentiality of all study participants.</w:t>
      </w:r>
    </w:p>
    <w:p>
      <w:pPr>
        <w:pStyle w:val="NormalText"/>
      </w:pPr>
      <w:r>
        <w:t>&lt;b&gt;Investigator Name:&lt;/b&gt; Dr. Ananya R. Mehta</w:t>
      </w:r>
    </w:p>
    <w:p>
      <w:pPr>
        <w:pStyle w:val="NormalText"/>
      </w:pPr>
      <w:r>
        <w:t>&lt;b&gt;Title:&lt;/b&gt; Principal Investigator, Pulmonary Medicine</w:t>
      </w:r>
    </w:p>
    <w:p>
      <w:pPr>
        <w:pStyle w:val="NormalText"/>
      </w:pPr>
      <w:r>
        <w:t>&lt;b&gt;Facility:&lt;/b&gt; Chennai Clinical Research Institute</w:t>
      </w:r>
    </w:p>
    <w:p>
      <w:pPr>
        <w:pStyle w:val="NormalText"/>
      </w:pPr>
      <w:r>
        <w:t>&lt;b&gt;Date:&lt;/b&gt; 22-02-2026</w:t>
      </w:r>
    </w:p>
    <w:p>
      <w:r>
        <w:rPr>
          <w:b/>
        </w:rPr>
        <w:t xml:space="preserve">Signature: </w:t>
      </w:r>
      <w:r>
        <w:t>____________________</w:t>
      </w:r>
    </w:p>
    <w:p>
      <w:r>
        <w:br w:type="page"/>
      </w:r>
    </w:p>
    <w:p>
      <w:pPr>
        <w:pStyle w:val="Heading1"/>
      </w:pPr>
      <w:r>
        <w:t>1 PROTOCOL SUMMARY</w:t>
      </w:r>
    </w:p>
    <w:p>
      <w:pPr>
        <w:pStyle w:val="Heading2"/>
      </w:pPr>
      <w:r>
        <w:t>1.1 Synopsis</w:t>
      </w:r>
    </w:p>
    <w:p>
      <w:pPr>
        <w:pStyle w:val="NormalText"/>
      </w:pPr>
      <w:r>
        <w:t>&lt;b&gt;Title:&lt;/b&gt; A Phase II, Randomized, Double‑Blind, Placebo‑Controlled Study</w:t>
      </w:r>
    </w:p>
    <w:p>
      <w:pPr>
        <w:pStyle w:val="NormalText"/>
      </w:pPr>
      <w:r>
        <w:t>&lt;b&gt;Coordinating Investigator:&lt;/b&gt; Dr. Ananya R. Mehta, MD, PhD</w:t>
      </w:r>
    </w:p>
    <w:p>
      <w:pPr>
        <w:pStyle w:val="NormalText"/>
      </w:pPr>
      <w:r>
        <w:t>&lt;b&gt;Planned duration:&lt;/b&gt; March 2026 – February 2027</w:t>
      </w:r>
    </w:p>
    <w:p>
      <w:pPr>
        <w:pStyle w:val="Heading3"/>
      </w:pPr>
      <w:r>
        <w:t>Primary Objectives</w:t>
      </w:r>
    </w:p>
    <w:p>
      <w:pPr>
        <w:pStyle w:val="BulletList"/>
      </w:pPr>
      <w:r>
        <w:t>To evaluate the efficacy of XYZ‑101 in reducing the frequency of asthma exacerbations.</w:t>
      </w:r>
    </w:p>
    <w:p>
      <w:pPr>
        <w:pStyle w:val="BulletList"/>
      </w:pPr>
      <w:r>
        <w:t>Especially in adults with moderate‑to‑severe asthma.</w:t>
      </w:r>
    </w:p>
    <w:p>
      <w:pPr>
        <w:pStyle w:val="Heading3"/>
      </w:pPr>
      <w:r>
        <w:t>Primary Endpoints</w:t>
      </w:r>
    </w:p>
    <w:p>
      <w:pPr>
        <w:pStyle w:val="BulletList"/>
      </w:pPr>
      <w:r>
        <w:t>Change from baseline in annualized rate of asthma exacerbations at Week 24.</w:t>
      </w:r>
    </w:p>
    <w:p>
      <w:pPr>
        <w:pStyle w:val="NormalText"/>
      </w:pPr>
      <w:r>
        <w:t>&lt;b&gt;Number of Patients:&lt;/b&gt; 160</w:t>
      </w:r>
    </w:p>
    <w:p>
      <w:pPr>
        <w:pStyle w:val="Heading2"/>
      </w:pPr>
      <w:r>
        <w:t>1.2 Schema</w:t>
      </w:r>
    </w:p>
    <w:p>
      <w:r>
        <w:drawing>
          <wp:inline xmlns:a="http://schemas.openxmlformats.org/drawingml/2006/main" xmlns:pic="http://schemas.openxmlformats.org/drawingml/2006/picture">
            <wp:extent cx="5400000" cy="3513361"/>
            <wp:docPr id="1" name="Picture 1"/>
            <wp:cNvGraphicFramePr>
              <a:graphicFrameLocks noChangeAspect="1"/>
            </wp:cNvGraphicFramePr>
            <a:graphic>
              <a:graphicData uri="http://schemas.openxmlformats.org/drawingml/2006/picture">
                <pic:pic>
                  <pic:nvPicPr>
                    <pic:cNvPr id="0" name="1cd7870c-e362-4d28-add5-a1292bc58e5b.png"/>
                    <pic:cNvPicPr/>
                  </pic:nvPicPr>
                  <pic:blipFill>
                    <a:blip r:embed="rId11"/>
                    <a:stretch>
                      <a:fillRect/>
                    </a:stretch>
                  </pic:blipFill>
                  <pic:spPr>
                    <a:xfrm>
                      <a:off x="0" y="0"/>
                      <a:ext cx="5400000" cy="3513361"/>
                    </a:xfrm>
                    <a:prstGeom prst="rect"/>
                  </pic:spPr>
                </pic:pic>
              </a:graphicData>
            </a:graphic>
          </wp:inline>
        </w:drawing>
      </w:r>
    </w:p>
    <w:p>
      <w:pPr>
        <w:pStyle w:val="NormalText"/>
        <w:jc w:val="center"/>
      </w:pPr>
      <w:r>
        <w:rPr>
          <w:b/>
        </w:rPr>
        <w:t>Table of contents</w:t>
      </w:r>
    </w:p>
    <w:p>
      <w:pPr>
        <w:pStyle w:val="NormalText"/>
        <w:spacing w:after="240"/>
      </w:pPr>
      <w:r>
        <w:t>Detailed overview of the study management</w:t>
      </w:r>
    </w:p>
    <w:p>
      <w:r>
        <w:drawing>
          <wp:inline xmlns:a="http://schemas.openxmlformats.org/drawingml/2006/main" xmlns:pic="http://schemas.openxmlformats.org/drawingml/2006/picture">
            <wp:extent cx="5400000" cy="2128302"/>
            <wp:docPr id="2" name="Picture 2"/>
            <wp:cNvGraphicFramePr>
              <a:graphicFrameLocks noChangeAspect="1"/>
            </wp:cNvGraphicFramePr>
            <a:graphic>
              <a:graphicData uri="http://schemas.openxmlformats.org/drawingml/2006/picture">
                <pic:pic>
                  <pic:nvPicPr>
                    <pic:cNvPr id="0" name="d72a4fc7-dad0-445a-a0bf-732504341b16.png"/>
                    <pic:cNvPicPr/>
                  </pic:nvPicPr>
                  <pic:blipFill>
                    <a:blip r:embed="rId12"/>
                    <a:stretch>
                      <a:fillRect/>
                    </a:stretch>
                  </pic:blipFill>
                  <pic:spPr>
                    <a:xfrm>
                      <a:off x="0" y="0"/>
                      <a:ext cx="5400000" cy="2128302"/>
                    </a:xfrm>
                    <a:prstGeom prst="rect"/>
                  </pic:spPr>
                </pic:pic>
              </a:graphicData>
            </a:graphic>
          </wp:inline>
        </w:drawing>
      </w:r>
    </w:p>
    <w:p>
      <w:pPr>
        <w:pStyle w:val="NormalText"/>
        <w:jc w:val="center"/>
      </w:pPr>
      <w:r>
        <w:rPr>
          <w:b/>
        </w:rPr>
        <w:t>Trial activity</w:t>
      </w:r>
    </w:p>
    <w:p>
      <w:pPr>
        <w:pStyle w:val="NormalText"/>
        <w:spacing w:after="240"/>
      </w:pPr>
      <w:r>
        <w:t xml:space="preserve">Patients visit window </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Administer study intervention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Concomitant medication review</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t>X</w:t>
            </w:r>
          </w:p>
        </w:tc>
      </w:tr>
      <w:tr>
        <w:tc>
          <w:tcPr>
            <w:tcW w:type="dxa" w:w="585"/>
            <w:vAlign w:val="center"/>
          </w:tcPr>
          <w:p>
            <w:r>
              <w:t>Complete CRFs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pPr>
        <w:pStyle w:val="Heading2"/>
      </w:pPr>
      <w:r>
        <w:t>2.2 Background</w:t>
      </w:r>
    </w:p>
    <w:p>
      <w:pPr>
        <w:pStyle w:val="NormalText"/>
      </w:pPr>
      <w:r>
        <w:t xml:space="preserve">The purpose of this amendment is to provide continued treatment of patients on secukinumab   </w:t>
        <w:br/>
        <w:t xml:space="preserve">for an additional 48 weeks (overall up to 72 weeks), and thus allow for safety, tolerability, and  </w:t>
        <w:br/>
        <w:t xml:space="preserve">efficacy data to be collected from the participating patients over a longer period of time.  </w:t>
      </w:r>
    </w:p>
    <w:p>
      <w:pPr>
        <w:pStyle w:val="Heading2"/>
      </w:pPr>
      <w:r>
        <w:t>2.3 Risk/Benefit Assessment</w:t>
      </w:r>
    </w:p>
    <w:p>
      <w:pPr>
        <w:pStyle w:val="Heading3"/>
      </w:pPr>
      <w:r>
        <w:t>2.3.1 Known Potential Risks</w:t>
      </w:r>
    </w:p>
    <w:p>
      <w:pPr>
        <w:pStyle w:val="NormalText"/>
      </w:pPr>
      <w:r>
        <w:t xml:space="preserve">Furthermore, as a consequence of the European Medicines Agency’s (EMA) approval in  </w:t>
        <w:br/>
        <w:t xml:space="preserve">February 2015 of secukinumab “for the treatment of moderate severe plaque psoriasis in adults who are candidates for systemic therapy,” inclusion criterion number 5 has been changed in order to guarantee treatment to the population of systemically naïve patients, as per label. 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3"/>
      </w:pPr>
      <w:r>
        <w:t>2.3.2 Known Potential Benefits</w:t>
      </w:r>
    </w:p>
    <w:p>
      <w:pPr>
        <w:pStyle w:val="NormalText"/>
      </w:pPr>
      <w:r>
        <w:t xml:space="preserve">Title: “A 24-week, multicenter, proSpective stUdy to evaluate the PASI 90 clinical response rate and the safety PRofile of sEcukinuMab 300 mg in Cw6negativE and Cw6-positive patients with moderate to severe chronic plaque-type psoriasis (SUPREME) – amended with an extension treatment period of up to 48 weeks” </w:t>
      </w:r>
    </w:p>
    <w:p>
      <w:pPr>
        <w:pStyle w:val="Heading3"/>
      </w:pPr>
      <w:r>
        <w:t>2.3.3 Assessment of Potential Risks and Benefits</w:t>
      </w:r>
    </w:p>
    <w:p>
      <w:pPr>
        <w:pStyle w:val="NormalText"/>
      </w:pPr>
      <w:r>
        <w:t xml:space="preserve">Although the sample size was calculated considering only Cw6  </w:t>
        <w:br/>
        <w:t xml:space="preserve">haplotype, it will also be adequate for a regression model assessing  </w:t>
        <w:br/>
        <w:t xml:space="preserve">differences from baseline of clinically relevant variables such as BMI,  </w:t>
        <w:br/>
        <w:t xml:space="preserve">metabolic syndrome, smoking and TNFα-308 polymorphism, which,  </w:t>
        <w:br/>
        <w:t xml:space="preserve">among the six existing polymorphisms, is the one most greatly affecting  </w:t>
        <w:br/>
        <w:t xml:space="preserve">response to treatment with anti-TNFα drugs. </w:t>
      </w:r>
    </w:p>
    <w:p>
      <w:r>
        <w:br w:type="page"/>
      </w:r>
    </w:p>
    <w:p>
      <w:pPr>
        <w:pStyle w:val="Heading1"/>
      </w:pPr>
      <w:r>
        <w:t>3 OBJECTIVES AND ENDPOINTS</w:t>
      </w:r>
    </w:p>
    <w:p>
      <w:pPr>
        <w:pStyle w:val="NormalText"/>
      </w:pPr>
      <w:r>
        <w:t>This section outlines the primary, secondary, and exploratory objectives of the study along with their corresponding endpoints. The objectives are designed to evaluate the efficacy, safety, and mechanistic effects of XYZ‑101 in adults with moderate‑to‑severe asthma. Endpoints have been selected based on regulatory expectations, clinical relevance, and established asthma outcome measures to ensure meaningful interpretation of therapeutic benefit.</w:t>
        <w:br/>
        <w:t>The primary objective focuses on assessing the effect of XYZ‑101 on reducing asthma exacerbations, which represents a clinically significant outcome in this population. Secondary objectives evaluate lung function, symptom control, and safety. Exploratory objectives examine biomarkers, pharmacokinetic parameters, and patient‑reported outcomes to support mechanistic understanding and further clinical development.</w:t>
      </w:r>
    </w:p>
    <w:p>
      <w:r>
        <w:drawing>
          <wp:inline xmlns:a="http://schemas.openxmlformats.org/drawingml/2006/main" xmlns:pic="http://schemas.openxmlformats.org/drawingml/2006/picture">
            <wp:extent cx="5400000" cy="2788348"/>
            <wp:docPr id="3" name="Picture 3"/>
            <wp:cNvGraphicFramePr>
              <a:graphicFrameLocks noChangeAspect="1"/>
            </wp:cNvGraphicFramePr>
            <a:graphic>
              <a:graphicData uri="http://schemas.openxmlformats.org/drawingml/2006/picture">
                <pic:pic>
                  <pic:nvPicPr>
                    <pic:cNvPr id="0" name="3a014636-f424-4dba-af5d-547b2a1e419a.png"/>
                    <pic:cNvPicPr/>
                  </pic:nvPicPr>
                  <pic:blipFill>
                    <a:blip r:embed="rId13"/>
                    <a:stretch>
                      <a:fillRect/>
                    </a:stretch>
                  </pic:blipFill>
                  <pic:spPr>
                    <a:xfrm>
                      <a:off x="0" y="0"/>
                      <a:ext cx="5400000" cy="2788348"/>
                    </a:xfrm>
                    <a:prstGeom prst="rect"/>
                  </pic:spPr>
                </pic:pic>
              </a:graphicData>
            </a:graphic>
          </wp:inline>
        </w:drawing>
      </w:r>
    </w:p>
    <w:p>
      <w:pPr>
        <w:pStyle w:val="NormalText"/>
        <w:jc w:val="center"/>
      </w:pPr>
      <w:r>
        <w:rPr>
          <w:b/>
        </w:rPr>
        <w:t>Figure: Overview of Study Objectives and Endpoint Hierarchy</w:t>
      </w:r>
    </w:p>
    <w:p>
      <w:pPr>
        <w:pStyle w:val="NormalText"/>
        <w:jc w:val="center"/>
      </w:pPr>
      <w:r>
        <w:t>This diagram illustrates the structured relationship among the primary, secondary, and exploratory objectives, along with their corresponding endpoints. The hierarchy highlights how each level of objectives aligns with key clinical outcomes—including exacerbation rates, lung function improvements, safety assessments, biomarker changes, and patient-reported quality-of-life metrics.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Primary</w:t>
            </w:r>
          </w:p>
        </w:tc>
        <w:tc>
          <w:tcPr>
            <w:tcW w:type="dxa" w:w="3120"/>
          </w:tcPr>
          <w:p>
            <w:pPr>
              <w:pStyle w:val="TableText"/>
            </w:pPr>
            <w:r>
              <w:t>Evaluate the efficacy of XYZ‑101 in reducing the rate of asthma exacerbations compared with placebo at Week 24.</w:t>
            </w:r>
          </w:p>
        </w:tc>
        <w:tc>
          <w:tcPr>
            <w:tcW w:type="dxa" w:w="3120"/>
          </w:tcPr>
          <w:p>
            <w:pPr>
              <w:pStyle w:val="TableText"/>
            </w:pPr>
            <w:r>
              <w:t>Change from baseline in annualized exacerbation rate at Week 24.</w:t>
            </w:r>
          </w:p>
        </w:tc>
      </w:tr>
      <w:tr>
        <w:tc>
          <w:tcPr>
            <w:tcW w:type="dxa" w:w="3120"/>
          </w:tcPr>
          <w:p>
            <w:pPr>
              <w:pStyle w:val="TableText"/>
            </w:pPr>
            <w:r>
              <w:t>Secondary</w:t>
            </w:r>
          </w:p>
        </w:tc>
        <w:tc>
          <w:tcPr>
            <w:tcW w:type="dxa" w:w="3120"/>
          </w:tcPr>
          <w:p>
            <w:pPr>
              <w:pStyle w:val="TableText"/>
            </w:pPr>
            <w:r>
              <w:t>Assess improvement in lung function following administration of XYZ‑101.</w:t>
            </w:r>
          </w:p>
        </w:tc>
        <w:tc>
          <w:tcPr>
            <w:tcW w:type="dxa" w:w="3120"/>
          </w:tcPr>
          <w:p>
            <w:pPr>
              <w:pStyle w:val="TableText"/>
            </w:pPr>
            <w:r>
              <w:t>Mean change from baseline in FEV₁ at Week 24.</w:t>
            </w:r>
          </w:p>
        </w:tc>
      </w:tr>
      <w:tr>
        <w:tc>
          <w:tcPr>
            <w:tcW w:type="dxa" w:w="3120"/>
          </w:tcPr>
          <w:p>
            <w:pPr>
              <w:pStyle w:val="TableText"/>
            </w:pPr>
            <w:r>
              <w:t>Secondary</w:t>
            </w:r>
          </w:p>
        </w:tc>
        <w:tc>
          <w:tcPr>
            <w:tcW w:type="dxa" w:w="3120"/>
          </w:tcPr>
          <w:p>
            <w:pPr>
              <w:pStyle w:val="TableText"/>
            </w:pPr>
            <w:r>
              <w:t>Evaluate changes in asthma symptom control.</w:t>
            </w:r>
          </w:p>
        </w:tc>
        <w:tc>
          <w:tcPr>
            <w:tcW w:type="dxa" w:w="3120"/>
          </w:tcPr>
          <w:p>
            <w:pPr>
              <w:pStyle w:val="TableText"/>
            </w:pPr>
            <w:r>
              <w:t>Change from baseline in ACQ‑7 score at Week 24.</w:t>
            </w:r>
          </w:p>
        </w:tc>
      </w:tr>
    </w:tbl>
    <w:p>
      <w:r>
        <w:br w:type="page"/>
      </w:r>
    </w:p>
    <w:p>
      <w:pPr>
        <w:pStyle w:val="Heading1"/>
      </w:pPr>
      <w:r>
        <w:t>4 STUDY DESIGN</w:t>
      </w:r>
    </w:p>
    <w:p>
      <w:pPr>
        <w:pStyle w:val="NormalText"/>
      </w:pPr>
      <w:r>
        <w:t xml:space="preserve">If a prohibited treatment listed in Table 5-1 is used during the study, the patient must discontinue use of the prohibited treatment if he/she wishes to continue in the study. At the discretion of the investigator, if the patient’s use of a prohibited treatment presents undue safety risk for the patient, he/she should be discontinued from study treatment as per Section 5.5.9. </w:t>
      </w:r>
    </w:p>
    <w:p>
      <w:pPr>
        <w:pStyle w:val="Heading2"/>
      </w:pPr>
      <w:r>
        <w:t>4.1 Overall Design</w:t>
      </w:r>
    </w:p>
    <w:p>
      <w:pPr>
        <w:pStyle w:val="NormalText"/>
      </w:pPr>
      <w:r>
        <w:t xml:space="preserve">Topical treatment that is likely to impact signs  </w:t>
        <w:br/>
        <w:t xml:space="preserve">and symptoms of psoriasis (e.g. vitamin D  </w:t>
        <w:br/>
        <w:t xml:space="preserve">analogues,  </w:t>
        <w:br/>
        <w:t xml:space="preserve">- 2 weeks  </w:t>
        <w:br/>
        <w:t xml:space="preserve">- 2 weeks  </w:t>
        <w:br/>
        <w:t xml:space="preserve">- pimecrolimus,  </w:t>
        <w:br/>
        <w:t xml:space="preserve">- retinoids,  </w:t>
        <w:br/>
        <w:t xml:space="preserve">- salicylvaseline, salicylic acid, lactic acid,  </w:t>
        <w:br/>
        <w:t xml:space="preserve">tacrolimus, tar, urea alpha-hydroxy or fruit  </w:t>
        <w:br/>
        <w:t xml:space="preserve">acids) </w:t>
      </w:r>
    </w:p>
    <w:p>
      <w:pPr>
        <w:pStyle w:val="Heading2"/>
      </w:pPr>
      <w:r>
        <w:t>4.2 Scientific Rationale for Study Design</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w:t>
        <w:br/>
        <w:t xml:space="preserve">Patients may voluntarily withdraw from the study for any reason at any time. They may be considered withdrawn if they state an intention to withdraw, fail to return for visits, or become lost to follow-up for any other reason.  </w:t>
        <w:br/>
        <w:t xml:space="preserve">If premature withdrawal occurs for any reason, the investigator must make every effort to determine the primary reason for a patient’s premature withdrawal from the study and record this information.   </w:t>
      </w:r>
    </w:p>
    <w:p>
      <w:pPr>
        <w:pStyle w:val="Heading2"/>
      </w:pPr>
      <w:r>
        <w:t>4.3 Justification for Dose</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br/>
        <w:t xml:space="preserve">4. Use of prohibited treatment as per Table 5-1  </w:t>
        <w:br/>
        <w:t xml:space="preserve">Any other protocol deviation that results in a significant risk to the patient’s safety  </w:t>
      </w:r>
    </w:p>
    <w:p>
      <w:pPr>
        <w:pStyle w:val="Heading2"/>
      </w:pPr>
      <w:r>
        <w:t>4.4 End of Study Definition</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r>
        <w:br w:type="page"/>
      </w:r>
    </w:p>
    <w:p>
      <w:pPr>
        <w:pStyle w:val="Heading1"/>
      </w:pPr>
      <w:r>
        <w:t>5 STUDY POPULATION</w:t>
      </w:r>
    </w:p>
    <w:p>
      <w:pPr>
        <w:pStyle w:val="NormalText"/>
      </w:pPr>
      <w:r>
        <w:t xml:space="preserve">The core study will have a duration of 24 weeks. Following the evaluation of psoriasis severity at week 16, patients achieving PASI 50 response will be eligible to continue on the study treatment for an additional 8 weeks. Willing patients reaching at least a PASI 75 response during the core study will be eligible to enter an extension treatment period of an additional 48 weeks. The investigator must provide follow-up medical care for all patients who are prematurely withdrawn from the study, or must refer them for appropriate ongoing care.   </w:t>
      </w:r>
    </w:p>
    <w:p>
      <w:pPr>
        <w:pStyle w:val="Heading2"/>
      </w:pPr>
      <w:r>
        <w:t>5.1 Inclusion Criteria</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5.2 Exclusion Criteria</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5.3 Lifestyle Considerations</w:t>
      </w:r>
    </w:p>
    <w:p>
      <w:pPr>
        <w:pStyle w:val="NormalText"/>
      </w:pPr>
      <w:r>
        <w:t xml:space="preserve">Medication labels will be in the local language and comply with the legal requirements of each country. The investigator must maintain an accurate record of the shipment and dispensing of investigational treatment in a drug accountability log. Monitoring of drug accountability will be performed by the field monitor during site visits and at the completion of the trial.   </w:t>
      </w:r>
    </w:p>
    <w:p>
      <w:pPr>
        <w:pStyle w:val="Heading2"/>
      </w:pPr>
      <w:r>
        <w:t>5.4 Screen Failures</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pPr>
        <w:pStyle w:val="Heading2"/>
      </w:pPr>
      <w:r>
        <w:t>5.5 Strategies for Recruitment and Retention</w:t>
      </w:r>
    </w:p>
    <w:p>
      <w:pPr>
        <w:pStyle w:val="NormalText"/>
      </w:pPr>
      <w:r>
        <w:t xml:space="preserve">At the conclusion of the study, and as appropriate during the course of the study, the investigator will return all unused investigational treatment, packaging, drug labels, and a copy of the completed drug accountability log to the Novartis monitor or to the Novartis address provided in the investigator folder at each site. Handling of other study treatment: not applicable.  </w:t>
      </w:r>
    </w:p>
    <w:p>
      <w:r>
        <w:br w:type="page"/>
      </w:r>
    </w:p>
    <w:p>
      <w:pPr>
        <w:pStyle w:val="Heading1"/>
      </w:pPr>
      <w:r>
        <w:t>6 STUDY INTERVENTION</w:t>
      </w:r>
    </w:p>
    <w:p>
      <w:pPr>
        <w:pStyle w:val="NormalText"/>
      </w:pPr>
      <w:r>
        <w:t xml:space="preserve">All patients will receive Secukinumab 300 mg subcutaneously using the Phase III regimen: 300 mg (two 150 mg injections) a week for the first five weeks (visits 3-7), and once every 4 weeks thereafter (visits 8-12). Patients proceeding to the extension period will self-administer  </w:t>
        <w:br/>
        <w:t xml:space="preserve">treatment (two 150 mg injections) once every 4 weeks for an additional 48 weeks. The study treatment solution must be injected subcutaneously in non-affected areas of the skin. Following the evaluation of psoriasis severity at 16 weeks, patients achieving a PASI 50 response will be eligible to continue on the study treatment for another 8 weeks.  </w:t>
        <w:br/>
        <w:t xml:space="preserve"> </w:t>
        <w:br/>
        <w:t xml:space="preserve">Their PASI score will be evaluated at 24 weeks. Willing patients reaching at least a PASI 75 response at the end of the 24-week core study will enter an extension treatment period of an additional 48 weeks. All dates of injections given to the subject during the study must be recorded on the Dosage  </w:t>
        <w:br/>
        <w:t xml:space="preserve">Administration Record e-CRF. </w:t>
      </w:r>
    </w:p>
    <w:p>
      <w:pPr>
        <w:pStyle w:val="Heading2"/>
      </w:pPr>
      <w:r>
        <w:t>6.1 Study Intervention(s) Administration</w:t>
      </w:r>
    </w:p>
    <w:p>
      <w:pPr>
        <w:pStyle w:val="NormalText"/>
      </w:pPr>
      <w:r>
        <w:t xml:space="preserve">The investigator may prescribe any medications and/or supportive care during the study based on clinical needs. Use of rescue medication must be recorded on the Concomitant medications/Significant non-drug therapies/Dose Administration Record in the Electronic Case Report Form (eCRF). </w:t>
      </w:r>
    </w:p>
    <w:p>
      <w:pPr>
        <w:pStyle w:val="Heading2"/>
      </w:pPr>
      <w:r>
        <w:t>6.2 Study Intervention Description</w:t>
      </w:r>
    </w:p>
    <w:p>
      <w:pPr>
        <w:pStyle w:val="NormalText"/>
      </w:pPr>
      <w:r>
        <w:t xml:space="preserve">Investigational treatment must be received by a designated person at the study site, handled and stored safely and properly, and kept in a secured location to which only the investigator and designees have access. Upon receipt, all investigational treatment should be stored according to the instructions specified on the labels. Clinical supplies are to be dispensed only in accordance with the protocol. </w:t>
      </w:r>
    </w:p>
    <w:p>
      <w:pPr>
        <w:pStyle w:val="Heading2"/>
      </w:pPr>
      <w:r>
        <w:t>6.3 Dosing and Administration</w:t>
      </w:r>
    </w:p>
    <w:p>
      <w:pPr>
        <w:pStyle w:val="NormalText"/>
      </w:pPr>
      <w:r>
        <w:t xml:space="preserve">The investigator should instruct the patient to notify the study site about any new medications he/she takes after being enrolled into the study. All medications, procedures and significant non-drug therapies (including physical therapy and blood transfusions) administered after the patient was enrolled into the study must be recorded.  </w:t>
      </w:r>
    </w:p>
    <w:p>
      <w:pPr>
        <w:pStyle w:val="Heading2"/>
      </w:pPr>
      <w:r>
        <w:t>6.4 Preparation/Handling/Storage/Accountability</w:t>
      </w:r>
    </w:p>
    <w:p>
      <w:pPr>
        <w:pStyle w:val="NormalText"/>
      </w:pPr>
      <w:r>
        <w:t xml:space="preserve">Patients may voluntarily withdraw from the study for any reason at any time. They may be considered withdrawn if they state an intention to withdraw, fail to return for visits, or become lost to follow-up for any other reason. If premature withdrawal occurs for any reason, the investigator must make every effort to determine the primary reason for a patient’s premature withdrawal from the study and record this information.   </w:t>
      </w:r>
    </w:p>
    <w:p>
      <w:pPr>
        <w:pStyle w:val="Heading2"/>
      </w:pPr>
      <w:r>
        <w:t>6.5 Acquisition and accountability</w:t>
      </w:r>
    </w:p>
    <w:p>
      <w:pPr>
        <w:pStyle w:val="NormalText"/>
      </w:pPr>
      <w:r>
        <w:t xml:space="preserve">The investigator should discontinue the investigational treatment for a given patient and/or withdraw the patient from the study if, on balance, he/she believes that continuation would be detrimental to the patient’s well-being. </w:t>
      </w:r>
    </w:p>
    <w:p>
      <w:pPr>
        <w:pStyle w:val="Heading2"/>
      </w:pPr>
      <w:r>
        <w:t>6.6 Formulation, Appearance, Packaging, and Labeling</w:t>
      </w:r>
    </w:p>
    <w:p>
      <w:pPr>
        <w:pStyle w:val="NormalText"/>
      </w:pPr>
      <w:r>
        <w:t xml:space="preserve">The investigational treatment must be discontinued under the following circumstances:   </w:t>
        <w:br/>
        <w:t xml:space="preserve">1) Withdrawal of informed consent  </w:t>
        <w:br/>
        <w:t xml:space="preserve">2) Severe adverse events that, in the opinion of the Investigator, warrant discontinuation  </w:t>
        <w:br/>
        <w:t xml:space="preserve">3) Pregnancy  </w:t>
      </w:r>
    </w:p>
    <w:p>
      <w:pPr>
        <w:pStyle w:val="Heading2"/>
      </w:pPr>
      <w:r>
        <w:t>6.7 Product Storage and Stability</w:t>
      </w:r>
    </w:p>
    <w:p>
      <w:pPr>
        <w:pStyle w:val="NormalText"/>
      </w:pPr>
      <w:r>
        <w:t xml:space="preserve">Patients that do not achieve PASI 50 at week 16 will terminate treatment. For patients who are lost to follow-up (i.e. those patients whose status is unclear because they fail to appear for study visits without stating an intention to withdraw), the investigator should show "due diligence" by documenting the steps taken to contact the patient, e.g. dates of telephone calls, registered letters in the source, etc. Patients who are prematurely withdrawn from the study will not be replaced by an equal number of newly enrolled patients. </w:t>
      </w:r>
    </w:p>
    <w:p>
      <w:pPr>
        <w:pStyle w:val="Heading2"/>
      </w:pPr>
      <w:r>
        <w:t>6.8 Preparation</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r>
    </w:p>
    <w:p>
      <w:pPr>
        <w:pStyle w:val="Heading2"/>
      </w:pPr>
      <w:r>
        <w:t>6.9 Measures to Minimize Bias: Randomization and Blinding</w:t>
      </w:r>
    </w:p>
    <w:p>
      <w:pPr>
        <w:pStyle w:val="NormalText"/>
      </w:pPr>
      <w: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6.10 Study Intervention Compliance</w:t>
      </w:r>
    </w:p>
    <w:p>
      <w:pPr>
        <w:pStyle w:val="NormalText"/>
      </w:pPr>
      <w:r>
        <w:t xml:space="preserve">HLA-Cw6 determination will be performed at screening for patients who have provided written informed consent. A central laboratory will be used to determine Cw6. Patients will thereafter be stratified into the two cohorts. TNFα-308 polymorphism will be centrally determined at the same time.  </w:t>
      </w:r>
    </w:p>
    <w:p>
      <w:pPr>
        <w:pStyle w:val="Heading2"/>
      </w:pPr>
      <w:r>
        <w:t>6.11 Concomitant Therapy</w:t>
      </w:r>
    </w:p>
    <w:p>
      <w:pPr>
        <w:pStyle w:val="NormalText"/>
      </w:pPr>
      <w:r>
        <w:t xml:space="preserve">The study can be terminated at any time for any reason by Novartis. Should this be necessary, the patient should be seen as soon as possible and treated as a prematurely withdrawn patient. The investigator may be informed of additional procedures to be followed in order to ensure that adequate consideration is given to protect the patient’s interests. 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pPr>
        <w:pStyle w:val="Heading2"/>
      </w:pPr>
      <w:r>
        <w:t>6.12 Rescue Medicine</w:t>
      </w:r>
    </w:p>
    <w:p>
      <w:pPr>
        <w:pStyle w:val="NormalText"/>
      </w:pPr>
      <w:r>
        <w:t xml:space="preserve">The investigator will be responsible for informing Ethics Committees (ECs) of the early termination of the trial.  </w:t>
        <w:br/>
        <w:t xml:space="preserve">The study extension can be terminated by Novartis for any reason after a period of at least 12 weeks. Termination may occur only in selected regions where the drug is commercially available; this decision will be made on a region-by-region basis, as for some regions the study will continue as planned even though secukinumab may have become commercially available. </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A Phase II, Randomized, Double‑Blind, Placebo‑Controlled Study  – Version v1.0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 xml:space="preserve">A Phase II, Randomized, Double‑Blind, Placebo‑Controlled Study </w:t>
          </w:r>
        </w:p>
      </w:tc>
      <w:tc>
        <w:tcPr>
          <w:tcW w:type="dxa" w:w="4535"/>
        </w:tcPr>
        <w:p>
          <w:pPr>
            <w:jc w:val="right"/>
          </w:pPr>
          <w:r>
            <w:t>Version v1.0</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