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Phase II, Randomized, Double‑Blind, Placebo‑Controlled Study</w:t>
      </w:r>
    </w:p>
    <w:p>
      <w:r>
        <w:br/>
      </w:r>
    </w:p>
    <w:p>
      <w:pPr>
        <w:spacing w:line="276" w:lineRule="auto"/>
        <w:jc w:val="center"/>
      </w:pPr>
      <w:r>
        <w:rPr>
          <w:b/>
          <w:sz w:val="24"/>
        </w:rPr>
        <w:t xml:space="preserve">Protocol Number: </w:t>
      </w:r>
      <w:r>
        <w:rPr>
          <w:sz w:val="24"/>
        </w:rPr>
        <w:t>PROTO‐001_v1</w:t>
      </w:r>
    </w:p>
    <w:p>
      <w:pPr>
        <w:spacing w:line="276" w:lineRule="auto"/>
        <w:jc w:val="center"/>
      </w:pPr>
      <w:r>
        <w:rPr>
          <w:b/>
          <w:sz w:val="24"/>
        </w:rPr>
        <w:t xml:space="preserve">National Clinical Trial (NCT) Identified Number: </w:t>
      </w:r>
      <w:r>
        <w:rPr>
          <w:sz w:val="24"/>
        </w:rPr>
      </w:r>
    </w:p>
    <w:p>
      <w:pPr>
        <w:spacing w:line="276" w:lineRule="auto"/>
        <w:jc w:val="center"/>
      </w:pPr>
      <w:r>
        <w:rPr>
          <w:b/>
          <w:sz w:val="24"/>
        </w:rPr>
        <w:t xml:space="preserve">Principal Investigator: </w:t>
      </w:r>
      <w:r>
        <w:rPr>
          <w:sz w:val="24"/>
        </w:rPr>
      </w:r>
    </w:p>
    <w:p>
      <w:pPr>
        <w:spacing w:line="276" w:lineRule="auto"/>
        <w:jc w:val="center"/>
      </w:pPr>
      <w:r>
        <w:rPr>
          <w:b/>
          <w:sz w:val="24"/>
        </w:rPr>
        <w:t xml:space="preserve">IND/IDE Sponsor: </w:t>
      </w:r>
      <w:r>
        <w:rPr>
          <w:sz w:val="24"/>
        </w:rPr>
      </w:r>
    </w:p>
    <w:p>
      <w:pPr>
        <w:spacing w:line="276" w:lineRule="auto"/>
        <w:jc w:val="center"/>
      </w:pPr>
      <w:r>
        <w:rPr>
          <w:b/>
          <w:sz w:val="24"/>
        </w:rPr>
        <w:t xml:space="preserve">Funded by: </w:t>
      </w:r>
      <w:r>
        <w:rPr>
          <w:sz w:val="24"/>
        </w:rPr>
      </w:r>
    </w:p>
    <w:p>
      <w:pPr>
        <w:spacing w:line="276" w:lineRule="auto"/>
        <w:jc w:val="center"/>
      </w:pPr>
      <w:r>
        <w:rPr>
          <w:b/>
          <w:sz w:val="24"/>
        </w:rPr>
        <w:t xml:space="preserve">Version Number: </w:t>
      </w:r>
      <w:r>
        <w:rPr>
          <w:sz w:val="24"/>
        </w:rPr>
        <w:t>v1.1</w:t>
      </w:r>
    </w:p>
    <w:p>
      <w:pPr>
        <w:spacing w:line="276" w:lineRule="auto"/>
        <w:jc w:val="center"/>
      </w:pPr>
      <w:r>
        <w:rPr>
          <w:b/>
          <w:sz w:val="24"/>
        </w:rPr>
        <w:t xml:space="preserve">Date: </w:t>
      </w:r>
      <w:r>
        <w:rPr>
          <w:sz w:val="24"/>
        </w:rPr>
        <w:t>2026-02-22</w:t>
      </w:r>
    </w:p>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t>Test Protocol with ‑ Non-Breaking Hyphen</w:t>
            </w:r>
          </w:p>
        </w:tc>
      </w:tr>
      <w:tr>
        <w:tc>
          <w:tcPr>
            <w:tcW w:type="dxa" w:w="4680"/>
          </w:tcPr>
          <w:p>
            <w:r>
              <w:rPr>
                <w:b/>
              </w:rPr>
              <w:t>Protocol Number:</w:t>
            </w:r>
          </w:p>
        </w:tc>
        <w:tc>
          <w:tcPr>
            <w:tcW w:type="dxa" w:w="4680"/>
          </w:tcPr>
          <w:p>
            <w:r>
              <w:t>P123_UnderScore_Test</w:t>
            </w:r>
          </w:p>
        </w:tc>
      </w:tr>
      <w:tr>
        <w:tc>
          <w:tcPr>
            <w:tcW w:type="dxa" w:w="4680"/>
          </w:tcPr>
          <w:p>
            <w:r>
              <w:rPr>
                <w:b/>
              </w:rPr>
              <w:t>IMP:</w:t>
            </w:r>
          </w:p>
        </w:tc>
        <w:tc>
          <w:tcPr>
            <w:tcW w:type="dxa" w:w="4680"/>
          </w:tcPr>
          <w:p>
            <w:r>
              <w:t>Drug‑X</w:t>
            </w:r>
          </w:p>
        </w:tc>
      </w:tr>
      <w:tr>
        <w:tc>
          <w:tcPr>
            <w:tcW w:type="dxa" w:w="4680"/>
          </w:tcPr>
          <w:p>
            <w:r>
              <w:rPr>
                <w:b/>
              </w:rPr>
              <w:t>Indication:</w:t>
            </w:r>
          </w:p>
        </w:tc>
        <w:tc>
          <w:tcPr>
            <w:tcW w:type="dxa" w:w="4680"/>
          </w:tcPr>
          <w:p>
            <w:r>
              <w:t>Asthma‐Severe</w:t>
            </w:r>
          </w:p>
        </w:tc>
      </w:tr>
      <w:tr>
        <w:tc>
          <w:tcPr>
            <w:tcW w:type="dxa" w:w="4680"/>
          </w:tcPr>
          <w:p>
            <w:r>
              <w:rPr>
                <w:b/>
              </w:rPr>
              <w:t>Clinical Phase:</w:t>
            </w:r>
          </w:p>
        </w:tc>
        <w:tc>
          <w:tcPr>
            <w:tcW w:type="dxa" w:w="4680"/>
          </w:tcPr>
          <w:p>
            <w:r>
              <w:t>Phase—II</w:t>
            </w:r>
          </w:p>
        </w:tc>
      </w:tr>
      <w:tr>
        <w:tc>
          <w:tcPr>
            <w:tcW w:type="dxa" w:w="4680"/>
          </w:tcPr>
          <w:p>
            <w:r>
              <w:rPr>
                <w:b/>
              </w:rPr>
              <w:t>Investigators:</w:t>
            </w:r>
          </w:p>
        </w:tc>
        <w:tc>
          <w:tcPr>
            <w:tcW w:type="dxa" w:w="4680"/>
          </w:tcPr>
          <w:p>
            <w:r>
              <w:t>Dr. Smith PhD</w:t>
            </w:r>
          </w:p>
        </w:tc>
      </w:tr>
      <w:tr>
        <w:tc>
          <w:tcPr>
            <w:tcW w:type="dxa" w:w="4680"/>
          </w:tcPr>
          <w:p>
            <w:r>
              <w:rPr>
                <w:b/>
              </w:rPr>
              <w:t>Coordinating Investigator:</w:t>
            </w:r>
          </w:p>
        </w:tc>
        <w:tc>
          <w:tcPr>
            <w:tcW w:type="dxa" w:w="4680"/>
          </w:tcPr>
          <w:p>
            <w:r/>
          </w:p>
        </w:tc>
      </w:tr>
      <w:tr>
        <w:tc>
          <w:tcPr>
            <w:tcW w:type="dxa" w:w="4680"/>
          </w:tcPr>
          <w:p>
            <w:r>
              <w:rPr>
                <w:b/>
              </w:rPr>
              <w:t>Expert Committee:</w:t>
            </w:r>
          </w:p>
        </w:tc>
        <w:tc>
          <w:tcPr>
            <w:tcW w:type="dxa" w:w="4680"/>
          </w:tcPr>
          <w:p>
            <w:r/>
          </w:p>
        </w:tc>
      </w:tr>
    </w:tbl>
    <w:p>
      <w:r>
        <w:br/>
      </w:r>
    </w:p>
    <w:p>
      <w:pPr>
        <w:pStyle w:val="Heading2"/>
      </w:pPr>
      <w:r>
        <w:t>GCP Statement</w:t>
      </w:r>
    </w:p>
    <w:p>
      <w:pPr>
        <w:pStyle w:val="NormalText"/>
      </w:pPr>
      <w:r>
        <w:t>This study follows ICH‑GCP guidelines.</w:t>
      </w:r>
    </w:p>
    <w:p>
      <w:pPr>
        <w:pStyle w:val="Heading2"/>
      </w:pPr>
      <w:r>
        <w:t>Approval Statement</w:t>
      </w:r>
    </w:p>
    <w:p>
      <w:pPr>
        <w:pStyle w:val="NormalText"/>
      </w:pPr>
      <w:r>
        <w:t>Approved by the Sponsor‑Board.</w:t>
      </w:r>
    </w:p>
    <w:p>
      <w:pPr>
        <w:pStyle w:val="Heading2"/>
      </w:pPr>
      <w:r>
        <w:t>Sponsor Representatives</w:t>
      </w:r>
    </w:p>
    <w:p>
      <w:r>
        <w:rPr>
          <w:b/>
        </w:rPr>
        <w:t xml:space="preserve">Name: </w:t>
      </w:r>
      <w:r>
        <w:t>Sandeep Kumar</w:t>
      </w:r>
    </w:p>
    <w:p>
      <w:r>
        <w:rPr>
          <w:b/>
        </w:rPr>
        <w:t xml:space="preserve">Title: </w:t>
      </w:r>
      <w:r>
        <w:t>Director</w:t>
      </w:r>
    </w:p>
    <w:p>
      <w:r>
        <w:rPr>
          <w:b/>
        </w:rPr>
        <w:t xml:space="preserve">Organization: </w:t>
      </w:r>
      <w:r>
        <w:t>BioAdvance</w:t>
      </w:r>
    </w:p>
    <w:p>
      <w:r>
        <w:rPr>
          <w:b/>
        </w:rPr>
        <w:t xml:space="preserve">Date: </w:t>
      </w:r>
      <w:r>
        <w:t>22/02/2026</w:t>
      </w:r>
    </w:p>
    <w:p>
      <w:r>
        <w:rPr>
          <w:b/>
        </w:rPr>
        <w:t xml:space="preserve">Signature: </w:t>
      </w:r>
    </w:p>
    <w:p>
      <w:r/>
    </w:p>
    <w:p>
      <w:r>
        <w:rPr>
          <w:b/>
        </w:rPr>
        <w:t>Signature Error: 'utf-8' codec can't decode byte 0xae in position 2: invalid start byte</w:t>
      </w:r>
    </w:p>
    <w:p>
      <w:r>
        <w:rPr>
          <w:b/>
        </w:rPr>
        <w:t xml:space="preserve">Signature: </w:t>
      </w:r>
      <w:r>
        <w:t>____________________</w:t>
      </w:r>
    </w:p>
    <w:p>
      <w:r>
        <w:t>--------------------</w:t>
      </w:r>
    </w:p>
    <w:p>
      <w:pPr>
        <w:pStyle w:val="Heading2"/>
      </w:pPr>
      <w:r>
        <w:t>Investigator Agreement</w:t>
      </w:r>
    </w:p>
    <w:p>
      <w:pPr>
        <w:pStyle w:val="NormalText"/>
      </w:pPr>
    </w:p>
    <w:p>
      <w:r>
        <w:rPr>
          <w:b/>
        </w:rPr>
        <w:t xml:space="preserve">Investigator Name: </w:t>
      </w:r>
      <w:r>
        <w:t>Dr. Mehta</w:t>
      </w:r>
    </w:p>
    <w:p>
      <w:r>
        <w:rPr>
          <w:b/>
        </w:rPr>
        <w:t xml:space="preserve">Title: </w:t>
      </w:r>
      <w:r>
        <w:t>PI</w:t>
      </w:r>
    </w:p>
    <w:p>
      <w:r>
        <w:rPr>
          <w:b/>
        </w:rPr>
        <w:t xml:space="preserve">Facility: </w:t>
      </w:r>
      <w:r>
        <w:t>Medical_Center</w:t>
      </w:r>
    </w:p>
    <w:p>
      <w:r>
        <w:rPr>
          <w:b/>
        </w:rPr>
        <w:t xml:space="preserve">Date: </w:t>
      </w:r>
      <w:r>
        <w:t>22/02/2026</w:t>
      </w:r>
    </w:p>
    <w:p>
      <w:r>
        <w:rPr>
          <w:b/>
        </w:rPr>
        <w:t xml:space="preserve">Signature: </w:t>
      </w:r>
    </w:p>
    <w:p>
      <w:r/>
    </w:p>
    <w:p>
      <w:r>
        <w:rPr>
          <w:b/>
        </w:rPr>
        <w:t>Signature Error: 'utf-8' codec can't decode byte 0xae in position 2: invalid start byte</w:t>
      </w:r>
    </w:p>
    <w:p>
      <w:r>
        <w:rPr>
          <w:b/>
        </w:rPr>
        <w:t xml:space="preserve">Signature: </w:t>
      </w:r>
      <w:r>
        <w:t>____________________</w:t>
      </w:r>
    </w:p>
    <w:p>
      <w:r>
        <w:br w:type="page"/>
      </w:r>
    </w:p>
    <w:p>
      <w:pPr>
        <w:pStyle w:val="Heading1"/>
      </w:pPr>
      <w:r>
        <w:t>1 PROTOCOL SUMMARY</w:t>
      </w:r>
    </w:p>
    <w:p>
      <w:pPr>
        <w:pStyle w:val="Heading2"/>
      </w:pPr>
      <w:r>
        <w:t>1.3 Schedule of Activities (SoA)</w:t>
      </w:r>
    </w:p>
    <w:tbl>
      <w:tblPr>
        <w:tblStyle w:val="TableGrid"/>
        <w:tblW w:type="auto" w:w="0"/>
        <w:tblLook w:firstColumn="1" w:firstRow="1" w:lastColumn="0" w:lastRow="0" w:noHBand="0" w:noVBand="1" w:val="04A0"/>
      </w:tblPr>
      <w:tblGrid>
        <w:gridCol w:w="3120"/>
        <w:gridCol w:w="3120"/>
        <w:gridCol w:w="3120"/>
      </w:tblGrid>
      <w:tr>
        <w:tc>
          <w:tcPr>
            <w:tcW w:type="dxa" w:w="3120"/>
            <w:vAlign w:val="center"/>
          </w:tcPr>
          <w:p>
            <w:r>
              <w:t>Procedures</w:t>
            </w:r>
          </w:p>
        </w:tc>
        <w:tc>
          <w:tcPr>
            <w:tcW w:type="dxa" w:w="3120"/>
            <w:vAlign w:val="center"/>
          </w:tcPr>
          <w:p>
            <w:r>
              <w:t>V1 (Visit1)</w:t>
            </w:r>
          </w:p>
        </w:tc>
        <w:tc>
          <w:tcPr>
            <w:tcW w:type="dxa" w:w="3120"/>
            <w:vAlign w:val="center"/>
          </w:tcPr>
          <w:p>
            <w:r>
              <w:t>V2</w:t>
            </w:r>
          </w:p>
        </w:tc>
      </w:tr>
      <w:tr>
        <w:tc>
          <w:tcPr>
            <w:tcW w:type="dxa" w:w="3120"/>
            <w:vAlign w:val="center"/>
          </w:tcPr>
          <w:p>
            <w:r>
              <w:t>Screening‑Procedure</w:t>
            </w:r>
          </w:p>
        </w:tc>
        <w:tc>
          <w:tcPr>
            <w:tcW w:type="dxa" w:w="3120"/>
            <w:vAlign w:val="center"/>
          </w:tcPr>
          <w:p>
            <w:r>
              <w:t>X</w:t>
            </w:r>
          </w:p>
        </w:tc>
        <w:tc>
          <w:tcPr>
            <w:tcW w:type="dxa" w:w="3120"/>
            <w:vAlign w:val="center"/>
          </w:tcPr>
          <w:p>
            <w:r/>
          </w:p>
        </w:tc>
      </w:tr>
    </w:tbl>
    <w:p>
      <w:r>
        <w:br w:type="page"/>
      </w:r>
    </w:p>
    <w:p>
      <w:pPr>
        <w:pStyle w:val="Heading1"/>
      </w:pPr>
      <w:r>
        <w:t>2 INTRODUCTION</w:t>
      </w:r>
    </w:p>
    <w:p>
      <w:pPr>
        <w:pStyle w:val="Heading2"/>
      </w:pPr>
      <w:r>
        <w:t>2.1 Study Rationale</w:t>
      </w:r>
    </w:p>
    <w:p>
      <w:pPr>
        <w:pStyle w:val="NormalText"/>
      </w:pPr>
      <w:r>
        <w:t>More content with   non-breaking space and _ underscore.</w:t>
      </w:r>
    </w:p>
    <w:p>
      <w:pPr>
        <w:pStyle w:val="Heading2"/>
      </w:pPr>
      <w:r>
        <w:t>2.2 Background</w:t>
      </w:r>
    </w:p>
    <w:p>
      <w:pPr>
        <w:pStyle w:val="Heading2"/>
      </w:pPr>
      <w:r>
        <w:t>2.3 Risk/Benefit Assessment</w:t>
      </w:r>
    </w:p>
    <w:p>
      <w:pPr>
        <w:pStyle w:val="Heading3"/>
      </w:pPr>
      <w:r>
        <w:t>2.3.1 Known Potential Risks</w:t>
      </w:r>
    </w:p>
    <w:p>
      <w:pPr>
        <w:pStyle w:val="Heading3"/>
      </w:pPr>
      <w:r>
        <w:t>2.3.2 Known Potential Benefits</w:t>
      </w:r>
    </w:p>
    <w:p>
      <w:pPr>
        <w:pStyle w:val="Heading3"/>
      </w:pPr>
      <w:r>
        <w:t>2.3.3 Assessment of Potential Risks and Benefits</w:t>
      </w:r>
    </w:p>
    <w:p>
      <w:r>
        <w:br w:type="page"/>
      </w:r>
    </w:p>
    <w:p>
      <w:pPr>
        <w:pStyle w:val="Heading1"/>
      </w:pPr>
      <w:r>
        <w:t>3 OBJECTIVES AND ENDPOINTS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A Phase II, Randomized, Double‑Blind, Placebo‑Controlled Study – Version v1.1 22 Feb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A Phase II, Randomized, Double‑Blind, Placebo‑Controlled Study</w:t>
          </w:r>
        </w:p>
      </w:tc>
      <w:tc>
        <w:tcPr>
          <w:tcW w:type="dxa" w:w="4535"/>
        </w:tcPr>
        <w:p>
          <w:pPr>
            <w:jc w:val="right"/>
          </w:pPr>
          <w:r>
            <w:t>Version v1.1</w:t>
            <w:br/>
          </w:r>
          <w:r>
            <w:t>22 Feb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