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Phase II, Randomized, Double‑Blind, Placebo‑Controlled Study</w:t>
      </w:r>
    </w:p>
    <w:p>
      <w:r>
        <w:br/>
      </w:r>
    </w:p>
    <w:p>
      <w:pPr>
        <w:spacing w:line="276" w:lineRule="auto"/>
        <w:jc w:val="center"/>
      </w:pPr>
      <w:r>
        <w:rPr>
          <w:b/>
          <w:sz w:val="24"/>
        </w:rPr>
        <w:t xml:space="preserve">Protocol Number: </w:t>
      </w:r>
      <w:r>
        <w:rPr>
          <w:sz w:val="24"/>
        </w:rPr>
        <w:t>PROTO‐001_v1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v1.1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with ‑ Non-Breaking Hyphen</w:t>
            </w:r>
          </w:p>
        </w:tc>
      </w:tr>
      <w:tr>
        <w:tc>
          <w:tcPr>
            <w:tcW w:type="dxa" w:w="4680"/>
          </w:tcPr>
          <w:p>
            <w:r>
              <w:rPr>
                <w:b/>
              </w:rPr>
              <w:t>Protocol Number:</w:t>
            </w:r>
          </w:p>
        </w:tc>
        <w:tc>
          <w:tcPr>
            <w:tcW w:type="dxa" w:w="4680"/>
          </w:tcPr>
          <w:p>
            <w:r>
              <w:t>P123_UnderScore_Test</w:t>
            </w:r>
          </w:p>
        </w:tc>
      </w:tr>
      <w:tr>
        <w:tc>
          <w:tcPr>
            <w:tcW w:type="dxa" w:w="4680"/>
          </w:tcPr>
          <w:p>
            <w:r>
              <w:rPr>
                <w:b/>
              </w:rPr>
              <w:t>IMP:</w:t>
            </w:r>
          </w:p>
        </w:tc>
        <w:tc>
          <w:tcPr>
            <w:tcW w:type="dxa" w:w="4680"/>
          </w:tcPr>
          <w:p>
            <w:r>
              <w:t>Drug‑X</w:t>
            </w:r>
          </w:p>
        </w:tc>
      </w:tr>
      <w:tr>
        <w:tc>
          <w:tcPr>
            <w:tcW w:type="dxa" w:w="4680"/>
          </w:tcPr>
          <w:p>
            <w:r>
              <w:rPr>
                <w:b/>
              </w:rPr>
              <w:t>Indication:</w:t>
            </w:r>
          </w:p>
        </w:tc>
        <w:tc>
          <w:tcPr>
            <w:tcW w:type="dxa" w:w="4680"/>
          </w:tcPr>
          <w:p>
            <w:r>
              <w:t>Asthma‐Severe</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Smith PhD</w:t>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study follows ICH‑GCP guidelines.</w:t>
      </w:r>
    </w:p>
    <w:p>
      <w:pPr>
        <w:pStyle w:val="Heading2"/>
      </w:pPr>
      <w:r>
        <w:t>Approval Statement</w:t>
      </w:r>
    </w:p>
    <w:p>
      <w:pPr>
        <w:pStyle w:val="NormalText"/>
      </w:pPr>
      <w:r>
        <w:t>Approved by the Sponsor‑Board.</w:t>
      </w:r>
    </w:p>
    <w:p>
      <w:pPr>
        <w:pStyle w:val="Heading2"/>
      </w:pPr>
      <w:r>
        <w:t>Sponsor Representatives</w:t>
      </w:r>
    </w:p>
    <w:p>
      <w:r>
        <w:rPr>
          <w:b/>
        </w:rPr>
        <w:t xml:space="preserve">Name: </w:t>
      </w:r>
      <w:r>
        <w:t>Sandeep Kumar</w:t>
      </w:r>
    </w:p>
    <w:p>
      <w:r>
        <w:rPr>
          <w:b/>
        </w:rPr>
        <w:t xml:space="preserve">Title: </w:t>
      </w:r>
      <w:r>
        <w:t>Director</w:t>
      </w:r>
    </w:p>
    <w:p>
      <w:r>
        <w:rPr>
          <w:b/>
        </w:rPr>
        <w:t xml:space="preserve">Organization: </w:t>
      </w:r>
      <w:r>
        <w:t>BioAdvance</w:t>
      </w:r>
    </w:p>
    <w:p>
      <w:r>
        <w:rPr>
          <w:b/>
        </w:rPr>
        <w:t xml:space="preserve">Date: </w:t>
      </w:r>
      <w:r>
        <w:t>22/02/2026</w:t>
      </w:r>
    </w:p>
    <w:p>
      <w:r>
        <w:rPr>
          <w:b/>
        </w:rPr>
        <w:t xml:space="preserve">Signature: </w:t>
      </w:r>
    </w:p>
    <w:p>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371600"/>
                    </a:xfrm>
                    <a:prstGeom prst="rect"/>
                  </pic:spPr>
                </pic:pic>
              </a:graphicData>
            </a:graphic>
          </wp:inline>
        </w:drawing>
      </w:r>
    </w:p>
    <w:p>
      <w:r>
        <w:t>--------------------</w:t>
      </w:r>
    </w:p>
    <w:p>
      <w:pPr>
        <w:pStyle w:val="Heading2"/>
      </w:pPr>
      <w:r>
        <w:t>Investigator Agreement</w:t>
      </w:r>
    </w:p>
    <w:p>
      <w:pPr>
        <w:pStyle w:val="NormalText"/>
      </w:pPr>
    </w:p>
    <w:p>
      <w:r>
        <w:rPr>
          <w:b/>
        </w:rPr>
        <w:t xml:space="preserve">Investigator Name: </w:t>
      </w:r>
      <w:r>
        <w:t>Dr. Mehta</w:t>
      </w:r>
    </w:p>
    <w:p>
      <w:r>
        <w:rPr>
          <w:b/>
        </w:rPr>
        <w:t xml:space="preserve">Title: </w:t>
      </w:r>
      <w:r>
        <w:t>PI</w:t>
      </w:r>
    </w:p>
    <w:p>
      <w:r>
        <w:rPr>
          <w:b/>
        </w:rPr>
        <w:t xml:space="preserve">Facility: </w:t>
      </w:r>
      <w:r>
        <w:t>Medical_Center</w:t>
      </w:r>
    </w:p>
    <w:p>
      <w:r>
        <w:rPr>
          <w:b/>
        </w:rPr>
        <w:t xml:space="preserve">Date: </w:t>
      </w:r>
      <w:r>
        <w:t>22/02/2026</w:t>
      </w:r>
    </w:p>
    <w:p>
      <w:r>
        <w:rPr>
          <w:b/>
        </w:rPr>
        <w:t xml:space="preserve">Signature: </w:t>
      </w:r>
    </w:p>
    <w:p>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371600"/>
                    </a:xfrm>
                    <a:prstGeom prst="rect"/>
                  </pic:spPr>
                </pic:pic>
              </a:graphicData>
            </a:graphic>
          </wp:inline>
        </w:drawing>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t>Procedures</w:t>
            </w:r>
          </w:p>
        </w:tc>
        <w:tc>
          <w:tcPr>
            <w:tcW w:type="dxa" w:w="3120"/>
            <w:vAlign w:val="center"/>
          </w:tcPr>
          <w:p>
            <w:r>
              <w:t>V1 (Visit1)</w:t>
            </w:r>
          </w:p>
        </w:tc>
        <w:tc>
          <w:tcPr>
            <w:tcW w:type="dxa" w:w="3120"/>
            <w:vAlign w:val="center"/>
          </w:tcPr>
          <w:p>
            <w:r>
              <w:t>V2</w:t>
            </w:r>
          </w:p>
        </w:tc>
      </w:tr>
      <w:tr>
        <w:tc>
          <w:tcPr>
            <w:tcW w:type="dxa" w:w="3120"/>
            <w:vAlign w:val="center"/>
          </w:tcPr>
          <w:p>
            <w:r>
              <w:t>Screening‑Procedure</w:t>
            </w:r>
          </w:p>
        </w:tc>
        <w:tc>
          <w:tcPr>
            <w:tcW w:type="dxa" w:w="3120"/>
            <w:vAlign w:val="center"/>
          </w:tcPr>
          <w:p>
            <w:r>
              <w:t>X</w:t>
            </w:r>
          </w:p>
        </w:tc>
        <w:tc>
          <w:tcPr>
            <w:tcW w:type="dxa" w:w="3120"/>
            <w:vAlign w:val="center"/>
          </w:tcPr>
          <w:p>
            <w:r/>
          </w:p>
        </w:tc>
      </w:tr>
    </w:tbl>
    <w:p>
      <w:r>
        <w:br w:type="page"/>
      </w:r>
    </w:p>
    <w:p>
      <w:pPr>
        <w:pStyle w:val="Heading1"/>
      </w:pPr>
      <w:r>
        <w:t>2 INTRODUCTION</w:t>
      </w:r>
    </w:p>
    <w:p>
      <w:pPr>
        <w:pStyle w:val="Heading2"/>
      </w:pPr>
      <w:r>
        <w:t>2.1 Study Rationale</w:t>
      </w:r>
    </w:p>
    <w:p>
      <w:pPr>
        <w:pStyle w:val="NormalText"/>
      </w:pPr>
      <w:r>
        <w:t>More content with   non-breaking space and _ underscore.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A Phase II, Randomized, Double‑Blind, Placebo‑Controlled Study</w:t>
          </w:r>
        </w:p>
      </w:tc>
      <w:tc>
        <w:tcPr>
          <w:tcW w:type="dxa" w:w="4535"/>
        </w:tcPr>
        <w:p>
          <w:pPr>
            <w:jc w:val="right"/>
          </w:pPr>
          <w:r>
            <w:t>Version v1.1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