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43685" w14:textId="77777777" w:rsidR="00EB1A1B" w:rsidRDefault="0094337D">
      <w:pPr>
        <w:spacing w:after="188"/>
        <w:ind w:right="460"/>
        <w:jc w:val="right"/>
      </w:pPr>
      <w:r>
        <w:rPr>
          <w:rFonts w:ascii="Times New Roman" w:eastAsia="Times New Roman" w:hAnsi="Times New Roman" w:cs="Times New Roman"/>
          <w:sz w:val="38"/>
        </w:rPr>
        <w:t>School of Computer Science Engineering &amp;</w:t>
      </w:r>
    </w:p>
    <w:p w14:paraId="623C54EC" w14:textId="77777777" w:rsidR="00EB1A1B" w:rsidRDefault="0094337D">
      <w:pPr>
        <w:spacing w:after="262"/>
        <w:ind w:left="5"/>
        <w:jc w:val="center"/>
      </w:pPr>
      <w:r>
        <w:rPr>
          <w:rFonts w:ascii="Times New Roman" w:eastAsia="Times New Roman" w:hAnsi="Times New Roman" w:cs="Times New Roman"/>
          <w:sz w:val="38"/>
        </w:rPr>
        <w:t>Information Science</w:t>
      </w:r>
    </w:p>
    <w:p w14:paraId="3F92BBF3" w14:textId="77777777" w:rsidR="00EB1A1B" w:rsidRDefault="0094337D">
      <w:pPr>
        <w:spacing w:after="293"/>
        <w:ind w:left="564" w:right="2" w:hanging="10"/>
        <w:jc w:val="center"/>
      </w:pPr>
      <w:r>
        <w:rPr>
          <w:rFonts w:ascii="Times New Roman" w:eastAsia="Times New Roman" w:hAnsi="Times New Roman" w:cs="Times New Roman"/>
          <w:sz w:val="30"/>
        </w:rPr>
        <w:t>Report on</w:t>
      </w:r>
    </w:p>
    <w:p w14:paraId="7B41276D" w14:textId="77777777" w:rsidR="00EB1A1B" w:rsidRDefault="0094337D">
      <w:pPr>
        <w:spacing w:after="335"/>
        <w:ind w:left="1365" w:hanging="10"/>
      </w:pPr>
      <w:r>
        <w:rPr>
          <w:rFonts w:ascii="Times New Roman" w:eastAsia="Times New Roman" w:hAnsi="Times New Roman" w:cs="Times New Roman"/>
          <w:sz w:val="30"/>
          <w:u w:val="single" w:color="000000"/>
        </w:rPr>
        <w:t>Analysis and Visualization of Malnutrition Dataset</w:t>
      </w:r>
    </w:p>
    <w:p w14:paraId="0D926BC0" w14:textId="77777777" w:rsidR="00EB1A1B" w:rsidRDefault="0094337D">
      <w:pPr>
        <w:spacing w:after="151"/>
        <w:ind w:left="564" w:hanging="10"/>
        <w:jc w:val="center"/>
      </w:pPr>
      <w:r>
        <w:rPr>
          <w:rFonts w:ascii="Times New Roman" w:eastAsia="Times New Roman" w:hAnsi="Times New Roman" w:cs="Times New Roman"/>
          <w:sz w:val="30"/>
        </w:rPr>
        <w:t>Date : 15-05-2024</w:t>
      </w:r>
    </w:p>
    <w:p w14:paraId="453C4E7C" w14:textId="77777777" w:rsidR="00EB1A1B" w:rsidRDefault="0094337D">
      <w:pPr>
        <w:spacing w:after="335"/>
        <w:ind w:left="564" w:right="3" w:hanging="10"/>
        <w:jc w:val="center"/>
      </w:pPr>
      <w:r>
        <w:rPr>
          <w:rFonts w:ascii="Times New Roman" w:eastAsia="Times New Roman" w:hAnsi="Times New Roman" w:cs="Times New Roman"/>
          <w:sz w:val="30"/>
        </w:rPr>
        <w:t>Time:11.00AM-12.50PM</w:t>
      </w:r>
    </w:p>
    <w:p w14:paraId="359BCB8E" w14:textId="77777777" w:rsidR="00EB1A1B" w:rsidRDefault="0094337D">
      <w:pPr>
        <w:spacing w:after="222"/>
      </w:pPr>
      <w:r>
        <w:rPr>
          <w:rFonts w:ascii="Times New Roman" w:eastAsia="Times New Roman" w:hAnsi="Times New Roman" w:cs="Times New Roman"/>
          <w:sz w:val="30"/>
        </w:rPr>
        <w:t>Course: Data Analysis And Visualization</w:t>
      </w:r>
    </w:p>
    <w:p w14:paraId="34DCDEA1" w14:textId="77777777" w:rsidR="00EB1A1B" w:rsidRDefault="0094337D">
      <w:pPr>
        <w:spacing w:after="3" w:line="265" w:lineRule="auto"/>
        <w:ind w:left="-5" w:right="5014" w:hanging="10"/>
      </w:pPr>
      <w:r>
        <w:rPr>
          <w:rFonts w:ascii="Times New Roman" w:eastAsia="Times New Roman" w:hAnsi="Times New Roman" w:cs="Times New Roman"/>
          <w:sz w:val="30"/>
        </w:rPr>
        <w:t xml:space="preserve">Course Code: CSE2015 </w:t>
      </w:r>
      <w:r>
        <w:rPr>
          <w:rFonts w:ascii="Times New Roman" w:eastAsia="Times New Roman" w:hAnsi="Times New Roman" w:cs="Times New Roman"/>
          <w:sz w:val="26"/>
        </w:rPr>
        <w:t>Activity Conducted By.</w:t>
      </w:r>
    </w:p>
    <w:tbl>
      <w:tblPr>
        <w:tblStyle w:val="TableGrid"/>
        <w:tblW w:w="6427" w:type="dxa"/>
        <w:tblInd w:w="1426" w:type="dxa"/>
        <w:tblCellMar>
          <w:top w:w="49" w:type="dxa"/>
          <w:left w:w="116" w:type="dxa"/>
          <w:bottom w:w="13" w:type="dxa"/>
          <w:right w:w="115" w:type="dxa"/>
        </w:tblCellMar>
        <w:tblLook w:val="04A0" w:firstRow="1" w:lastRow="0" w:firstColumn="1" w:lastColumn="0" w:noHBand="0" w:noVBand="1"/>
      </w:tblPr>
      <w:tblGrid>
        <w:gridCol w:w="989"/>
        <w:gridCol w:w="2619"/>
        <w:gridCol w:w="2819"/>
      </w:tblGrid>
      <w:tr w:rsidR="00EB1A1B" w14:paraId="03FF31D6" w14:textId="77777777">
        <w:trPr>
          <w:trHeight w:val="317"/>
        </w:trPr>
        <w:tc>
          <w:tcPr>
            <w:tcW w:w="989" w:type="dxa"/>
            <w:tcBorders>
              <w:top w:val="single" w:sz="4" w:space="0" w:color="000000"/>
              <w:left w:val="single" w:sz="4" w:space="0" w:color="000000"/>
              <w:bottom w:val="single" w:sz="4" w:space="0" w:color="000000"/>
              <w:right w:val="single" w:sz="4" w:space="0" w:color="000000"/>
            </w:tcBorders>
            <w:shd w:val="clear" w:color="auto" w:fill="D9D9D9"/>
          </w:tcPr>
          <w:p w14:paraId="18558A60" w14:textId="77777777" w:rsidR="00EB1A1B" w:rsidRDefault="0094337D">
            <w:pPr>
              <w:spacing w:after="0"/>
              <w:ind w:left="4"/>
              <w:jc w:val="center"/>
            </w:pPr>
            <w:proofErr w:type="spellStart"/>
            <w:r>
              <w:rPr>
                <w:rFonts w:ascii="Times New Roman" w:eastAsia="Times New Roman" w:hAnsi="Times New Roman" w:cs="Times New Roman"/>
                <w:sz w:val="21"/>
              </w:rPr>
              <w:t>S.No</w:t>
            </w:r>
            <w:proofErr w:type="spellEnd"/>
            <w:r>
              <w:rPr>
                <w:rFonts w:ascii="Times New Roman" w:eastAsia="Times New Roman" w:hAnsi="Times New Roman" w:cs="Times New Roman"/>
                <w:sz w:val="21"/>
              </w:rPr>
              <w:t>.</w:t>
            </w:r>
          </w:p>
        </w:tc>
        <w:tc>
          <w:tcPr>
            <w:tcW w:w="2619" w:type="dxa"/>
            <w:tcBorders>
              <w:top w:val="single" w:sz="4" w:space="0" w:color="000000"/>
              <w:left w:val="single" w:sz="4" w:space="0" w:color="000000"/>
              <w:bottom w:val="single" w:sz="4" w:space="0" w:color="000000"/>
              <w:right w:val="single" w:sz="4" w:space="0" w:color="000000"/>
            </w:tcBorders>
            <w:shd w:val="clear" w:color="auto" w:fill="D9D9D9"/>
          </w:tcPr>
          <w:p w14:paraId="24AA4E15" w14:textId="77777777" w:rsidR="00EB1A1B" w:rsidRDefault="0094337D">
            <w:pPr>
              <w:spacing w:after="0"/>
              <w:ind w:left="4"/>
              <w:jc w:val="center"/>
            </w:pPr>
            <w:r>
              <w:rPr>
                <w:rFonts w:ascii="Times New Roman" w:eastAsia="Times New Roman" w:hAnsi="Times New Roman" w:cs="Times New Roman"/>
                <w:sz w:val="21"/>
              </w:rPr>
              <w:t>Roll No.</w:t>
            </w:r>
          </w:p>
        </w:tc>
        <w:tc>
          <w:tcPr>
            <w:tcW w:w="2819" w:type="dxa"/>
            <w:tcBorders>
              <w:top w:val="single" w:sz="4" w:space="0" w:color="000000"/>
              <w:left w:val="single" w:sz="4" w:space="0" w:color="000000"/>
              <w:bottom w:val="single" w:sz="4" w:space="0" w:color="000000"/>
              <w:right w:val="single" w:sz="4" w:space="0" w:color="000000"/>
            </w:tcBorders>
            <w:shd w:val="clear" w:color="auto" w:fill="D9D9D9"/>
          </w:tcPr>
          <w:p w14:paraId="348240DD" w14:textId="77777777" w:rsidR="00EB1A1B" w:rsidRDefault="0094337D">
            <w:pPr>
              <w:spacing w:after="0"/>
              <w:ind w:right="5"/>
              <w:jc w:val="center"/>
            </w:pPr>
            <w:r>
              <w:rPr>
                <w:rFonts w:ascii="Times New Roman" w:eastAsia="Times New Roman" w:hAnsi="Times New Roman" w:cs="Times New Roman"/>
                <w:sz w:val="21"/>
              </w:rPr>
              <w:t>Name</w:t>
            </w:r>
          </w:p>
        </w:tc>
      </w:tr>
      <w:tr w:rsidR="00EB1A1B" w14:paraId="7A8235B2" w14:textId="77777777">
        <w:trPr>
          <w:trHeight w:val="321"/>
        </w:trPr>
        <w:tc>
          <w:tcPr>
            <w:tcW w:w="989" w:type="dxa"/>
            <w:tcBorders>
              <w:top w:val="single" w:sz="4" w:space="0" w:color="000000"/>
              <w:left w:val="single" w:sz="4" w:space="0" w:color="000000"/>
              <w:bottom w:val="single" w:sz="4" w:space="0" w:color="000000"/>
              <w:right w:val="single" w:sz="4" w:space="0" w:color="000000"/>
            </w:tcBorders>
            <w:vAlign w:val="bottom"/>
          </w:tcPr>
          <w:p w14:paraId="70278028" w14:textId="77777777" w:rsidR="00EB1A1B" w:rsidRDefault="0094337D">
            <w:pPr>
              <w:spacing w:after="0"/>
              <w:ind w:left="3"/>
              <w:jc w:val="center"/>
            </w:pPr>
            <w:r>
              <w:rPr>
                <w:rFonts w:ascii="Times New Roman" w:eastAsia="Times New Roman" w:hAnsi="Times New Roman" w:cs="Times New Roman"/>
                <w:sz w:val="21"/>
              </w:rPr>
              <w:t>1</w:t>
            </w:r>
          </w:p>
        </w:tc>
        <w:tc>
          <w:tcPr>
            <w:tcW w:w="2619" w:type="dxa"/>
            <w:tcBorders>
              <w:top w:val="single" w:sz="4" w:space="0" w:color="000000"/>
              <w:left w:val="single" w:sz="4" w:space="0" w:color="000000"/>
              <w:bottom w:val="single" w:sz="4" w:space="0" w:color="000000"/>
              <w:right w:val="single" w:sz="4" w:space="0" w:color="000000"/>
            </w:tcBorders>
          </w:tcPr>
          <w:p w14:paraId="366C7F2F" w14:textId="77777777" w:rsidR="00EB1A1B" w:rsidRDefault="0094337D">
            <w:pPr>
              <w:spacing w:after="0"/>
              <w:ind w:right="3"/>
              <w:jc w:val="center"/>
            </w:pPr>
            <w:r>
              <w:rPr>
                <w:rFonts w:ascii="Times New Roman" w:eastAsia="Times New Roman" w:hAnsi="Times New Roman" w:cs="Times New Roman"/>
                <w:sz w:val="21"/>
              </w:rPr>
              <w:t>20211IST0008</w:t>
            </w:r>
          </w:p>
        </w:tc>
        <w:tc>
          <w:tcPr>
            <w:tcW w:w="2819" w:type="dxa"/>
            <w:tcBorders>
              <w:top w:val="single" w:sz="4" w:space="0" w:color="000000"/>
              <w:left w:val="single" w:sz="4" w:space="0" w:color="000000"/>
              <w:bottom w:val="single" w:sz="4" w:space="0" w:color="000000"/>
              <w:right w:val="single" w:sz="4" w:space="0" w:color="000000"/>
            </w:tcBorders>
          </w:tcPr>
          <w:p w14:paraId="7B580344" w14:textId="77777777" w:rsidR="00EB1A1B" w:rsidRDefault="0094337D">
            <w:pPr>
              <w:spacing w:after="0"/>
            </w:pPr>
            <w:r>
              <w:rPr>
                <w:rFonts w:ascii="Times New Roman" w:eastAsia="Times New Roman" w:hAnsi="Times New Roman" w:cs="Times New Roman"/>
                <w:sz w:val="21"/>
              </w:rPr>
              <w:t>DARSHAN.R.N</w:t>
            </w:r>
          </w:p>
        </w:tc>
      </w:tr>
      <w:tr w:rsidR="00EB1A1B" w14:paraId="643C3633" w14:textId="77777777">
        <w:trPr>
          <w:trHeight w:val="320"/>
        </w:trPr>
        <w:tc>
          <w:tcPr>
            <w:tcW w:w="989" w:type="dxa"/>
            <w:tcBorders>
              <w:top w:val="single" w:sz="4" w:space="0" w:color="000000"/>
              <w:left w:val="single" w:sz="4" w:space="0" w:color="000000"/>
              <w:bottom w:val="single" w:sz="4" w:space="0" w:color="000000"/>
              <w:right w:val="single" w:sz="4" w:space="0" w:color="000000"/>
            </w:tcBorders>
            <w:vAlign w:val="bottom"/>
          </w:tcPr>
          <w:p w14:paraId="7052E060" w14:textId="77777777" w:rsidR="00EB1A1B" w:rsidRDefault="0094337D">
            <w:pPr>
              <w:spacing w:after="0"/>
              <w:ind w:left="3"/>
              <w:jc w:val="center"/>
            </w:pPr>
            <w:r>
              <w:rPr>
                <w:rFonts w:ascii="Times New Roman" w:eastAsia="Times New Roman" w:hAnsi="Times New Roman" w:cs="Times New Roman"/>
                <w:sz w:val="21"/>
              </w:rPr>
              <w:t>2</w:t>
            </w:r>
          </w:p>
        </w:tc>
        <w:tc>
          <w:tcPr>
            <w:tcW w:w="2619" w:type="dxa"/>
            <w:tcBorders>
              <w:top w:val="single" w:sz="4" w:space="0" w:color="000000"/>
              <w:left w:val="single" w:sz="4" w:space="0" w:color="000000"/>
              <w:bottom w:val="single" w:sz="4" w:space="0" w:color="000000"/>
              <w:right w:val="single" w:sz="4" w:space="0" w:color="000000"/>
            </w:tcBorders>
          </w:tcPr>
          <w:p w14:paraId="3676C6AD" w14:textId="77777777" w:rsidR="00EB1A1B" w:rsidRDefault="0094337D">
            <w:pPr>
              <w:spacing w:after="0"/>
              <w:ind w:right="3"/>
              <w:jc w:val="center"/>
            </w:pPr>
            <w:r>
              <w:rPr>
                <w:rFonts w:ascii="Times New Roman" w:eastAsia="Times New Roman" w:hAnsi="Times New Roman" w:cs="Times New Roman"/>
                <w:sz w:val="21"/>
              </w:rPr>
              <w:t>20211IST0010</w:t>
            </w:r>
          </w:p>
        </w:tc>
        <w:tc>
          <w:tcPr>
            <w:tcW w:w="2819" w:type="dxa"/>
            <w:tcBorders>
              <w:top w:val="single" w:sz="4" w:space="0" w:color="000000"/>
              <w:left w:val="single" w:sz="4" w:space="0" w:color="000000"/>
              <w:bottom w:val="single" w:sz="4" w:space="0" w:color="000000"/>
              <w:right w:val="single" w:sz="4" w:space="0" w:color="000000"/>
            </w:tcBorders>
          </w:tcPr>
          <w:p w14:paraId="05B0A1CF" w14:textId="77777777" w:rsidR="00EB1A1B" w:rsidRDefault="0094337D">
            <w:pPr>
              <w:spacing w:after="0"/>
            </w:pPr>
            <w:r>
              <w:rPr>
                <w:rFonts w:ascii="Times New Roman" w:eastAsia="Times New Roman" w:hAnsi="Times New Roman" w:cs="Times New Roman"/>
                <w:sz w:val="21"/>
              </w:rPr>
              <w:t>TEJASHWIMI.K.T</w:t>
            </w:r>
          </w:p>
        </w:tc>
      </w:tr>
      <w:tr w:rsidR="00EB1A1B" w14:paraId="219A9F99" w14:textId="77777777">
        <w:trPr>
          <w:trHeight w:val="247"/>
        </w:trPr>
        <w:tc>
          <w:tcPr>
            <w:tcW w:w="989" w:type="dxa"/>
            <w:tcBorders>
              <w:top w:val="single" w:sz="4" w:space="0" w:color="000000"/>
              <w:left w:val="single" w:sz="4" w:space="0" w:color="000000"/>
              <w:bottom w:val="single" w:sz="4" w:space="0" w:color="000000"/>
              <w:right w:val="single" w:sz="4" w:space="0" w:color="000000"/>
            </w:tcBorders>
          </w:tcPr>
          <w:p w14:paraId="74F81E9C" w14:textId="77777777" w:rsidR="00EB1A1B" w:rsidRDefault="0094337D">
            <w:pPr>
              <w:spacing w:after="0"/>
              <w:ind w:left="3"/>
              <w:jc w:val="center"/>
            </w:pPr>
            <w:r>
              <w:rPr>
                <w:rFonts w:ascii="Times New Roman" w:eastAsia="Times New Roman" w:hAnsi="Times New Roman" w:cs="Times New Roman"/>
                <w:sz w:val="21"/>
              </w:rPr>
              <w:t>3</w:t>
            </w:r>
          </w:p>
        </w:tc>
        <w:tc>
          <w:tcPr>
            <w:tcW w:w="2619" w:type="dxa"/>
            <w:tcBorders>
              <w:top w:val="single" w:sz="4" w:space="0" w:color="000000"/>
              <w:left w:val="single" w:sz="4" w:space="0" w:color="000000"/>
              <w:bottom w:val="single" w:sz="4" w:space="0" w:color="000000"/>
              <w:right w:val="single" w:sz="4" w:space="0" w:color="000000"/>
            </w:tcBorders>
          </w:tcPr>
          <w:p w14:paraId="6DBB4FF0" w14:textId="77777777" w:rsidR="00EB1A1B" w:rsidRDefault="0094337D">
            <w:pPr>
              <w:spacing w:after="0"/>
              <w:ind w:right="3"/>
              <w:jc w:val="center"/>
            </w:pPr>
            <w:r>
              <w:rPr>
                <w:rFonts w:ascii="Times New Roman" w:eastAsia="Times New Roman" w:hAnsi="Times New Roman" w:cs="Times New Roman"/>
                <w:sz w:val="21"/>
              </w:rPr>
              <w:t>20211IST0012</w:t>
            </w:r>
          </w:p>
        </w:tc>
        <w:tc>
          <w:tcPr>
            <w:tcW w:w="2819" w:type="dxa"/>
            <w:tcBorders>
              <w:top w:val="single" w:sz="4" w:space="0" w:color="000000"/>
              <w:left w:val="single" w:sz="4" w:space="0" w:color="000000"/>
              <w:bottom w:val="single" w:sz="4" w:space="0" w:color="000000"/>
              <w:right w:val="single" w:sz="4" w:space="0" w:color="000000"/>
            </w:tcBorders>
          </w:tcPr>
          <w:p w14:paraId="45F6A166" w14:textId="77777777" w:rsidR="00EB1A1B" w:rsidRDefault="0094337D">
            <w:pPr>
              <w:spacing w:after="0"/>
            </w:pPr>
            <w:r>
              <w:rPr>
                <w:rFonts w:ascii="Times New Roman" w:eastAsia="Times New Roman" w:hAnsi="Times New Roman" w:cs="Times New Roman"/>
                <w:sz w:val="21"/>
              </w:rPr>
              <w:t>SATHYA.R</w:t>
            </w:r>
          </w:p>
        </w:tc>
      </w:tr>
    </w:tbl>
    <w:p w14:paraId="43E96661" w14:textId="77777777" w:rsidR="00EB1A1B" w:rsidRDefault="0094337D">
      <w:pPr>
        <w:spacing w:after="173"/>
        <w:ind w:left="-5" w:hanging="10"/>
      </w:pPr>
      <w:r>
        <w:rPr>
          <w:rFonts w:ascii="Times New Roman" w:eastAsia="Times New Roman" w:hAnsi="Times New Roman" w:cs="Times New Roman"/>
          <w:sz w:val="26"/>
        </w:rPr>
        <w:t xml:space="preserve">Topic : </w:t>
      </w:r>
      <w:r>
        <w:rPr>
          <w:rFonts w:ascii="Times New Roman" w:eastAsia="Times New Roman" w:hAnsi="Times New Roman" w:cs="Times New Roman"/>
          <w:sz w:val="30"/>
          <w:u w:val="single" w:color="000000"/>
        </w:rPr>
        <w:t>Analysis and Visualization of Malnutrition Dataset</w:t>
      </w:r>
    </w:p>
    <w:p w14:paraId="6C09811C" w14:textId="77777777" w:rsidR="00EB1A1B" w:rsidRDefault="0094337D">
      <w:pPr>
        <w:spacing w:after="133"/>
        <w:ind w:left="-5" w:hanging="10"/>
      </w:pPr>
      <w:r>
        <w:rPr>
          <w:rFonts w:ascii="Times New Roman" w:eastAsia="Times New Roman" w:hAnsi="Times New Roman" w:cs="Times New Roman"/>
          <w:sz w:val="30"/>
          <w:u w:val="single" w:color="000000"/>
        </w:rPr>
        <w:t>Abstract:</w:t>
      </w:r>
    </w:p>
    <w:p w14:paraId="43AB0243" w14:textId="77777777" w:rsidR="00EB1A1B" w:rsidRDefault="0094337D">
      <w:pPr>
        <w:spacing w:after="190" w:line="305" w:lineRule="auto"/>
        <w:jc w:val="both"/>
      </w:pPr>
      <w:r>
        <w:rPr>
          <w:rFonts w:ascii="Times New Roman" w:eastAsia="Times New Roman" w:hAnsi="Times New Roman" w:cs="Times New Roman"/>
          <w:color w:val="0D0D0D"/>
          <w:sz w:val="23"/>
        </w:rPr>
        <w:t xml:space="preserve">Malnutrition remains a significant global health challenge, affecting millions of individuals, particularly in low- and middle-income countries. This condition encompasses both </w:t>
      </w:r>
      <w:proofErr w:type="spellStart"/>
      <w:r>
        <w:rPr>
          <w:rFonts w:ascii="Times New Roman" w:eastAsia="Times New Roman" w:hAnsi="Times New Roman" w:cs="Times New Roman"/>
          <w:color w:val="0D0D0D"/>
          <w:sz w:val="23"/>
        </w:rPr>
        <w:t>undernutrition</w:t>
      </w:r>
      <w:proofErr w:type="spellEnd"/>
      <w:r>
        <w:rPr>
          <w:rFonts w:ascii="Times New Roman" w:eastAsia="Times New Roman" w:hAnsi="Times New Roman" w:cs="Times New Roman"/>
          <w:color w:val="0D0D0D"/>
          <w:sz w:val="23"/>
        </w:rPr>
        <w:t xml:space="preserve"> and </w:t>
      </w:r>
      <w:proofErr w:type="spellStart"/>
      <w:r>
        <w:rPr>
          <w:rFonts w:ascii="Times New Roman" w:eastAsia="Times New Roman" w:hAnsi="Times New Roman" w:cs="Times New Roman"/>
          <w:color w:val="0D0D0D"/>
          <w:sz w:val="23"/>
        </w:rPr>
        <w:t>overnutrition</w:t>
      </w:r>
      <w:proofErr w:type="spellEnd"/>
      <w:r>
        <w:rPr>
          <w:rFonts w:ascii="Times New Roman" w:eastAsia="Times New Roman" w:hAnsi="Times New Roman" w:cs="Times New Roman"/>
          <w:color w:val="0D0D0D"/>
          <w:sz w:val="23"/>
        </w:rPr>
        <w:t>, leading to a spectrum of health issues ranging from stunted growth and weakened immunity to obesity and related non-communicable diseases. Key factors contributing to malnutrition include food insecurity, poverty, inadequate healthcare, and poor dietary practices. Vulnerable populations, such as children, pregnant women, and the elderly, are disproportionately impacted. Interventions to combat malnutrition must be multifaceted, involving improvements in food systems, health</w:t>
      </w:r>
      <w:r>
        <w:rPr>
          <w:rFonts w:ascii="Times New Roman" w:eastAsia="Times New Roman" w:hAnsi="Times New Roman" w:cs="Times New Roman"/>
          <w:color w:val="0D0D0D"/>
          <w:sz w:val="23"/>
        </w:rPr>
        <w:t>care access, nutritional education, and socioeconomic policies. Recent advancements in public health strategies, including community-based nutrition programs and international collaborations, offer promising avenues to mitigate malnutrition's effects. However, sustained efforts and innovative approaches are essential to address the underlying determinants of malnutrition and ensure optimal health outcomes for all individuals.</w:t>
      </w:r>
    </w:p>
    <w:p w14:paraId="12829E2F" w14:textId="77777777" w:rsidR="00EB1A1B" w:rsidRDefault="0094337D">
      <w:pPr>
        <w:spacing w:after="254"/>
        <w:ind w:left="-5" w:hanging="10"/>
      </w:pPr>
      <w:r>
        <w:rPr>
          <w:rFonts w:ascii="Times New Roman" w:eastAsia="Times New Roman" w:hAnsi="Times New Roman" w:cs="Times New Roman"/>
          <w:sz w:val="30"/>
          <w:u w:val="single" w:color="000000"/>
        </w:rPr>
        <w:t>Introduction:</w:t>
      </w:r>
    </w:p>
    <w:p w14:paraId="37FB1C62" w14:textId="77777777" w:rsidR="00EB1A1B" w:rsidRDefault="0094337D">
      <w:pPr>
        <w:spacing w:after="159" w:line="279" w:lineRule="auto"/>
        <w:ind w:left="-5" w:right="-15" w:hanging="10"/>
        <w:jc w:val="both"/>
      </w:pPr>
      <w:r>
        <w:rPr>
          <w:rFonts w:ascii="Times New Roman" w:eastAsia="Times New Roman" w:hAnsi="Times New Roman" w:cs="Times New Roman"/>
          <w:sz w:val="23"/>
        </w:rPr>
        <w:t>Malnutrition is a common health problem and occurs when you are not eating enough of the right foods or have a problem absorbing nutrients from food. This means you are not getting all the nutrients such as proteins, vitamins and minerals that you need. Despite efforts to address malnutrition, it remains a pressing global health issue.</w:t>
      </w:r>
    </w:p>
    <w:p w14:paraId="377CB4FE" w14:textId="77777777" w:rsidR="00EB1A1B" w:rsidRDefault="0094337D">
      <w:pPr>
        <w:spacing w:after="185" w:line="279" w:lineRule="auto"/>
        <w:ind w:left="-5" w:right="-15" w:hanging="10"/>
        <w:jc w:val="both"/>
      </w:pPr>
      <w:r>
        <w:rPr>
          <w:rFonts w:ascii="Times New Roman" w:eastAsia="Times New Roman" w:hAnsi="Times New Roman" w:cs="Times New Roman"/>
          <w:sz w:val="23"/>
        </w:rPr>
        <w:t xml:space="preserve"> The aim of this project is to </w:t>
      </w:r>
      <w:proofErr w:type="spellStart"/>
      <w:r>
        <w:rPr>
          <w:rFonts w:ascii="Times New Roman" w:eastAsia="Times New Roman" w:hAnsi="Times New Roman" w:cs="Times New Roman"/>
          <w:sz w:val="23"/>
        </w:rPr>
        <w:t>analyze</w:t>
      </w:r>
      <w:proofErr w:type="spellEnd"/>
      <w:r>
        <w:rPr>
          <w:rFonts w:ascii="Times New Roman" w:eastAsia="Times New Roman" w:hAnsi="Times New Roman" w:cs="Times New Roman"/>
          <w:sz w:val="23"/>
        </w:rPr>
        <w:t xml:space="preserve"> a comprehensive dataset on malnutrition indicators across countries and regions, identify key trends and patterns, and visualize the data to provide insights for policymakers, researchers, and organizations working to combat malnutrition.</w:t>
      </w:r>
    </w:p>
    <w:p w14:paraId="46384280" w14:textId="77777777" w:rsidR="00EB1A1B" w:rsidRDefault="0094337D">
      <w:pPr>
        <w:spacing w:after="202" w:line="279" w:lineRule="auto"/>
        <w:ind w:left="-5" w:right="-15" w:hanging="10"/>
        <w:jc w:val="both"/>
      </w:pPr>
      <w:r>
        <w:rPr>
          <w:rFonts w:ascii="Times New Roman" w:eastAsia="Times New Roman" w:hAnsi="Times New Roman" w:cs="Times New Roman"/>
          <w:sz w:val="23"/>
        </w:rPr>
        <w:t xml:space="preserve"> The analysis will focus on understanding the prevalence of malnutrition, its distribution, contributing factors, and the effectiveness of interventions, with the goal of informing targeted strategies to reduce malnutrition and improve nutrition outcomes worldwide.</w:t>
      </w:r>
    </w:p>
    <w:p w14:paraId="775BF440" w14:textId="77777777" w:rsidR="00EB1A1B" w:rsidRDefault="0094337D">
      <w:pPr>
        <w:spacing w:after="270" w:line="265" w:lineRule="auto"/>
        <w:ind w:left="-5" w:right="5014" w:hanging="10"/>
      </w:pPr>
      <w:r>
        <w:rPr>
          <w:rFonts w:ascii="Times New Roman" w:eastAsia="Times New Roman" w:hAnsi="Times New Roman" w:cs="Times New Roman"/>
          <w:sz w:val="26"/>
        </w:rPr>
        <w:t>Problem Statement:</w:t>
      </w:r>
    </w:p>
    <w:p w14:paraId="1DB62D98" w14:textId="77777777" w:rsidR="00EB1A1B" w:rsidRDefault="0094337D">
      <w:pPr>
        <w:spacing w:after="156" w:line="388" w:lineRule="auto"/>
        <w:ind w:left="-5" w:right="-15" w:hanging="10"/>
        <w:jc w:val="both"/>
      </w:pPr>
      <w:r>
        <w:rPr>
          <w:rFonts w:ascii="Times New Roman" w:eastAsia="Times New Roman" w:hAnsi="Times New Roman" w:cs="Times New Roman"/>
          <w:sz w:val="23"/>
        </w:rPr>
        <w:t xml:space="preserve">Malnutrition refers to deficiencies, excesses, or imbalances in a person's intake of energy and/or nutrients. The term malnutrition addresses 3 broad groups of conditions: </w:t>
      </w:r>
      <w:proofErr w:type="spellStart"/>
      <w:r>
        <w:rPr>
          <w:rFonts w:ascii="Times New Roman" w:eastAsia="Times New Roman" w:hAnsi="Times New Roman" w:cs="Times New Roman"/>
          <w:sz w:val="23"/>
        </w:rPr>
        <w:t>undernutrition</w:t>
      </w:r>
      <w:proofErr w:type="spellEnd"/>
      <w:r>
        <w:rPr>
          <w:rFonts w:ascii="Times New Roman" w:eastAsia="Times New Roman" w:hAnsi="Times New Roman" w:cs="Times New Roman"/>
          <w:sz w:val="23"/>
        </w:rPr>
        <w:t xml:space="preserve">, which includes wasting (low weight-for-height), stunting (low height-for-age) and underweight (low weight-for-age). People with protein-energy </w:t>
      </w:r>
      <w:proofErr w:type="spellStart"/>
      <w:r>
        <w:rPr>
          <w:rFonts w:ascii="Times New Roman" w:eastAsia="Times New Roman" w:hAnsi="Times New Roman" w:cs="Times New Roman"/>
          <w:sz w:val="23"/>
        </w:rPr>
        <w:t>undernutrition</w:t>
      </w:r>
      <w:proofErr w:type="spellEnd"/>
      <w:r>
        <w:rPr>
          <w:rFonts w:ascii="Times New Roman" w:eastAsia="Times New Roman" w:hAnsi="Times New Roman" w:cs="Times New Roman"/>
          <w:sz w:val="23"/>
        </w:rPr>
        <w:t xml:space="preserve"> are often visibly emaciated. Children may have stunted growth and development. One of the first systems to begin to shut down is the immune system. This makes undernourished people highly prone to illness and infection and slower to recover.</w:t>
      </w:r>
    </w:p>
    <w:p w14:paraId="70FFDABC" w14:textId="77777777" w:rsidR="00EB1A1B" w:rsidRDefault="0094337D">
      <w:pPr>
        <w:spacing w:after="307" w:line="265" w:lineRule="auto"/>
        <w:ind w:left="-5" w:right="5014" w:hanging="10"/>
      </w:pPr>
      <w:r>
        <w:rPr>
          <w:noProof/>
        </w:rPr>
        <w:drawing>
          <wp:anchor distT="0" distB="0" distL="114300" distR="114300" simplePos="0" relativeHeight="251658240" behindDoc="0" locked="0" layoutInCell="1" allowOverlap="0" wp14:anchorId="40FB6377" wp14:editId="072390B8">
            <wp:simplePos x="0" y="0"/>
            <wp:positionH relativeFrom="page">
              <wp:posOffset>940052</wp:posOffset>
            </wp:positionH>
            <wp:positionV relativeFrom="page">
              <wp:posOffset>6288758</wp:posOffset>
            </wp:positionV>
            <wp:extent cx="6836664" cy="2112265"/>
            <wp:effectExtent l="0" t="0" r="0" b="0"/>
            <wp:wrapTopAndBottom/>
            <wp:docPr id="10678" name="Picture 10678"/>
            <wp:cNvGraphicFramePr/>
            <a:graphic xmlns:a="http://schemas.openxmlformats.org/drawingml/2006/main">
              <a:graphicData uri="http://schemas.openxmlformats.org/drawingml/2006/picture">
                <pic:pic xmlns:pic="http://schemas.openxmlformats.org/drawingml/2006/picture">
                  <pic:nvPicPr>
                    <pic:cNvPr id="10678" name="Picture 10678"/>
                    <pic:cNvPicPr/>
                  </pic:nvPicPr>
                  <pic:blipFill>
                    <a:blip r:embed="rId7"/>
                    <a:stretch>
                      <a:fillRect/>
                    </a:stretch>
                  </pic:blipFill>
                  <pic:spPr>
                    <a:xfrm>
                      <a:off x="0" y="0"/>
                      <a:ext cx="6836664" cy="2112265"/>
                    </a:xfrm>
                    <a:prstGeom prst="rect">
                      <a:avLst/>
                    </a:prstGeom>
                  </pic:spPr>
                </pic:pic>
              </a:graphicData>
            </a:graphic>
          </wp:anchor>
        </w:drawing>
      </w:r>
      <w:r>
        <w:rPr>
          <w:rFonts w:ascii="Times New Roman" w:eastAsia="Times New Roman" w:hAnsi="Times New Roman" w:cs="Times New Roman"/>
          <w:sz w:val="26"/>
        </w:rPr>
        <w:t>Architecture:</w:t>
      </w:r>
    </w:p>
    <w:p w14:paraId="2277592E" w14:textId="77777777" w:rsidR="00EB1A1B" w:rsidRDefault="0094337D">
      <w:pPr>
        <w:spacing w:before="667" w:after="249" w:line="279" w:lineRule="auto"/>
        <w:ind w:left="-5" w:right="-15" w:hanging="10"/>
        <w:jc w:val="both"/>
      </w:pPr>
      <w:r>
        <w:rPr>
          <w:rFonts w:ascii="Times New Roman" w:eastAsia="Times New Roman" w:hAnsi="Times New Roman" w:cs="Times New Roman"/>
          <w:sz w:val="23"/>
        </w:rPr>
        <w:t xml:space="preserve">For </w:t>
      </w:r>
      <w:proofErr w:type="spellStart"/>
      <w:r>
        <w:rPr>
          <w:rFonts w:ascii="Times New Roman" w:eastAsia="Times New Roman" w:hAnsi="Times New Roman" w:cs="Times New Roman"/>
          <w:sz w:val="23"/>
        </w:rPr>
        <w:t>analyzing</w:t>
      </w:r>
      <w:proofErr w:type="spellEnd"/>
      <w:r>
        <w:rPr>
          <w:rFonts w:ascii="Times New Roman" w:eastAsia="Times New Roman" w:hAnsi="Times New Roman" w:cs="Times New Roman"/>
          <w:sz w:val="23"/>
        </w:rPr>
        <w:t xml:space="preserve"> and visualizing malnutrition data across the globe, we can consider the following model of architecture:</w:t>
      </w:r>
    </w:p>
    <w:p w14:paraId="57A50F5A" w14:textId="77777777" w:rsidR="00EB1A1B" w:rsidRDefault="0094337D">
      <w:pPr>
        <w:numPr>
          <w:ilvl w:val="0"/>
          <w:numId w:val="1"/>
        </w:numPr>
        <w:spacing w:after="249" w:line="279" w:lineRule="auto"/>
        <w:ind w:right="-15" w:hanging="10"/>
        <w:jc w:val="both"/>
      </w:pPr>
      <w:r>
        <w:rPr>
          <w:rFonts w:ascii="Times New Roman" w:eastAsia="Times New Roman" w:hAnsi="Times New Roman" w:cs="Times New Roman"/>
          <w:sz w:val="23"/>
        </w:rPr>
        <w:t>Data Collection: Gather datasets from reliable sources such as the World Health Organization (WHO), UNICEF, World Bank, and other reputable organizations. Include data on various aspects of malnutrition, including prevalence rates, causes, impacts, and interventions.</w:t>
      </w:r>
    </w:p>
    <w:p w14:paraId="724AE122" w14:textId="77777777" w:rsidR="00EB1A1B" w:rsidRDefault="0094337D">
      <w:pPr>
        <w:numPr>
          <w:ilvl w:val="0"/>
          <w:numId w:val="1"/>
        </w:numPr>
        <w:spacing w:after="249" w:line="279" w:lineRule="auto"/>
        <w:ind w:right="-15" w:hanging="10"/>
        <w:jc w:val="both"/>
      </w:pPr>
      <w:r>
        <w:rPr>
          <w:rFonts w:ascii="Times New Roman" w:eastAsia="Times New Roman" w:hAnsi="Times New Roman" w:cs="Times New Roman"/>
          <w:sz w:val="23"/>
        </w:rPr>
        <w:t xml:space="preserve">Data </w:t>
      </w:r>
      <w:proofErr w:type="spellStart"/>
      <w:r>
        <w:rPr>
          <w:rFonts w:ascii="Times New Roman" w:eastAsia="Times New Roman" w:hAnsi="Times New Roman" w:cs="Times New Roman"/>
          <w:sz w:val="23"/>
        </w:rPr>
        <w:t>Preprocessing</w:t>
      </w:r>
      <w:proofErr w:type="spellEnd"/>
      <w:r>
        <w:rPr>
          <w:rFonts w:ascii="Times New Roman" w:eastAsia="Times New Roman" w:hAnsi="Times New Roman" w:cs="Times New Roman"/>
          <w:sz w:val="23"/>
        </w:rPr>
        <w:t>: Clean the data by removing duplicates, correcting errors, and handling missing values. Convert the data into a suitable format for analysis and visualization.</w:t>
      </w:r>
    </w:p>
    <w:p w14:paraId="3DABD5B4" w14:textId="77777777" w:rsidR="00EB1A1B" w:rsidRDefault="0094337D">
      <w:pPr>
        <w:numPr>
          <w:ilvl w:val="0"/>
          <w:numId w:val="1"/>
        </w:numPr>
        <w:spacing w:after="249" w:line="279" w:lineRule="auto"/>
        <w:ind w:right="-15" w:hanging="10"/>
        <w:jc w:val="both"/>
      </w:pPr>
      <w:r>
        <w:rPr>
          <w:rFonts w:ascii="Times New Roman" w:eastAsia="Times New Roman" w:hAnsi="Times New Roman" w:cs="Times New Roman"/>
          <w:sz w:val="23"/>
        </w:rPr>
        <w:t>Data Integration: Combine data from different sources and formats into a unified dataset for comprehensive analysis.</w:t>
      </w:r>
    </w:p>
    <w:p w14:paraId="04323A14" w14:textId="77777777" w:rsidR="00EB1A1B" w:rsidRDefault="0094337D">
      <w:pPr>
        <w:numPr>
          <w:ilvl w:val="0"/>
          <w:numId w:val="1"/>
        </w:numPr>
        <w:spacing w:after="249" w:line="279" w:lineRule="auto"/>
        <w:ind w:right="-15" w:hanging="10"/>
        <w:jc w:val="both"/>
      </w:pPr>
      <w:r>
        <w:rPr>
          <w:rFonts w:ascii="Times New Roman" w:eastAsia="Times New Roman" w:hAnsi="Times New Roman" w:cs="Times New Roman"/>
          <w:sz w:val="23"/>
        </w:rPr>
        <w:t>Data Analysis: Use statistical analysis techniques to explore the data and identify patterns, trends, and correlations related to malnutrition. This can include descriptive statistics, inferential statistics, and machine learning algorithms for predictive analysis.</w:t>
      </w:r>
    </w:p>
    <w:p w14:paraId="15EAC305" w14:textId="77777777" w:rsidR="00EB1A1B" w:rsidRDefault="0094337D">
      <w:pPr>
        <w:numPr>
          <w:ilvl w:val="0"/>
          <w:numId w:val="1"/>
        </w:numPr>
        <w:spacing w:after="249" w:line="279" w:lineRule="auto"/>
        <w:ind w:right="-15" w:hanging="10"/>
        <w:jc w:val="both"/>
      </w:pPr>
      <w:r>
        <w:rPr>
          <w:rFonts w:ascii="Times New Roman" w:eastAsia="Times New Roman" w:hAnsi="Times New Roman" w:cs="Times New Roman"/>
          <w:sz w:val="23"/>
        </w:rPr>
        <w:t>Data Visualization: Create visualizations such as charts, graphs, maps, and dashboards to present the findings of the analysis. Use interactive visualizations to allow users to explore the data dynamically.</w:t>
      </w:r>
    </w:p>
    <w:p w14:paraId="6A4861AB" w14:textId="77777777" w:rsidR="00EB1A1B" w:rsidRDefault="0094337D">
      <w:pPr>
        <w:numPr>
          <w:ilvl w:val="0"/>
          <w:numId w:val="1"/>
        </w:numPr>
        <w:spacing w:after="249" w:line="279" w:lineRule="auto"/>
        <w:ind w:right="-15" w:hanging="10"/>
        <w:jc w:val="both"/>
      </w:pPr>
      <w:r>
        <w:rPr>
          <w:rFonts w:ascii="Times New Roman" w:eastAsia="Times New Roman" w:hAnsi="Times New Roman" w:cs="Times New Roman"/>
          <w:sz w:val="23"/>
        </w:rPr>
        <w:t>Insights Generation: Extract meaningful insights from the data analysis to understand the factors contributing to malnutrition and to inform decision-making processes.</w:t>
      </w:r>
    </w:p>
    <w:p w14:paraId="75D7C891" w14:textId="77777777" w:rsidR="00EB1A1B" w:rsidRDefault="0094337D">
      <w:pPr>
        <w:numPr>
          <w:ilvl w:val="0"/>
          <w:numId w:val="1"/>
        </w:numPr>
        <w:spacing w:after="249" w:line="279" w:lineRule="auto"/>
        <w:ind w:right="-15" w:hanging="10"/>
        <w:jc w:val="both"/>
      </w:pPr>
      <w:r>
        <w:rPr>
          <w:rFonts w:ascii="Times New Roman" w:eastAsia="Times New Roman" w:hAnsi="Times New Roman" w:cs="Times New Roman"/>
          <w:sz w:val="23"/>
        </w:rPr>
        <w:t>Model Deployment: Deploy the data visualization models on platforms that can reach a wide audience, such as websites, mobile apps, or public data portals.</w:t>
      </w:r>
    </w:p>
    <w:p w14:paraId="72364EA5" w14:textId="77777777" w:rsidR="00EB1A1B" w:rsidRDefault="0094337D">
      <w:pPr>
        <w:numPr>
          <w:ilvl w:val="0"/>
          <w:numId w:val="1"/>
        </w:numPr>
        <w:spacing w:after="249" w:line="279" w:lineRule="auto"/>
        <w:ind w:right="-15" w:hanging="10"/>
        <w:jc w:val="both"/>
      </w:pPr>
      <w:r>
        <w:rPr>
          <w:rFonts w:ascii="Times New Roman" w:eastAsia="Times New Roman" w:hAnsi="Times New Roman" w:cs="Times New Roman"/>
          <w:sz w:val="23"/>
        </w:rPr>
        <w:t>Feedback Loop: Collect feedback from users and stakeholders to continuously improve the data visualization models and analysis techniques.</w:t>
      </w:r>
    </w:p>
    <w:p w14:paraId="28740668" w14:textId="77777777" w:rsidR="00EB1A1B" w:rsidRDefault="0094337D">
      <w:pPr>
        <w:numPr>
          <w:ilvl w:val="0"/>
          <w:numId w:val="1"/>
        </w:numPr>
        <w:spacing w:after="249" w:line="279" w:lineRule="auto"/>
        <w:ind w:right="-15" w:hanging="10"/>
        <w:jc w:val="both"/>
      </w:pPr>
      <w:r>
        <w:rPr>
          <w:rFonts w:ascii="Times New Roman" w:eastAsia="Times New Roman" w:hAnsi="Times New Roman" w:cs="Times New Roman"/>
          <w:sz w:val="23"/>
        </w:rPr>
        <w:t>Collaboration and Sharing: Facilitate collaboration and sharing of the data and insights with other researchers, policymakers, and organizations working in the field of malnutrition.</w:t>
      </w:r>
    </w:p>
    <w:p w14:paraId="06267E01" w14:textId="77777777" w:rsidR="00EB1A1B" w:rsidRDefault="0094337D">
      <w:pPr>
        <w:numPr>
          <w:ilvl w:val="0"/>
          <w:numId w:val="1"/>
        </w:numPr>
        <w:spacing w:after="249" w:line="279" w:lineRule="auto"/>
        <w:ind w:right="-15" w:hanging="10"/>
        <w:jc w:val="both"/>
      </w:pPr>
      <w:r>
        <w:rPr>
          <w:rFonts w:ascii="Times New Roman" w:eastAsia="Times New Roman" w:hAnsi="Times New Roman" w:cs="Times New Roman"/>
          <w:sz w:val="23"/>
        </w:rPr>
        <w:t>Ethical Considerations: Ensure that the data analysis and visualization processes adhere to ethical standards, including data privacy and confidentiality.</w:t>
      </w:r>
    </w:p>
    <w:p w14:paraId="0DBCA503" w14:textId="77777777" w:rsidR="00EB1A1B" w:rsidRDefault="0094337D">
      <w:pPr>
        <w:spacing w:after="539" w:line="279" w:lineRule="auto"/>
        <w:ind w:left="-5" w:right="-15" w:hanging="10"/>
        <w:jc w:val="both"/>
      </w:pPr>
      <w:r>
        <w:rPr>
          <w:rFonts w:ascii="Times New Roman" w:eastAsia="Times New Roman" w:hAnsi="Times New Roman" w:cs="Times New Roman"/>
          <w:sz w:val="23"/>
        </w:rPr>
        <w:t xml:space="preserve">By following this architecture, we can effectively </w:t>
      </w:r>
      <w:proofErr w:type="spellStart"/>
      <w:r>
        <w:rPr>
          <w:rFonts w:ascii="Times New Roman" w:eastAsia="Times New Roman" w:hAnsi="Times New Roman" w:cs="Times New Roman"/>
          <w:sz w:val="23"/>
        </w:rPr>
        <w:t>analyze</w:t>
      </w:r>
      <w:proofErr w:type="spellEnd"/>
      <w:r>
        <w:rPr>
          <w:rFonts w:ascii="Times New Roman" w:eastAsia="Times New Roman" w:hAnsi="Times New Roman" w:cs="Times New Roman"/>
          <w:sz w:val="23"/>
        </w:rPr>
        <w:t xml:space="preserve"> and visualize malnutrition data to gain insights and drive action towards addressing this global challenge</w:t>
      </w:r>
      <w:r>
        <w:rPr>
          <w:rFonts w:ascii="Times New Roman" w:eastAsia="Times New Roman" w:hAnsi="Times New Roman" w:cs="Times New Roman"/>
          <w:sz w:val="21"/>
        </w:rPr>
        <w:t>.</w:t>
      </w:r>
    </w:p>
    <w:p w14:paraId="191323DB" w14:textId="77777777" w:rsidR="00EB1A1B" w:rsidRDefault="0094337D">
      <w:pPr>
        <w:spacing w:after="3" w:line="265" w:lineRule="auto"/>
        <w:ind w:left="-5" w:right="5014" w:hanging="10"/>
      </w:pPr>
      <w:r>
        <w:rPr>
          <w:rFonts w:ascii="Times New Roman" w:eastAsia="Times New Roman" w:hAnsi="Times New Roman" w:cs="Times New Roman"/>
          <w:sz w:val="26"/>
        </w:rPr>
        <w:t>Outcomes:</w:t>
      </w:r>
    </w:p>
    <w:p w14:paraId="0E535224" w14:textId="77777777" w:rsidR="00EB1A1B" w:rsidRDefault="0094337D">
      <w:pPr>
        <w:spacing w:after="984"/>
      </w:pPr>
      <w:r>
        <w:rPr>
          <w:noProof/>
        </w:rPr>
        <w:drawing>
          <wp:inline distT="0" distB="0" distL="0" distR="0" wp14:anchorId="7A739711" wp14:editId="3F77582B">
            <wp:extent cx="5892274" cy="2653043"/>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8"/>
                    <a:stretch>
                      <a:fillRect/>
                    </a:stretch>
                  </pic:blipFill>
                  <pic:spPr>
                    <a:xfrm>
                      <a:off x="0" y="0"/>
                      <a:ext cx="5892274" cy="2653043"/>
                    </a:xfrm>
                    <a:prstGeom prst="rect">
                      <a:avLst/>
                    </a:prstGeom>
                  </pic:spPr>
                </pic:pic>
              </a:graphicData>
            </a:graphic>
          </wp:inline>
        </w:drawing>
      </w:r>
    </w:p>
    <w:p w14:paraId="2D82F0CB" w14:textId="77777777" w:rsidR="00EB1A1B" w:rsidRDefault="0094337D">
      <w:pPr>
        <w:spacing w:after="60" w:line="241" w:lineRule="auto"/>
        <w:ind w:left="-5" w:right="7" w:hanging="10"/>
      </w:pPr>
      <w:r>
        <w:rPr>
          <w:rFonts w:ascii="Times New Roman" w:eastAsia="Times New Roman" w:hAnsi="Times New Roman" w:cs="Times New Roman"/>
          <w:sz w:val="25"/>
        </w:rPr>
        <w:t xml:space="preserve">This code appears to be </w:t>
      </w:r>
      <w:proofErr w:type="spellStart"/>
      <w:r>
        <w:rPr>
          <w:rFonts w:ascii="Times New Roman" w:eastAsia="Times New Roman" w:hAnsi="Times New Roman" w:cs="Times New Roman"/>
          <w:sz w:val="25"/>
        </w:rPr>
        <w:t>analyzing</w:t>
      </w:r>
      <w:proofErr w:type="spellEnd"/>
      <w:r>
        <w:rPr>
          <w:rFonts w:ascii="Times New Roman" w:eastAsia="Times New Roman" w:hAnsi="Times New Roman" w:cs="Times New Roman"/>
          <w:sz w:val="25"/>
        </w:rPr>
        <w:t xml:space="preserve"> outliers in a dataset for columns related to malnutrition indicators such as 'Severe Wasting' .</w:t>
      </w:r>
    </w:p>
    <w:p w14:paraId="135C5AB0" w14:textId="77777777" w:rsidR="00EB1A1B" w:rsidRDefault="0094337D">
      <w:pPr>
        <w:numPr>
          <w:ilvl w:val="1"/>
          <w:numId w:val="1"/>
        </w:numPr>
        <w:spacing w:after="350" w:line="241" w:lineRule="auto"/>
        <w:ind w:right="7" w:hanging="370"/>
      </w:pPr>
      <w:proofErr w:type="spellStart"/>
      <w:r>
        <w:rPr>
          <w:rFonts w:ascii="Times New Roman" w:eastAsia="Times New Roman" w:hAnsi="Times New Roman" w:cs="Times New Roman"/>
          <w:sz w:val="25"/>
        </w:rPr>
        <w:t>Boxplotcolumns</w:t>
      </w:r>
      <w:proofErr w:type="spellEnd"/>
      <w:r>
        <w:rPr>
          <w:rFonts w:ascii="Times New Roman" w:eastAsia="Times New Roman" w:hAnsi="Times New Roman" w:cs="Times New Roman"/>
          <w:sz w:val="25"/>
        </w:rPr>
        <w:t>: This is a list containing the names of columns for which boxplots and outlier analysis will be performed.</w:t>
      </w:r>
    </w:p>
    <w:p w14:paraId="590FDB97" w14:textId="77777777" w:rsidR="00EB1A1B" w:rsidRDefault="0094337D">
      <w:pPr>
        <w:numPr>
          <w:ilvl w:val="1"/>
          <w:numId w:val="1"/>
        </w:numPr>
        <w:spacing w:after="3" w:line="241" w:lineRule="auto"/>
        <w:ind w:right="7" w:hanging="370"/>
      </w:pPr>
      <w:r>
        <w:rPr>
          <w:rFonts w:ascii="Times New Roman" w:eastAsia="Times New Roman" w:hAnsi="Times New Roman" w:cs="Times New Roman"/>
          <w:sz w:val="25"/>
        </w:rPr>
        <w:t xml:space="preserve">for cols in </w:t>
      </w:r>
      <w:proofErr w:type="spellStart"/>
      <w:r>
        <w:rPr>
          <w:rFonts w:ascii="Times New Roman" w:eastAsia="Times New Roman" w:hAnsi="Times New Roman" w:cs="Times New Roman"/>
          <w:sz w:val="25"/>
        </w:rPr>
        <w:t>boxplotcolumns</w:t>
      </w:r>
      <w:proofErr w:type="spellEnd"/>
      <w:r>
        <w:rPr>
          <w:rFonts w:ascii="Times New Roman" w:eastAsia="Times New Roman" w:hAnsi="Times New Roman" w:cs="Times New Roman"/>
          <w:sz w:val="25"/>
        </w:rPr>
        <w:t xml:space="preserve">: This iterates over each column name in </w:t>
      </w:r>
      <w:proofErr w:type="spellStart"/>
      <w:r>
        <w:rPr>
          <w:rFonts w:ascii="Times New Roman" w:eastAsia="Times New Roman" w:hAnsi="Times New Roman" w:cs="Times New Roman"/>
          <w:sz w:val="25"/>
        </w:rPr>
        <w:t>boxplotcolumns</w:t>
      </w:r>
      <w:proofErr w:type="spellEnd"/>
    </w:p>
    <w:p w14:paraId="50681EE6" w14:textId="77777777" w:rsidR="00EB1A1B" w:rsidRDefault="0094337D">
      <w:pPr>
        <w:spacing w:after="421"/>
      </w:pPr>
      <w:r>
        <w:rPr>
          <w:noProof/>
        </w:rPr>
        <w:drawing>
          <wp:inline distT="0" distB="0" distL="0" distR="0" wp14:anchorId="607E4029" wp14:editId="66705D3A">
            <wp:extent cx="5892278" cy="4366109"/>
            <wp:effectExtent l="0" t="0" r="0" b="0"/>
            <wp:docPr id="795" name="Picture 795"/>
            <wp:cNvGraphicFramePr/>
            <a:graphic xmlns:a="http://schemas.openxmlformats.org/drawingml/2006/main">
              <a:graphicData uri="http://schemas.openxmlformats.org/drawingml/2006/picture">
                <pic:pic xmlns:pic="http://schemas.openxmlformats.org/drawingml/2006/picture">
                  <pic:nvPicPr>
                    <pic:cNvPr id="795" name="Picture 795"/>
                    <pic:cNvPicPr/>
                  </pic:nvPicPr>
                  <pic:blipFill>
                    <a:blip r:embed="rId9"/>
                    <a:stretch>
                      <a:fillRect/>
                    </a:stretch>
                  </pic:blipFill>
                  <pic:spPr>
                    <a:xfrm>
                      <a:off x="0" y="0"/>
                      <a:ext cx="5892278" cy="4366109"/>
                    </a:xfrm>
                    <a:prstGeom prst="rect">
                      <a:avLst/>
                    </a:prstGeom>
                  </pic:spPr>
                </pic:pic>
              </a:graphicData>
            </a:graphic>
          </wp:inline>
        </w:drawing>
      </w:r>
    </w:p>
    <w:p w14:paraId="45763EBD" w14:textId="77777777" w:rsidR="00EB1A1B" w:rsidRDefault="0094337D">
      <w:pPr>
        <w:spacing w:after="3" w:line="241" w:lineRule="auto"/>
        <w:ind w:left="-5" w:right="354" w:hanging="10"/>
      </w:pPr>
      <w:r>
        <w:rPr>
          <w:rFonts w:ascii="Times New Roman" w:eastAsia="Times New Roman" w:hAnsi="Times New Roman" w:cs="Times New Roman"/>
          <w:sz w:val="25"/>
        </w:rPr>
        <w:t xml:space="preserve">The x and y-axis of the </w:t>
      </w:r>
      <w:proofErr w:type="spellStart"/>
      <w:r>
        <w:rPr>
          <w:rFonts w:ascii="Times New Roman" w:eastAsia="Times New Roman" w:hAnsi="Times New Roman" w:cs="Times New Roman"/>
          <w:sz w:val="25"/>
        </w:rPr>
        <w:t>heatmap</w:t>
      </w:r>
      <w:proofErr w:type="spellEnd"/>
      <w:r>
        <w:rPr>
          <w:rFonts w:ascii="Times New Roman" w:eastAsia="Times New Roman" w:hAnsi="Times New Roman" w:cs="Times New Roman"/>
          <w:sz w:val="25"/>
        </w:rPr>
        <w:t xml:space="preserve"> represent the column names of the dataset. Each cell in the </w:t>
      </w:r>
      <w:proofErr w:type="spellStart"/>
      <w:r>
        <w:rPr>
          <w:rFonts w:ascii="Times New Roman" w:eastAsia="Times New Roman" w:hAnsi="Times New Roman" w:cs="Times New Roman"/>
          <w:sz w:val="25"/>
        </w:rPr>
        <w:t>heatmap</w:t>
      </w:r>
      <w:proofErr w:type="spellEnd"/>
      <w:r>
        <w:rPr>
          <w:rFonts w:ascii="Times New Roman" w:eastAsia="Times New Roman" w:hAnsi="Times New Roman" w:cs="Times New Roman"/>
          <w:sz w:val="25"/>
        </w:rPr>
        <w:t xml:space="preserve"> represents the correlation coefficient between the corresponding pair of columns.</w:t>
      </w:r>
    </w:p>
    <w:p w14:paraId="6451A2B0" w14:textId="77777777" w:rsidR="00EB1A1B" w:rsidRDefault="0094337D">
      <w:pPr>
        <w:spacing w:after="3" w:line="241" w:lineRule="auto"/>
        <w:ind w:left="-5" w:right="7" w:hanging="10"/>
      </w:pPr>
      <w:r>
        <w:rPr>
          <w:rFonts w:ascii="Times New Roman" w:eastAsia="Times New Roman" w:hAnsi="Times New Roman" w:cs="Times New Roman"/>
          <w:sz w:val="25"/>
        </w:rPr>
        <w:t xml:space="preserve">The </w:t>
      </w:r>
      <w:proofErr w:type="spellStart"/>
      <w:r>
        <w:rPr>
          <w:rFonts w:ascii="Times New Roman" w:eastAsia="Times New Roman" w:hAnsi="Times New Roman" w:cs="Times New Roman"/>
          <w:sz w:val="25"/>
        </w:rPr>
        <w:t>color</w:t>
      </w:r>
      <w:proofErr w:type="spellEnd"/>
      <w:r>
        <w:rPr>
          <w:rFonts w:ascii="Times New Roman" w:eastAsia="Times New Roman" w:hAnsi="Times New Roman" w:cs="Times New Roman"/>
          <w:sz w:val="25"/>
        </w:rPr>
        <w:t xml:space="preserve"> of each cell indicates the strength and direction of correlation: positive correlation is typically represented by warmer </w:t>
      </w:r>
      <w:proofErr w:type="spellStart"/>
      <w:r>
        <w:rPr>
          <w:rFonts w:ascii="Times New Roman" w:eastAsia="Times New Roman" w:hAnsi="Times New Roman" w:cs="Times New Roman"/>
          <w:sz w:val="25"/>
        </w:rPr>
        <w:t>colors</w:t>
      </w:r>
      <w:proofErr w:type="spellEnd"/>
      <w:r>
        <w:rPr>
          <w:rFonts w:ascii="Times New Roman" w:eastAsia="Times New Roman" w:hAnsi="Times New Roman" w:cs="Times New Roman"/>
          <w:sz w:val="25"/>
        </w:rPr>
        <w:t xml:space="preserve"> (e.g., red), while negative correlation is represented by cooler </w:t>
      </w:r>
      <w:proofErr w:type="spellStart"/>
      <w:r>
        <w:rPr>
          <w:rFonts w:ascii="Times New Roman" w:eastAsia="Times New Roman" w:hAnsi="Times New Roman" w:cs="Times New Roman"/>
          <w:sz w:val="25"/>
        </w:rPr>
        <w:t>colors</w:t>
      </w:r>
      <w:proofErr w:type="spellEnd"/>
      <w:r>
        <w:rPr>
          <w:rFonts w:ascii="Times New Roman" w:eastAsia="Times New Roman" w:hAnsi="Times New Roman" w:cs="Times New Roman"/>
          <w:sz w:val="25"/>
        </w:rPr>
        <w:t xml:space="preserve"> (e.g., blue). A correlation coefficient close to 0 indicates no correlation.</w:t>
      </w:r>
    </w:p>
    <w:p w14:paraId="2ADB2576" w14:textId="77777777" w:rsidR="00EB1A1B" w:rsidRDefault="0094337D">
      <w:pPr>
        <w:spacing w:after="3" w:line="241" w:lineRule="auto"/>
        <w:ind w:left="-5" w:right="7" w:hanging="10"/>
      </w:pPr>
      <w:r>
        <w:rPr>
          <w:rFonts w:ascii="Times New Roman" w:eastAsia="Times New Roman" w:hAnsi="Times New Roman" w:cs="Times New Roman"/>
          <w:sz w:val="25"/>
        </w:rPr>
        <w:t xml:space="preserve">By visualizing the correlation matrix as a </w:t>
      </w:r>
      <w:proofErr w:type="spellStart"/>
      <w:r>
        <w:rPr>
          <w:rFonts w:ascii="Times New Roman" w:eastAsia="Times New Roman" w:hAnsi="Times New Roman" w:cs="Times New Roman"/>
          <w:sz w:val="25"/>
        </w:rPr>
        <w:t>heatmap</w:t>
      </w:r>
      <w:proofErr w:type="spellEnd"/>
      <w:r>
        <w:rPr>
          <w:rFonts w:ascii="Times New Roman" w:eastAsia="Times New Roman" w:hAnsi="Times New Roman" w:cs="Times New Roman"/>
          <w:sz w:val="25"/>
        </w:rPr>
        <w:t xml:space="preserve">, you can quickly identify patterns of correlation between different variables in the dataset. This helps in understanding the relationships between variables and identifying potential </w:t>
      </w:r>
      <w:proofErr w:type="spellStart"/>
      <w:r>
        <w:rPr>
          <w:rFonts w:ascii="Times New Roman" w:eastAsia="Times New Roman" w:hAnsi="Times New Roman" w:cs="Times New Roman"/>
          <w:sz w:val="25"/>
        </w:rPr>
        <w:t>multicollinearity</w:t>
      </w:r>
      <w:proofErr w:type="spellEnd"/>
      <w:r>
        <w:rPr>
          <w:rFonts w:ascii="Times New Roman" w:eastAsia="Times New Roman" w:hAnsi="Times New Roman" w:cs="Times New Roman"/>
          <w:sz w:val="25"/>
        </w:rPr>
        <w:t xml:space="preserve"> issues in regression analysis, among other things.</w:t>
      </w:r>
    </w:p>
    <w:p w14:paraId="3438EC72" w14:textId="77777777" w:rsidR="00EB1A1B" w:rsidRDefault="0094337D">
      <w:pPr>
        <w:spacing w:after="724"/>
      </w:pPr>
      <w:r>
        <w:rPr>
          <w:noProof/>
        </w:rPr>
        <w:drawing>
          <wp:inline distT="0" distB="0" distL="0" distR="0" wp14:anchorId="7FB56F54" wp14:editId="6E7CF3FB">
            <wp:extent cx="5892282" cy="2536187"/>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10"/>
                    <a:stretch>
                      <a:fillRect/>
                    </a:stretch>
                  </pic:blipFill>
                  <pic:spPr>
                    <a:xfrm>
                      <a:off x="0" y="0"/>
                      <a:ext cx="5892282" cy="2536187"/>
                    </a:xfrm>
                    <a:prstGeom prst="rect">
                      <a:avLst/>
                    </a:prstGeom>
                  </pic:spPr>
                </pic:pic>
              </a:graphicData>
            </a:graphic>
          </wp:inline>
        </w:drawing>
      </w:r>
    </w:p>
    <w:p w14:paraId="06D39D52" w14:textId="77777777" w:rsidR="00EB1A1B" w:rsidRDefault="0094337D">
      <w:pPr>
        <w:spacing w:after="3" w:line="241" w:lineRule="auto"/>
        <w:ind w:left="-5" w:right="7" w:hanging="10"/>
      </w:pPr>
      <w:r>
        <w:rPr>
          <w:rFonts w:ascii="Times New Roman" w:eastAsia="Times New Roman" w:hAnsi="Times New Roman" w:cs="Times New Roman"/>
          <w:sz w:val="25"/>
        </w:rPr>
        <w:t>This code generates a figure with three subplots arranged horizontally (side by side).Overall, this code visualizes the distribution of the 'Underweight' variable and compares it across different levels of 'Income Classification' using distribution plots and a bar plot.</w:t>
      </w:r>
    </w:p>
    <w:p w14:paraId="7F470656" w14:textId="77777777" w:rsidR="00EB1A1B" w:rsidRDefault="0094337D">
      <w:pPr>
        <w:spacing w:after="421"/>
      </w:pPr>
      <w:r>
        <w:rPr>
          <w:noProof/>
        </w:rPr>
        <w:drawing>
          <wp:inline distT="0" distB="0" distL="0" distR="0" wp14:anchorId="4AA8D7CC" wp14:editId="4A6B9170">
            <wp:extent cx="5892283" cy="5391803"/>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11"/>
                    <a:stretch>
                      <a:fillRect/>
                    </a:stretch>
                  </pic:blipFill>
                  <pic:spPr>
                    <a:xfrm>
                      <a:off x="0" y="0"/>
                      <a:ext cx="5892283" cy="5391803"/>
                    </a:xfrm>
                    <a:prstGeom prst="rect">
                      <a:avLst/>
                    </a:prstGeom>
                  </pic:spPr>
                </pic:pic>
              </a:graphicData>
            </a:graphic>
          </wp:inline>
        </w:drawing>
      </w:r>
    </w:p>
    <w:p w14:paraId="62CB103E" w14:textId="77777777" w:rsidR="00EB1A1B" w:rsidRDefault="0094337D">
      <w:pPr>
        <w:spacing w:after="3" w:line="241" w:lineRule="auto"/>
        <w:ind w:left="-5" w:right="7" w:hanging="10"/>
      </w:pPr>
      <w:r>
        <w:rPr>
          <w:rFonts w:ascii="Times New Roman" w:eastAsia="Times New Roman" w:hAnsi="Times New Roman" w:cs="Times New Roman"/>
          <w:sz w:val="25"/>
        </w:rPr>
        <w:t xml:space="preserve">The </w:t>
      </w:r>
      <w:proofErr w:type="spellStart"/>
      <w:r>
        <w:rPr>
          <w:rFonts w:ascii="Times New Roman" w:eastAsia="Times New Roman" w:hAnsi="Times New Roman" w:cs="Times New Roman"/>
          <w:sz w:val="25"/>
        </w:rPr>
        <w:t>pairplot</w:t>
      </w:r>
      <w:proofErr w:type="spellEnd"/>
      <w:r>
        <w:rPr>
          <w:rFonts w:ascii="Times New Roman" w:eastAsia="Times New Roman" w:hAnsi="Times New Roman" w:cs="Times New Roman"/>
          <w:sz w:val="25"/>
        </w:rPr>
        <w:t xml:space="preserve"> displays scatterplots for each combination of variables selected. Along the diagonal, it shows histograms of each individual variable. Each point on the scatterplot represents one observation (or row) in the dataset, and the position of the point corresponds to the values of the two variables being compared.</w:t>
      </w:r>
    </w:p>
    <w:p w14:paraId="233B163B" w14:textId="77777777" w:rsidR="00EB1A1B" w:rsidRDefault="0094337D">
      <w:pPr>
        <w:spacing w:after="1835" w:line="241" w:lineRule="auto"/>
        <w:ind w:left="-5" w:right="7" w:hanging="10"/>
      </w:pPr>
      <w:r>
        <w:rPr>
          <w:rFonts w:ascii="Times New Roman" w:eastAsia="Times New Roman" w:hAnsi="Times New Roman" w:cs="Times New Roman"/>
          <w:sz w:val="25"/>
        </w:rPr>
        <w:t>By visualizing the pairwise relationships between these variables, you can quickly identify patterns, correlations, and potential outliers in the data. For example, you can assess whether there's a linear relationship between variables, check for the presence of clusters, or observe the distribution of each variable individually along the diagonal.</w:t>
      </w:r>
    </w:p>
    <w:p w14:paraId="2CD0AB01" w14:textId="77777777" w:rsidR="00EB1A1B" w:rsidRDefault="0094337D">
      <w:pPr>
        <w:spacing w:after="0"/>
      </w:pPr>
      <w:r>
        <w:rPr>
          <w:noProof/>
        </w:rPr>
        <w:drawing>
          <wp:inline distT="0" distB="0" distL="0" distR="0" wp14:anchorId="1BB757D9" wp14:editId="63B1D15C">
            <wp:extent cx="5892279" cy="4256227"/>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12"/>
                    <a:stretch>
                      <a:fillRect/>
                    </a:stretch>
                  </pic:blipFill>
                  <pic:spPr>
                    <a:xfrm>
                      <a:off x="0" y="0"/>
                      <a:ext cx="5892279" cy="4256227"/>
                    </a:xfrm>
                    <a:prstGeom prst="rect">
                      <a:avLst/>
                    </a:prstGeom>
                  </pic:spPr>
                </pic:pic>
              </a:graphicData>
            </a:graphic>
          </wp:inline>
        </w:drawing>
      </w:r>
    </w:p>
    <w:p w14:paraId="5C3D0979" w14:textId="77777777" w:rsidR="00EB1A1B" w:rsidRDefault="0094337D">
      <w:pPr>
        <w:spacing w:after="1468" w:line="241" w:lineRule="auto"/>
        <w:ind w:left="-5" w:right="7" w:hanging="10"/>
      </w:pPr>
      <w:r>
        <w:rPr>
          <w:rFonts w:ascii="Times New Roman" w:eastAsia="Times New Roman" w:hAnsi="Times New Roman" w:cs="Times New Roman"/>
          <w:sz w:val="25"/>
        </w:rPr>
        <w:t>The KDE plot is a way to visualize the probability density function of a continuous random variable. It provides a smoothed estimate of the probability density function based on the observed data points. In this case, the KDE plot shows the distribution of the 'U5 Population ('000s)' variable, allowing you to visualize the shape and spread of the data. The shaded area under the curve represents the estimated probability density at each point along the x-axis.</w:t>
      </w:r>
    </w:p>
    <w:p w14:paraId="2CA14512" w14:textId="77777777" w:rsidR="00EB1A1B" w:rsidRDefault="0094337D">
      <w:pPr>
        <w:spacing w:after="408"/>
      </w:pPr>
      <w:r>
        <w:rPr>
          <w:noProof/>
        </w:rPr>
        <w:drawing>
          <wp:inline distT="0" distB="0" distL="0" distR="0" wp14:anchorId="37B992BC" wp14:editId="653F07BE">
            <wp:extent cx="5892280" cy="4002609"/>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13"/>
                    <a:stretch>
                      <a:fillRect/>
                    </a:stretch>
                  </pic:blipFill>
                  <pic:spPr>
                    <a:xfrm>
                      <a:off x="0" y="0"/>
                      <a:ext cx="5892280" cy="4002609"/>
                    </a:xfrm>
                    <a:prstGeom prst="rect">
                      <a:avLst/>
                    </a:prstGeom>
                  </pic:spPr>
                </pic:pic>
              </a:graphicData>
            </a:graphic>
          </wp:inline>
        </w:drawing>
      </w:r>
    </w:p>
    <w:p w14:paraId="41E37C69" w14:textId="77777777" w:rsidR="00EB1A1B" w:rsidRDefault="0094337D">
      <w:pPr>
        <w:spacing w:after="235" w:line="241" w:lineRule="auto"/>
        <w:ind w:left="-5" w:right="7" w:hanging="10"/>
      </w:pPr>
      <w:r>
        <w:rPr>
          <w:rFonts w:ascii="Times New Roman" w:eastAsia="Times New Roman" w:hAnsi="Times New Roman" w:cs="Times New Roman"/>
          <w:sz w:val="25"/>
        </w:rPr>
        <w:t>The scatter plot visually represents the relationship between the 'Underweight' variable and the 'U5 Population ('000s)' variable. Each point on the plot represents an observation in the dataset, where the x-coordinate is the value of 'Underweight' and the y-coordinate is the value of 'U5 Population ('000s)'. This allows you to visualize any potential relationship or pattern between these two variables.</w:t>
      </w:r>
    </w:p>
    <w:p w14:paraId="4F289CD0" w14:textId="77777777" w:rsidR="00EB1A1B" w:rsidRDefault="0094337D">
      <w:pPr>
        <w:spacing w:after="368"/>
      </w:pPr>
      <w:r>
        <w:rPr>
          <w:noProof/>
        </w:rPr>
        <w:drawing>
          <wp:inline distT="0" distB="0" distL="0" distR="0" wp14:anchorId="3E18EEDF" wp14:editId="5D90BB99">
            <wp:extent cx="5892283" cy="2694071"/>
            <wp:effectExtent l="0" t="0" r="0" b="0"/>
            <wp:docPr id="880" name="Picture 880"/>
            <wp:cNvGraphicFramePr/>
            <a:graphic xmlns:a="http://schemas.openxmlformats.org/drawingml/2006/main">
              <a:graphicData uri="http://schemas.openxmlformats.org/drawingml/2006/picture">
                <pic:pic xmlns:pic="http://schemas.openxmlformats.org/drawingml/2006/picture">
                  <pic:nvPicPr>
                    <pic:cNvPr id="880" name="Picture 880"/>
                    <pic:cNvPicPr/>
                  </pic:nvPicPr>
                  <pic:blipFill>
                    <a:blip r:embed="rId14"/>
                    <a:stretch>
                      <a:fillRect/>
                    </a:stretch>
                  </pic:blipFill>
                  <pic:spPr>
                    <a:xfrm>
                      <a:off x="0" y="0"/>
                      <a:ext cx="5892283" cy="2694071"/>
                    </a:xfrm>
                    <a:prstGeom prst="rect">
                      <a:avLst/>
                    </a:prstGeom>
                  </pic:spPr>
                </pic:pic>
              </a:graphicData>
            </a:graphic>
          </wp:inline>
        </w:drawing>
      </w:r>
    </w:p>
    <w:p w14:paraId="6414BB24" w14:textId="77777777" w:rsidR="00EB1A1B" w:rsidRDefault="0094337D">
      <w:pPr>
        <w:spacing w:after="3" w:line="241" w:lineRule="auto"/>
        <w:ind w:left="-5" w:right="7" w:hanging="10"/>
      </w:pPr>
      <w:r>
        <w:rPr>
          <w:rFonts w:ascii="Times New Roman" w:eastAsia="Times New Roman" w:hAnsi="Times New Roman" w:cs="Times New Roman"/>
          <w:sz w:val="25"/>
        </w:rPr>
        <w:t xml:space="preserve">Bar plot using </w:t>
      </w:r>
      <w:proofErr w:type="spellStart"/>
      <w:r>
        <w:rPr>
          <w:rFonts w:ascii="Times New Roman" w:eastAsia="Times New Roman" w:hAnsi="Times New Roman" w:cs="Times New Roman"/>
          <w:sz w:val="25"/>
        </w:rPr>
        <w:t>Seaborn's</w:t>
      </w:r>
      <w:proofErr w:type="spellEnd"/>
      <w:r>
        <w:rPr>
          <w:rFonts w:ascii="Times New Roman" w:eastAsia="Times New Roman" w:hAnsi="Times New Roman" w:cs="Times New Roman"/>
          <w:sz w:val="25"/>
        </w:rPr>
        <w:t xml:space="preserve"> </w:t>
      </w:r>
      <w:proofErr w:type="spellStart"/>
      <w:r>
        <w:rPr>
          <w:rFonts w:ascii="Times New Roman" w:eastAsia="Times New Roman" w:hAnsi="Times New Roman" w:cs="Times New Roman"/>
          <w:sz w:val="25"/>
        </w:rPr>
        <w:t>barplot</w:t>
      </w:r>
      <w:proofErr w:type="spellEnd"/>
      <w:r>
        <w:rPr>
          <w:rFonts w:ascii="Times New Roman" w:eastAsia="Times New Roman" w:hAnsi="Times New Roman" w:cs="Times New Roman"/>
          <w:sz w:val="25"/>
        </w:rPr>
        <w:t xml:space="preserve"> </w:t>
      </w:r>
      <w:proofErr w:type="spellStart"/>
      <w:r>
        <w:rPr>
          <w:rFonts w:ascii="Times New Roman" w:eastAsia="Times New Roman" w:hAnsi="Times New Roman" w:cs="Times New Roman"/>
          <w:sz w:val="25"/>
        </w:rPr>
        <w:t>function.The</w:t>
      </w:r>
      <w:proofErr w:type="spellEnd"/>
      <w:r>
        <w:rPr>
          <w:rFonts w:ascii="Times New Roman" w:eastAsia="Times New Roman" w:hAnsi="Times New Roman" w:cs="Times New Roman"/>
          <w:sz w:val="25"/>
        </w:rPr>
        <w:t xml:space="preserve"> resulting plot shows the average severity of wasting (% Severe Wasting) for each income classification group. Each bar represents a different income classification, and its height indicates the average severity of wasting for that group</w:t>
      </w:r>
    </w:p>
    <w:p w14:paraId="0A5C3D48" w14:textId="77777777" w:rsidR="00EB1A1B" w:rsidRDefault="0094337D">
      <w:pPr>
        <w:spacing w:after="408"/>
      </w:pPr>
      <w:r>
        <w:rPr>
          <w:noProof/>
        </w:rPr>
        <w:drawing>
          <wp:inline distT="0" distB="0" distL="0" distR="0" wp14:anchorId="1479CD94" wp14:editId="1FD056F2">
            <wp:extent cx="5892282" cy="2520792"/>
            <wp:effectExtent l="0" t="0" r="0" b="0"/>
            <wp:docPr id="896" name="Picture 896"/>
            <wp:cNvGraphicFramePr/>
            <a:graphic xmlns:a="http://schemas.openxmlformats.org/drawingml/2006/main">
              <a:graphicData uri="http://schemas.openxmlformats.org/drawingml/2006/picture">
                <pic:pic xmlns:pic="http://schemas.openxmlformats.org/drawingml/2006/picture">
                  <pic:nvPicPr>
                    <pic:cNvPr id="896" name="Picture 896"/>
                    <pic:cNvPicPr/>
                  </pic:nvPicPr>
                  <pic:blipFill>
                    <a:blip r:embed="rId15"/>
                    <a:stretch>
                      <a:fillRect/>
                    </a:stretch>
                  </pic:blipFill>
                  <pic:spPr>
                    <a:xfrm>
                      <a:off x="0" y="0"/>
                      <a:ext cx="5892282" cy="2520792"/>
                    </a:xfrm>
                    <a:prstGeom prst="rect">
                      <a:avLst/>
                    </a:prstGeom>
                  </pic:spPr>
                </pic:pic>
              </a:graphicData>
            </a:graphic>
          </wp:inline>
        </w:drawing>
      </w:r>
    </w:p>
    <w:p w14:paraId="0FA7A789" w14:textId="77777777" w:rsidR="00EB1A1B" w:rsidRDefault="0094337D">
      <w:pPr>
        <w:spacing w:after="3" w:line="241" w:lineRule="auto"/>
        <w:ind w:left="-5" w:right="7" w:hanging="10"/>
      </w:pPr>
      <w:r>
        <w:rPr>
          <w:rFonts w:ascii="Times New Roman" w:eastAsia="Times New Roman" w:hAnsi="Times New Roman" w:cs="Times New Roman"/>
          <w:sz w:val="25"/>
        </w:rPr>
        <w:t>This output generates a figure with three subplots arranged horizontally (side by side).</w:t>
      </w:r>
    </w:p>
    <w:p w14:paraId="2DD2E4F9" w14:textId="77777777" w:rsidR="00EB1A1B" w:rsidRDefault="0094337D">
      <w:pPr>
        <w:spacing w:after="3" w:line="241" w:lineRule="auto"/>
        <w:ind w:left="-5" w:right="7" w:hanging="10"/>
      </w:pPr>
      <w:r>
        <w:rPr>
          <w:rFonts w:ascii="Times New Roman" w:eastAsia="Times New Roman" w:hAnsi="Times New Roman" w:cs="Times New Roman"/>
          <w:sz w:val="25"/>
        </w:rPr>
        <w:t xml:space="preserve">It creates density plots (using </w:t>
      </w:r>
      <w:proofErr w:type="spellStart"/>
      <w:r>
        <w:rPr>
          <w:rFonts w:ascii="Times New Roman" w:eastAsia="Times New Roman" w:hAnsi="Times New Roman" w:cs="Times New Roman"/>
          <w:sz w:val="25"/>
        </w:rPr>
        <w:t>sns.distplot</w:t>
      </w:r>
      <w:proofErr w:type="spellEnd"/>
      <w:r>
        <w:rPr>
          <w:rFonts w:ascii="Times New Roman" w:eastAsia="Times New Roman" w:hAnsi="Times New Roman" w:cs="Times New Roman"/>
          <w:sz w:val="25"/>
        </w:rPr>
        <w:t>) for the 'Underweight' column on the first and second subplots, differentiated by the 'LIFD' status. The first subplot shows the distribution of 'Underweight' for the entire dataset, while the second subplot shows the distribution only for rows where 'LIFD' is 1 (in red) and 0 (in green).</w:t>
      </w:r>
    </w:p>
    <w:p w14:paraId="0EA6F2C3" w14:textId="77777777" w:rsidR="00EB1A1B" w:rsidRDefault="0094337D">
      <w:pPr>
        <w:spacing w:after="860" w:line="241" w:lineRule="auto"/>
        <w:ind w:left="-5" w:right="7" w:hanging="10"/>
      </w:pPr>
      <w:r>
        <w:rPr>
          <w:rFonts w:ascii="Times New Roman" w:eastAsia="Times New Roman" w:hAnsi="Times New Roman" w:cs="Times New Roman"/>
          <w:sz w:val="25"/>
        </w:rPr>
        <w:t>The final output visualizes the distribution of 'Underweight' across different 'LIFD' groups using density plots and bar plots</w:t>
      </w:r>
    </w:p>
    <w:p w14:paraId="35BBCF33" w14:textId="77777777" w:rsidR="00EB1A1B" w:rsidRDefault="0094337D">
      <w:pPr>
        <w:spacing w:after="0"/>
        <w:ind w:left="-5" w:hanging="10"/>
      </w:pPr>
      <w:r>
        <w:rPr>
          <w:rFonts w:ascii="Times New Roman" w:eastAsia="Times New Roman" w:hAnsi="Times New Roman" w:cs="Times New Roman"/>
          <w:sz w:val="26"/>
          <w:u w:val="single" w:color="000000"/>
        </w:rPr>
        <w:t>Results:</w:t>
      </w:r>
    </w:p>
    <w:p w14:paraId="01089F63" w14:textId="77777777" w:rsidR="00EB1A1B" w:rsidRDefault="0094337D">
      <w:pPr>
        <w:spacing w:after="459" w:line="288" w:lineRule="auto"/>
        <w:jc w:val="both"/>
      </w:pPr>
      <w:r>
        <w:rPr>
          <w:rFonts w:ascii="Times New Roman" w:eastAsia="Times New Roman" w:hAnsi="Times New Roman" w:cs="Times New Roman"/>
          <w:color w:val="333333"/>
          <w:sz w:val="23"/>
        </w:rPr>
        <w:t>The CIAF status of children was found to be positively associated with the male gender, the potency of contracting a disease, and multiple births. However, it was negatively associated with family wealth quartiles, parental level of education, place of residence, unemployment status of mothers, improved sanitation, media exposure, and survey years. Moreover, the study revealed significant spatial variations on the level of CIAF among administrative zones.</w:t>
      </w:r>
    </w:p>
    <w:p w14:paraId="42D753DC" w14:textId="77777777" w:rsidR="00EB1A1B" w:rsidRDefault="0094337D">
      <w:pPr>
        <w:spacing w:after="0"/>
        <w:ind w:left="-5" w:hanging="10"/>
      </w:pPr>
      <w:r>
        <w:rPr>
          <w:rFonts w:ascii="Times New Roman" w:eastAsia="Times New Roman" w:hAnsi="Times New Roman" w:cs="Times New Roman"/>
          <w:sz w:val="26"/>
          <w:u w:val="single" w:color="000000"/>
        </w:rPr>
        <w:t xml:space="preserve">Benefits of Data analysis and visualization of </w:t>
      </w:r>
      <w:proofErr w:type="spellStart"/>
      <w:r>
        <w:rPr>
          <w:rFonts w:ascii="Times New Roman" w:eastAsia="Times New Roman" w:hAnsi="Times New Roman" w:cs="Times New Roman"/>
          <w:sz w:val="26"/>
          <w:u w:val="single" w:color="000000"/>
        </w:rPr>
        <w:t>Malnutrion</w:t>
      </w:r>
      <w:proofErr w:type="spellEnd"/>
      <w:r>
        <w:rPr>
          <w:rFonts w:ascii="Times New Roman" w:eastAsia="Times New Roman" w:hAnsi="Times New Roman" w:cs="Times New Roman"/>
          <w:sz w:val="26"/>
          <w:u w:val="single" w:color="000000"/>
        </w:rPr>
        <w:t xml:space="preserve"> dataset:</w:t>
      </w:r>
    </w:p>
    <w:p w14:paraId="59B8EFEB" w14:textId="77777777" w:rsidR="00EB1A1B" w:rsidRDefault="0094337D">
      <w:pPr>
        <w:spacing w:after="249" w:line="279" w:lineRule="auto"/>
        <w:ind w:left="-5" w:right="-15" w:hanging="10"/>
        <w:jc w:val="both"/>
      </w:pPr>
      <w:r>
        <w:rPr>
          <w:rFonts w:ascii="Times New Roman" w:eastAsia="Times New Roman" w:hAnsi="Times New Roman" w:cs="Times New Roman"/>
          <w:sz w:val="23"/>
        </w:rPr>
        <w:t>Data analysis and visualization of malnutrition datasets offer numerous benefits across various domains:</w:t>
      </w:r>
    </w:p>
    <w:p w14:paraId="26D8FD3D" w14:textId="77777777" w:rsidR="00EB1A1B" w:rsidRDefault="0094337D">
      <w:pPr>
        <w:numPr>
          <w:ilvl w:val="0"/>
          <w:numId w:val="2"/>
        </w:numPr>
        <w:spacing w:after="249" w:line="279" w:lineRule="auto"/>
        <w:ind w:right="-15" w:hanging="10"/>
        <w:jc w:val="both"/>
      </w:pPr>
      <w:r>
        <w:rPr>
          <w:rFonts w:ascii="Times New Roman" w:eastAsia="Times New Roman" w:hAnsi="Times New Roman" w:cs="Times New Roman"/>
          <w:sz w:val="23"/>
        </w:rPr>
        <w:t xml:space="preserve">Insight Generation: By </w:t>
      </w:r>
      <w:proofErr w:type="spellStart"/>
      <w:r>
        <w:rPr>
          <w:rFonts w:ascii="Times New Roman" w:eastAsia="Times New Roman" w:hAnsi="Times New Roman" w:cs="Times New Roman"/>
          <w:sz w:val="23"/>
        </w:rPr>
        <w:t>analyzing</w:t>
      </w:r>
      <w:proofErr w:type="spellEnd"/>
      <w:r>
        <w:rPr>
          <w:rFonts w:ascii="Times New Roman" w:eastAsia="Times New Roman" w:hAnsi="Times New Roman" w:cs="Times New Roman"/>
          <w:sz w:val="23"/>
        </w:rPr>
        <w:t xml:space="preserve"> malnutrition data, one can gain insights into the prevalence, distribution, and determinants of malnutrition across different demographics, regions, and socioeconomic groups.</w:t>
      </w:r>
    </w:p>
    <w:p w14:paraId="6D77D217" w14:textId="77777777" w:rsidR="00EB1A1B" w:rsidRDefault="0094337D">
      <w:pPr>
        <w:numPr>
          <w:ilvl w:val="0"/>
          <w:numId w:val="2"/>
        </w:numPr>
        <w:spacing w:after="249" w:line="279" w:lineRule="auto"/>
        <w:ind w:right="-15" w:hanging="10"/>
        <w:jc w:val="both"/>
      </w:pPr>
      <w:r>
        <w:rPr>
          <w:rFonts w:ascii="Times New Roman" w:eastAsia="Times New Roman" w:hAnsi="Times New Roman" w:cs="Times New Roman"/>
          <w:sz w:val="23"/>
        </w:rPr>
        <w:t>Policy Formulation: Governments and policymakers can leverage data analysis to formulate evidence-based policies and interventions aimed at addressing malnutrition. For instance, identifying high-risk areas or populations can help in targeting resources effectively.</w:t>
      </w:r>
    </w:p>
    <w:p w14:paraId="28C3C0C1" w14:textId="77777777" w:rsidR="00EB1A1B" w:rsidRDefault="0094337D">
      <w:pPr>
        <w:numPr>
          <w:ilvl w:val="0"/>
          <w:numId w:val="2"/>
        </w:numPr>
        <w:spacing w:after="249" w:line="279" w:lineRule="auto"/>
        <w:ind w:right="-15" w:hanging="10"/>
        <w:jc w:val="both"/>
      </w:pPr>
      <w:r>
        <w:rPr>
          <w:rFonts w:ascii="Times New Roman" w:eastAsia="Times New Roman" w:hAnsi="Times New Roman" w:cs="Times New Roman"/>
          <w:sz w:val="23"/>
        </w:rPr>
        <w:t>Resource Allocation: Analysis of malnutrition data can inform resource allocation decisions, such as directing funding towards regions or communities with the highest prevalence of malnutrition.</w:t>
      </w:r>
    </w:p>
    <w:p w14:paraId="78C68473" w14:textId="77777777" w:rsidR="00EB1A1B" w:rsidRDefault="0094337D">
      <w:pPr>
        <w:numPr>
          <w:ilvl w:val="0"/>
          <w:numId w:val="2"/>
        </w:numPr>
        <w:spacing w:after="249" w:line="279" w:lineRule="auto"/>
        <w:ind w:right="-15" w:hanging="10"/>
        <w:jc w:val="both"/>
      </w:pPr>
      <w:r>
        <w:rPr>
          <w:rFonts w:ascii="Times New Roman" w:eastAsia="Times New Roman" w:hAnsi="Times New Roman" w:cs="Times New Roman"/>
          <w:sz w:val="23"/>
        </w:rPr>
        <w:t>Monitoring and Evaluation: Data analysis allows for ongoing monitoring and evaluation of malnutrition interventions. By tracking key indicators over time, stakeholders can assess the effectiveness of programs and make necessary adjustments.</w:t>
      </w:r>
    </w:p>
    <w:p w14:paraId="72D435E5" w14:textId="77777777" w:rsidR="00EB1A1B" w:rsidRDefault="0094337D">
      <w:pPr>
        <w:numPr>
          <w:ilvl w:val="0"/>
          <w:numId w:val="2"/>
        </w:numPr>
        <w:spacing w:after="249" w:line="279" w:lineRule="auto"/>
        <w:ind w:right="-15" w:hanging="10"/>
        <w:jc w:val="both"/>
      </w:pPr>
      <w:r>
        <w:rPr>
          <w:rFonts w:ascii="Times New Roman" w:eastAsia="Times New Roman" w:hAnsi="Times New Roman" w:cs="Times New Roman"/>
          <w:sz w:val="23"/>
        </w:rPr>
        <w:t>Early Warning Systems: Analysis of trends in malnutrition data can serve as an early warning system for identifying emerging issues or areas where intervention is needed before situations escalate.</w:t>
      </w:r>
    </w:p>
    <w:p w14:paraId="522497A3" w14:textId="77777777" w:rsidR="00EB1A1B" w:rsidRDefault="0094337D">
      <w:pPr>
        <w:numPr>
          <w:ilvl w:val="0"/>
          <w:numId w:val="2"/>
        </w:numPr>
        <w:spacing w:after="249" w:line="279" w:lineRule="auto"/>
        <w:ind w:right="-15" w:hanging="10"/>
        <w:jc w:val="both"/>
      </w:pPr>
      <w:r>
        <w:rPr>
          <w:rFonts w:ascii="Times New Roman" w:eastAsia="Times New Roman" w:hAnsi="Times New Roman" w:cs="Times New Roman"/>
          <w:sz w:val="23"/>
        </w:rPr>
        <w:t>Research and Innovation: Researchers can use malnutrition data to identify patterns, correlations, and risk factors associated with malnutrition, leading to the development of new approaches for prevention and treatment.</w:t>
      </w:r>
    </w:p>
    <w:p w14:paraId="60DA3562" w14:textId="77777777" w:rsidR="00EB1A1B" w:rsidRDefault="0094337D">
      <w:pPr>
        <w:numPr>
          <w:ilvl w:val="0"/>
          <w:numId w:val="2"/>
        </w:numPr>
        <w:spacing w:after="249" w:line="279" w:lineRule="auto"/>
        <w:ind w:right="-15" w:hanging="10"/>
        <w:jc w:val="both"/>
      </w:pPr>
      <w:r>
        <w:rPr>
          <w:rFonts w:ascii="Times New Roman" w:eastAsia="Times New Roman" w:hAnsi="Times New Roman" w:cs="Times New Roman"/>
          <w:sz w:val="23"/>
        </w:rPr>
        <w:t>Public Awareness and Advocacy: Visualizations of malnutrition data can effectively communicate the severity of the issue to the public and policymakers, fostering greater awareness and advocacy for action.</w:t>
      </w:r>
    </w:p>
    <w:p w14:paraId="2E3EE365" w14:textId="77777777" w:rsidR="00EB1A1B" w:rsidRDefault="0094337D">
      <w:pPr>
        <w:numPr>
          <w:ilvl w:val="0"/>
          <w:numId w:val="2"/>
        </w:numPr>
        <w:spacing w:after="249" w:line="279" w:lineRule="auto"/>
        <w:ind w:right="-15" w:hanging="10"/>
        <w:jc w:val="both"/>
      </w:pPr>
      <w:r>
        <w:rPr>
          <w:rFonts w:ascii="Times New Roman" w:eastAsia="Times New Roman" w:hAnsi="Times New Roman" w:cs="Times New Roman"/>
          <w:sz w:val="23"/>
        </w:rPr>
        <w:t>Healthcare Planning: Healthcare providers can use malnutrition data to plan and allocate resources for the treatment and management of malnutrition-related health conditions.</w:t>
      </w:r>
    </w:p>
    <w:p w14:paraId="3DA657A8" w14:textId="77777777" w:rsidR="00EB1A1B" w:rsidRDefault="0094337D">
      <w:pPr>
        <w:numPr>
          <w:ilvl w:val="0"/>
          <w:numId w:val="2"/>
        </w:numPr>
        <w:spacing w:after="249" w:line="279" w:lineRule="auto"/>
        <w:ind w:right="-15" w:hanging="10"/>
        <w:jc w:val="both"/>
      </w:pPr>
      <w:r>
        <w:rPr>
          <w:rFonts w:ascii="Times New Roman" w:eastAsia="Times New Roman" w:hAnsi="Times New Roman" w:cs="Times New Roman"/>
          <w:sz w:val="23"/>
        </w:rPr>
        <w:t>Education and Training: Malnutrition data analysis can inform educational programs and training initiatives for healthcare professionals, policymakers, and community workers involved in addressing malnutrition.</w:t>
      </w:r>
    </w:p>
    <w:p w14:paraId="317DAA30" w14:textId="77777777" w:rsidR="00EB1A1B" w:rsidRDefault="0094337D">
      <w:pPr>
        <w:numPr>
          <w:ilvl w:val="0"/>
          <w:numId w:val="2"/>
        </w:numPr>
        <w:spacing w:after="249" w:line="279" w:lineRule="auto"/>
        <w:ind w:right="-15" w:hanging="10"/>
        <w:jc w:val="both"/>
      </w:pPr>
      <w:r>
        <w:rPr>
          <w:rFonts w:ascii="Times New Roman" w:eastAsia="Times New Roman" w:hAnsi="Times New Roman" w:cs="Times New Roman"/>
          <w:sz w:val="23"/>
        </w:rPr>
        <w:t>International Collaboration: Data sharing and collaborative analysis of malnutrition data at the international level can facilitate knowledge exchange, best practice sharing, and coordinated efforts to combat malnutrition globally.</w:t>
      </w:r>
    </w:p>
    <w:p w14:paraId="3CF6CB54" w14:textId="77777777" w:rsidR="00EB1A1B" w:rsidRDefault="0094337D">
      <w:pPr>
        <w:spacing w:after="235" w:line="265" w:lineRule="auto"/>
        <w:ind w:left="-5" w:right="5014" w:hanging="10"/>
      </w:pPr>
      <w:r>
        <w:rPr>
          <w:rFonts w:ascii="Times New Roman" w:eastAsia="Times New Roman" w:hAnsi="Times New Roman" w:cs="Times New Roman"/>
          <w:sz w:val="26"/>
        </w:rPr>
        <w:t>Conclusion:</w:t>
      </w:r>
    </w:p>
    <w:p w14:paraId="62E331D3" w14:textId="77777777" w:rsidR="00EB1A1B" w:rsidRDefault="0094337D">
      <w:pPr>
        <w:spacing w:after="0" w:line="257" w:lineRule="auto"/>
      </w:pPr>
      <w:r>
        <w:rPr>
          <w:rFonts w:ascii="Times New Roman" w:eastAsia="Times New Roman" w:hAnsi="Times New Roman" w:cs="Times New Roman"/>
          <w:sz w:val="23"/>
        </w:rPr>
        <w:t>In conclusion, data analysis and visualization of malnutrition datasets offer a multifaceted approach to understanding, addressing, and mitigating the impact of malnutrition globally. By leveraging the power of data, stakeholders across various sectors can gain valuable insights into the prevalence, determinants, and consequences of malnutrition, ultimately leading to more effective policies, interventions, and resource allocation strategies. Through ongoing monitoring, evaluation, and research, data analys</w:t>
      </w:r>
      <w:r>
        <w:rPr>
          <w:rFonts w:ascii="Times New Roman" w:eastAsia="Times New Roman" w:hAnsi="Times New Roman" w:cs="Times New Roman"/>
          <w:sz w:val="23"/>
        </w:rPr>
        <w:t>is serves as a catalyst for innovation and continuous improvement in the fight against malnutrition. Moreover, the visualization of malnutrition data not only enhances communication and awareness but also fosters collaboration, advocacy, and collective action on a local, national, and international scale. Embracing data-driven approaches empowers societies to tackle malnutrition comprehensively, ensuring healthier and more resilient communities now and in the future.</w:t>
      </w:r>
    </w:p>
    <w:sectPr w:rsidR="00EB1A1B">
      <w:headerReference w:type="even" r:id="rId16"/>
      <w:headerReference w:type="default" r:id="rId17"/>
      <w:headerReference w:type="first" r:id="rId18"/>
      <w:pgSz w:w="12240" w:h="15840"/>
      <w:pgMar w:top="4396" w:right="1480" w:bottom="956" w:left="1480" w:header="66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61161" w14:textId="77777777" w:rsidR="0094337D" w:rsidRDefault="0094337D">
      <w:pPr>
        <w:spacing w:after="0" w:line="240" w:lineRule="auto"/>
      </w:pPr>
      <w:r>
        <w:separator/>
      </w:r>
    </w:p>
  </w:endnote>
  <w:endnote w:type="continuationSeparator" w:id="0">
    <w:p w14:paraId="72D55299" w14:textId="77777777" w:rsidR="0094337D" w:rsidRDefault="00943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2FA5D" w14:textId="77777777" w:rsidR="0094337D" w:rsidRDefault="0094337D">
      <w:pPr>
        <w:spacing w:after="0" w:line="240" w:lineRule="auto"/>
      </w:pPr>
      <w:r>
        <w:separator/>
      </w:r>
    </w:p>
  </w:footnote>
  <w:footnote w:type="continuationSeparator" w:id="0">
    <w:p w14:paraId="00D7E915" w14:textId="77777777" w:rsidR="0094337D" w:rsidRDefault="009433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C5E35" w14:textId="77777777" w:rsidR="00EB1A1B" w:rsidRDefault="0094337D">
    <w:pPr>
      <w:spacing w:after="0"/>
      <w:ind w:left="-1480" w:right="10760"/>
    </w:pPr>
    <w:r>
      <w:rPr>
        <w:noProof/>
      </w:rPr>
      <w:drawing>
        <wp:anchor distT="0" distB="0" distL="114300" distR="114300" simplePos="0" relativeHeight="251658240" behindDoc="0" locked="0" layoutInCell="1" allowOverlap="0" wp14:anchorId="26C88226" wp14:editId="7535C4BE">
          <wp:simplePos x="0" y="0"/>
          <wp:positionH relativeFrom="page">
            <wp:posOffset>940052</wp:posOffset>
          </wp:positionH>
          <wp:positionV relativeFrom="page">
            <wp:posOffset>422933</wp:posOffset>
          </wp:positionV>
          <wp:extent cx="6836664" cy="1213104"/>
          <wp:effectExtent l="0" t="0" r="0" b="0"/>
          <wp:wrapSquare wrapText="bothSides"/>
          <wp:docPr id="8703" name="Picture 8703"/>
          <wp:cNvGraphicFramePr/>
          <a:graphic xmlns:a="http://schemas.openxmlformats.org/drawingml/2006/main">
            <a:graphicData uri="http://schemas.openxmlformats.org/drawingml/2006/picture">
              <pic:pic xmlns:pic="http://schemas.openxmlformats.org/drawingml/2006/picture">
                <pic:nvPicPr>
                  <pic:cNvPr id="8703" name="Picture 8703"/>
                  <pic:cNvPicPr/>
                </pic:nvPicPr>
                <pic:blipFill>
                  <a:blip r:embed="rId1"/>
                  <a:stretch>
                    <a:fillRect/>
                  </a:stretch>
                </pic:blipFill>
                <pic:spPr>
                  <a:xfrm>
                    <a:off x="0" y="0"/>
                    <a:ext cx="6836664" cy="1213104"/>
                  </a:xfrm>
                  <a:prstGeom prst="rect">
                    <a:avLst/>
                  </a:prstGeom>
                </pic:spPr>
              </pic:pic>
            </a:graphicData>
          </a:graphic>
        </wp:anchor>
      </w:drawing>
    </w:r>
  </w:p>
  <w:p w14:paraId="7E86CD46" w14:textId="77777777" w:rsidR="00EB1A1B" w:rsidRDefault="0094337D">
    <w:r>
      <w:rPr>
        <w:noProof/>
      </w:rPr>
      <mc:AlternateContent>
        <mc:Choice Requires="wpg">
          <w:drawing>
            <wp:anchor distT="0" distB="0" distL="114300" distR="114300" simplePos="0" relativeHeight="251659264" behindDoc="1" locked="0" layoutInCell="1" allowOverlap="1" wp14:anchorId="2AC99E2B" wp14:editId="13C595BD">
              <wp:simplePos x="0" y="0"/>
              <wp:positionH relativeFrom="page">
                <wp:posOffset>0</wp:posOffset>
              </wp:positionH>
              <wp:positionV relativeFrom="page">
                <wp:posOffset>0</wp:posOffset>
              </wp:positionV>
              <wp:extent cx="1" cy="1"/>
              <wp:effectExtent l="0" t="0" r="0" b="0"/>
              <wp:wrapNone/>
              <wp:docPr id="10700" name="Group 1070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700"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D8FB" w14:textId="77777777" w:rsidR="00EB1A1B" w:rsidRDefault="0094337D">
    <w:pPr>
      <w:spacing w:after="0"/>
      <w:ind w:left="-1480" w:right="10760"/>
    </w:pPr>
    <w:r>
      <w:rPr>
        <w:noProof/>
      </w:rPr>
      <w:drawing>
        <wp:anchor distT="0" distB="0" distL="114300" distR="114300" simplePos="0" relativeHeight="251660288" behindDoc="0" locked="0" layoutInCell="1" allowOverlap="0" wp14:anchorId="1E0E3D64" wp14:editId="2355F4FB">
          <wp:simplePos x="0" y="0"/>
          <wp:positionH relativeFrom="page">
            <wp:posOffset>940052</wp:posOffset>
          </wp:positionH>
          <wp:positionV relativeFrom="page">
            <wp:posOffset>422933</wp:posOffset>
          </wp:positionV>
          <wp:extent cx="6836664" cy="1213104"/>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8703" name="Picture 8703"/>
                  <pic:cNvPicPr/>
                </pic:nvPicPr>
                <pic:blipFill>
                  <a:blip r:embed="rId1"/>
                  <a:stretch>
                    <a:fillRect/>
                  </a:stretch>
                </pic:blipFill>
                <pic:spPr>
                  <a:xfrm>
                    <a:off x="0" y="0"/>
                    <a:ext cx="6836664" cy="1213104"/>
                  </a:xfrm>
                  <a:prstGeom prst="rect">
                    <a:avLst/>
                  </a:prstGeom>
                </pic:spPr>
              </pic:pic>
            </a:graphicData>
          </a:graphic>
        </wp:anchor>
      </w:drawing>
    </w:r>
  </w:p>
  <w:p w14:paraId="6974F025" w14:textId="77777777" w:rsidR="00EB1A1B" w:rsidRDefault="0094337D">
    <w:r>
      <w:rPr>
        <w:noProof/>
      </w:rPr>
      <mc:AlternateContent>
        <mc:Choice Requires="wpg">
          <w:drawing>
            <wp:anchor distT="0" distB="0" distL="114300" distR="114300" simplePos="0" relativeHeight="251661312" behindDoc="1" locked="0" layoutInCell="1" allowOverlap="1" wp14:anchorId="33A3F7E2" wp14:editId="34696382">
              <wp:simplePos x="0" y="0"/>
              <wp:positionH relativeFrom="page">
                <wp:posOffset>0</wp:posOffset>
              </wp:positionH>
              <wp:positionV relativeFrom="page">
                <wp:posOffset>0</wp:posOffset>
              </wp:positionV>
              <wp:extent cx="1" cy="1"/>
              <wp:effectExtent l="0" t="0" r="0" b="0"/>
              <wp:wrapNone/>
              <wp:docPr id="10693" name="Group 1069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693"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5DAF1" w14:textId="77777777" w:rsidR="00EB1A1B" w:rsidRDefault="0094337D">
    <w:pPr>
      <w:spacing w:after="0"/>
      <w:ind w:left="-1480" w:right="10760"/>
    </w:pPr>
    <w:r>
      <w:rPr>
        <w:noProof/>
      </w:rPr>
      <w:drawing>
        <wp:anchor distT="0" distB="0" distL="114300" distR="114300" simplePos="0" relativeHeight="251662336" behindDoc="0" locked="0" layoutInCell="1" allowOverlap="0" wp14:anchorId="4A1B33DD" wp14:editId="10A183A0">
          <wp:simplePos x="0" y="0"/>
          <wp:positionH relativeFrom="page">
            <wp:posOffset>940052</wp:posOffset>
          </wp:positionH>
          <wp:positionV relativeFrom="page">
            <wp:posOffset>422933</wp:posOffset>
          </wp:positionV>
          <wp:extent cx="6836664" cy="1213104"/>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8703" name="Picture 8703"/>
                  <pic:cNvPicPr/>
                </pic:nvPicPr>
                <pic:blipFill>
                  <a:blip r:embed="rId1"/>
                  <a:stretch>
                    <a:fillRect/>
                  </a:stretch>
                </pic:blipFill>
                <pic:spPr>
                  <a:xfrm>
                    <a:off x="0" y="0"/>
                    <a:ext cx="6836664" cy="1213104"/>
                  </a:xfrm>
                  <a:prstGeom prst="rect">
                    <a:avLst/>
                  </a:prstGeom>
                </pic:spPr>
              </pic:pic>
            </a:graphicData>
          </a:graphic>
        </wp:anchor>
      </w:drawing>
    </w:r>
  </w:p>
  <w:p w14:paraId="3B9D49C2" w14:textId="77777777" w:rsidR="00EB1A1B" w:rsidRDefault="0094337D">
    <w:r>
      <w:rPr>
        <w:noProof/>
      </w:rPr>
      <mc:AlternateContent>
        <mc:Choice Requires="wpg">
          <w:drawing>
            <wp:anchor distT="0" distB="0" distL="114300" distR="114300" simplePos="0" relativeHeight="251663360" behindDoc="1" locked="0" layoutInCell="1" allowOverlap="1" wp14:anchorId="1F43388A" wp14:editId="70DCCE70">
              <wp:simplePos x="0" y="0"/>
              <wp:positionH relativeFrom="page">
                <wp:posOffset>0</wp:posOffset>
              </wp:positionH>
              <wp:positionV relativeFrom="page">
                <wp:posOffset>0</wp:posOffset>
              </wp:positionV>
              <wp:extent cx="1" cy="1"/>
              <wp:effectExtent l="0" t="0" r="0" b="0"/>
              <wp:wrapNone/>
              <wp:docPr id="10686" name="Group 1068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686"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235BC"/>
    <w:multiLevelType w:val="hybridMultilevel"/>
    <w:tmpl w:val="FFFFFFFF"/>
    <w:lvl w:ilvl="0" w:tplc="7608940A">
      <w:start w:val="1"/>
      <w:numFmt w:val="decimal"/>
      <w:lvlText w:val="%1."/>
      <w:lvlJc w:val="left"/>
      <w:pPr>
        <w:ind w:left="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FA0DF42">
      <w:start w:val="1"/>
      <w:numFmt w:val="bullet"/>
      <w:lvlText w:val="•"/>
      <w:lvlJc w:val="left"/>
      <w:pPr>
        <w:ind w:left="740"/>
      </w:pPr>
      <w:rPr>
        <w:rFonts w:ascii="Arial" w:eastAsia="Arial" w:hAnsi="Arial" w:cs="Arial"/>
        <w:b w:val="0"/>
        <w:i w:val="0"/>
        <w:strike w:val="0"/>
        <w:dstrike w:val="0"/>
        <w:color w:val="000000"/>
        <w:sz w:val="25"/>
        <w:szCs w:val="25"/>
        <w:u w:val="none" w:color="000000"/>
        <w:bdr w:val="none" w:sz="0" w:space="0" w:color="auto"/>
        <w:shd w:val="clear" w:color="auto" w:fill="auto"/>
        <w:vertAlign w:val="baseline"/>
      </w:rPr>
    </w:lvl>
    <w:lvl w:ilvl="2" w:tplc="71DC78B2">
      <w:start w:val="1"/>
      <w:numFmt w:val="bullet"/>
      <w:lvlText w:val="▪"/>
      <w:lvlJc w:val="left"/>
      <w:pPr>
        <w:ind w:left="145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E2461C58">
      <w:start w:val="1"/>
      <w:numFmt w:val="bullet"/>
      <w:lvlText w:val="•"/>
      <w:lvlJc w:val="left"/>
      <w:pPr>
        <w:ind w:left="217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B8A65A26">
      <w:start w:val="1"/>
      <w:numFmt w:val="bullet"/>
      <w:lvlText w:val="o"/>
      <w:lvlJc w:val="left"/>
      <w:pPr>
        <w:ind w:left="289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F7D0B040">
      <w:start w:val="1"/>
      <w:numFmt w:val="bullet"/>
      <w:lvlText w:val="▪"/>
      <w:lvlJc w:val="left"/>
      <w:pPr>
        <w:ind w:left="361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367EDB18">
      <w:start w:val="1"/>
      <w:numFmt w:val="bullet"/>
      <w:lvlText w:val="•"/>
      <w:lvlJc w:val="left"/>
      <w:pPr>
        <w:ind w:left="433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A9EEAFBC">
      <w:start w:val="1"/>
      <w:numFmt w:val="bullet"/>
      <w:lvlText w:val="o"/>
      <w:lvlJc w:val="left"/>
      <w:pPr>
        <w:ind w:left="505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34F2906A">
      <w:start w:val="1"/>
      <w:numFmt w:val="bullet"/>
      <w:lvlText w:val="▪"/>
      <w:lvlJc w:val="left"/>
      <w:pPr>
        <w:ind w:left="577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1" w15:restartNumberingAfterBreak="0">
    <w:nsid w:val="260B37DC"/>
    <w:multiLevelType w:val="hybridMultilevel"/>
    <w:tmpl w:val="FFFFFFFF"/>
    <w:lvl w:ilvl="0" w:tplc="6298D690">
      <w:start w:val="1"/>
      <w:numFmt w:val="decimal"/>
      <w:lvlText w:val="%1."/>
      <w:lvlJc w:val="left"/>
      <w:pPr>
        <w:ind w:left="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630C3A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BEA3C4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1FE0C5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6E6135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144193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E0A49B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85A9BE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2F8B49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548497831">
    <w:abstractNumId w:val="0"/>
  </w:num>
  <w:num w:numId="2" w16cid:durableId="12049084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grammar="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A1B"/>
    <w:rsid w:val="0094337D"/>
    <w:rsid w:val="00D26CE8"/>
    <w:rsid w:val="00EB1A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00571F7"/>
  <w15:docId w15:val="{E49F2E1E-C61E-DF4F-9F62-1433134B6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header" Target="header3.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jpg" /><Relationship Id="rId17" Type="http://schemas.openxmlformats.org/officeDocument/2006/relationships/header" Target="header2.xml" /><Relationship Id="rId2" Type="http://schemas.openxmlformats.org/officeDocument/2006/relationships/styles" Target="styles.xml" /><Relationship Id="rId16" Type="http://schemas.openxmlformats.org/officeDocument/2006/relationships/header" Target="header1.xml"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5" Type="http://schemas.openxmlformats.org/officeDocument/2006/relationships/footnotes" Target="footnotes.xml" /><Relationship Id="rId15" Type="http://schemas.openxmlformats.org/officeDocument/2006/relationships/image" Target="media/image9.jpg" /><Relationship Id="rId10" Type="http://schemas.openxmlformats.org/officeDocument/2006/relationships/image" Target="media/image4.jp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s>
</file>

<file path=word/_rels/header1.xml.rels><?xml version="1.0" encoding="UTF-8" standalone="yes"?>
<Relationships xmlns="http://schemas.openxmlformats.org/package/2006/relationships"><Relationship Id="rId1" Type="http://schemas.openxmlformats.org/officeDocument/2006/relationships/image" Target="media/image10.png" /></Relationships>
</file>

<file path=word/_rels/header2.xml.rels><?xml version="1.0" encoding="UTF-8" standalone="yes"?>
<Relationships xmlns="http://schemas.openxmlformats.org/package/2006/relationships"><Relationship Id="rId1" Type="http://schemas.openxmlformats.org/officeDocument/2006/relationships/image" Target="media/image10.png" /></Relationships>
</file>

<file path=word/_rels/header3.xml.rels><?xml version="1.0" encoding="UTF-8" standalone="yes"?>
<Relationships xmlns="http://schemas.openxmlformats.org/package/2006/relationships"><Relationship Id="rId1"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1903</Words>
  <Characters>10851</Characters>
  <Application>Microsoft Office Word</Application>
  <DocSecurity>0</DocSecurity>
  <Lines>90</Lines>
  <Paragraphs>25</Paragraphs>
  <ScaleCrop>false</ScaleCrop>
  <Company/>
  <LinksUpToDate>false</LinksUpToDate>
  <CharactersWithSpaces>12729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Syncfusion RichTextEditor Control</dc:title>
  <dc:subject/>
  <dc:creator>Sathya Ravi</dc:creator>
  <cp:keywords/>
  <cp:lastModifiedBy>Sathya Ravi</cp:lastModifiedBy>
  <cp:revision>2</cp:revision>
  <dcterms:created xsi:type="dcterms:W3CDTF">2024-05-20T16:30:00Z</dcterms:created>
  <dcterms:modified xsi:type="dcterms:W3CDTF">2024-05-20T16:30:00Z</dcterms:modified>
</cp:coreProperties>
</file>