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E69F3" w14:textId="7FD11FF5" w:rsidR="00A40AAD" w:rsidRPr="007B1100" w:rsidRDefault="001A19F7" w:rsidP="009B3F69">
      <w:pPr>
        <w:spacing w:after="14" w:line="645" w:lineRule="auto"/>
        <w:ind w:left="0" w:right="2184" w:firstLine="0"/>
        <w:jc w:val="center"/>
        <w:rPr>
          <w:b/>
          <w:bCs/>
          <w:color w:val="000000" w:themeColor="text1"/>
        </w:rPr>
      </w:pPr>
      <w:r w:rsidRPr="007B1100">
        <w:rPr>
          <w:b/>
          <w:bCs/>
          <w:color w:val="000000" w:themeColor="text1"/>
          <w:u w:val="single" w:color="000000"/>
        </w:rPr>
        <w:t>Exploratory data analysis on the GSOEP dataset</w:t>
      </w:r>
    </w:p>
    <w:p w14:paraId="05D4EBBF" w14:textId="1917A907" w:rsidR="00F77701" w:rsidRDefault="003013D8" w:rsidP="00F77701">
      <w:pPr>
        <w:spacing w:after="43"/>
        <w:ind w:right="10"/>
      </w:pPr>
      <w:r>
        <w:t>Sushma G Herakal</w:t>
      </w:r>
      <w:r w:rsidR="00966F24">
        <w:t xml:space="preserve">                              </w:t>
      </w:r>
      <w:proofErr w:type="spellStart"/>
      <w:r w:rsidR="00966F24">
        <w:t>Tejashwini</w:t>
      </w:r>
      <w:proofErr w:type="spellEnd"/>
      <w:r w:rsidR="00966F24">
        <w:t xml:space="preserve"> </w:t>
      </w:r>
      <w:proofErr w:type="spellStart"/>
      <w:r w:rsidR="00966F24">
        <w:t>Hosaman</w:t>
      </w:r>
      <w:r w:rsidR="00F77701">
        <w:t>i</w:t>
      </w:r>
      <w:proofErr w:type="spellEnd"/>
      <w:r w:rsidR="004D4B59">
        <w:t xml:space="preserve">                      </w:t>
      </w:r>
      <w:proofErr w:type="spellStart"/>
      <w:r w:rsidR="007C4BC6">
        <w:t>Dolaan</w:t>
      </w:r>
      <w:r w:rsidR="005C7C0D">
        <w:t>and</w:t>
      </w:r>
      <w:proofErr w:type="spellEnd"/>
      <w:r w:rsidR="005C7C0D">
        <w:t xml:space="preserve"> S</w:t>
      </w:r>
    </w:p>
    <w:p w14:paraId="78A2D33E" w14:textId="22F9F569" w:rsidR="003013D8" w:rsidRDefault="003013D8" w:rsidP="003013D8">
      <w:pPr>
        <w:spacing w:after="43"/>
        <w:ind w:right="10"/>
      </w:pPr>
      <w:r>
        <w:t>PES1UG19CS528</w:t>
      </w:r>
      <w:r w:rsidR="00F77701">
        <w:t xml:space="preserve">                                PES1UG19CS539</w:t>
      </w:r>
      <w:r w:rsidR="008F0487">
        <w:t xml:space="preserve">                         PES1UG19CS423</w:t>
      </w:r>
    </w:p>
    <w:p w14:paraId="793E3A53" w14:textId="0E387336" w:rsidR="003013D8" w:rsidRDefault="003013D8" w:rsidP="003013D8">
      <w:pPr>
        <w:spacing w:after="43"/>
        <w:ind w:right="10"/>
      </w:pPr>
      <w:r>
        <w:t>PES UNIVERSITY</w:t>
      </w:r>
      <w:r w:rsidR="00F77701">
        <w:t xml:space="preserve">                             PES UNIVERSITY</w:t>
      </w:r>
      <w:r w:rsidR="00037841">
        <w:t xml:space="preserve">                        PES UNIVERSITY</w:t>
      </w:r>
    </w:p>
    <w:p w14:paraId="3E1B9AF7" w14:textId="3BA84898" w:rsidR="000E2D92" w:rsidRDefault="000E2D92" w:rsidP="003013D8">
      <w:pPr>
        <w:spacing w:after="43"/>
        <w:ind w:right="10"/>
      </w:pPr>
      <w:r>
        <w:t>Bangalore , Karnataka</w:t>
      </w:r>
      <w:r w:rsidR="00F77701">
        <w:t xml:space="preserve">                         Bangalore , Karnataka</w:t>
      </w:r>
      <w:r w:rsidR="00037841">
        <w:t xml:space="preserve">                   </w:t>
      </w:r>
      <w:proofErr w:type="spellStart"/>
      <w:r w:rsidR="00037841">
        <w:t>Bangalore,Karnataka</w:t>
      </w:r>
      <w:proofErr w:type="spellEnd"/>
    </w:p>
    <w:p w14:paraId="42469696" w14:textId="3B7C2576" w:rsidR="000E2D92" w:rsidRDefault="00833338" w:rsidP="003013D8">
      <w:pPr>
        <w:spacing w:after="43"/>
        <w:ind w:right="10"/>
      </w:pPr>
      <w:hyperlink r:id="rId7" w:history="1">
        <w:r w:rsidRPr="00A4025B">
          <w:rPr>
            <w:rStyle w:val="Hyperlink"/>
          </w:rPr>
          <w:t>sushmagh92@gmail.com</w:t>
        </w:r>
      </w:hyperlink>
      <w:r>
        <w:t xml:space="preserve">                    </w:t>
      </w:r>
      <w:hyperlink r:id="rId8" w:history="1">
        <w:r w:rsidR="004D4B59" w:rsidRPr="00A4025B">
          <w:rPr>
            <w:rStyle w:val="Hyperlink"/>
          </w:rPr>
          <w:t>onlyteju5@gmail.com</w:t>
        </w:r>
      </w:hyperlink>
      <w:r w:rsidR="004D4B59">
        <w:t xml:space="preserve"> </w:t>
      </w:r>
      <w:r w:rsidR="00037841">
        <w:t xml:space="preserve">        </w:t>
      </w:r>
      <w:hyperlink r:id="rId9" w:history="1">
        <w:r w:rsidR="00542C08" w:rsidRPr="00A4025B">
          <w:rPr>
            <w:rStyle w:val="Hyperlink"/>
          </w:rPr>
          <w:t>dolaanand737@gmail.com</w:t>
        </w:r>
      </w:hyperlink>
      <w:r w:rsidR="00542C08">
        <w:t xml:space="preserve"> </w:t>
      </w:r>
      <w:r w:rsidR="00037841">
        <w:t xml:space="preserve">       </w:t>
      </w:r>
    </w:p>
    <w:p w14:paraId="77037A7C" w14:textId="77777777" w:rsidR="00CF7AA3" w:rsidRDefault="00CF7AA3" w:rsidP="00CF7AA3">
      <w:pPr>
        <w:spacing w:after="43"/>
        <w:ind w:left="0" w:right="10" w:firstLine="0"/>
      </w:pPr>
    </w:p>
    <w:p w14:paraId="2AF924AF" w14:textId="363A072A" w:rsidR="00A40AAD" w:rsidRDefault="001B6FCE" w:rsidP="001B6FCE">
      <w:pPr>
        <w:pStyle w:val="Heading1"/>
        <w:numPr>
          <w:ilvl w:val="0"/>
          <w:numId w:val="0"/>
        </w:numPr>
      </w:pPr>
      <w:r>
        <w:t xml:space="preserve">       </w:t>
      </w:r>
      <w:r w:rsidR="001A19F7">
        <w:t>Abstract</w:t>
      </w:r>
      <w:r>
        <w:t>:</w:t>
      </w:r>
    </w:p>
    <w:p w14:paraId="33012145" w14:textId="77777777" w:rsidR="00A40AAD" w:rsidRDefault="001A19F7">
      <w:pPr>
        <w:spacing w:after="34"/>
        <w:ind w:left="0" w:right="10" w:firstLine="720"/>
      </w:pPr>
      <w:r>
        <w:t xml:space="preserve">The dataset we </w:t>
      </w:r>
      <w:r>
        <w:t>considered was collected in order to investigate the determinants of secondary school choice of 14 year old students in Germany.</w:t>
      </w:r>
    </w:p>
    <w:p w14:paraId="4D6629C9" w14:textId="77777777" w:rsidR="00A40AAD" w:rsidRDefault="001A19F7">
      <w:pPr>
        <w:numPr>
          <w:ilvl w:val="0"/>
          <w:numId w:val="2"/>
        </w:numPr>
        <w:spacing w:after="33"/>
        <w:ind w:right="10" w:hanging="360"/>
      </w:pPr>
      <w:r>
        <w:t xml:space="preserve">We started our analysis with imputing the missing values using mean or median for numerical variables and mode for categorical </w:t>
      </w:r>
      <w:r>
        <w:t>variables.</w:t>
      </w:r>
    </w:p>
    <w:p w14:paraId="635DD610" w14:textId="77777777" w:rsidR="00A40AAD" w:rsidRDefault="001A19F7">
      <w:pPr>
        <w:numPr>
          <w:ilvl w:val="0"/>
          <w:numId w:val="2"/>
        </w:numPr>
        <w:spacing w:after="43"/>
        <w:ind w:right="10" w:hanging="360"/>
      </w:pPr>
      <w:r>
        <w:t>There was inconsistent capitalisation in the variable ‘state’ that was removed.</w:t>
      </w:r>
    </w:p>
    <w:p w14:paraId="21EA200C" w14:textId="77777777" w:rsidR="00A40AAD" w:rsidRDefault="001A19F7">
      <w:pPr>
        <w:numPr>
          <w:ilvl w:val="0"/>
          <w:numId w:val="2"/>
        </w:numPr>
        <w:spacing w:after="43"/>
        <w:ind w:right="10" w:hanging="360"/>
      </w:pPr>
      <w:r>
        <w:t>We plotted various graphs to understand how the school choices varied among students.</w:t>
      </w:r>
    </w:p>
    <w:p w14:paraId="2DDC25FB" w14:textId="77777777" w:rsidR="00A40AAD" w:rsidRDefault="001A19F7">
      <w:pPr>
        <w:numPr>
          <w:ilvl w:val="0"/>
          <w:numId w:val="2"/>
        </w:numPr>
        <w:spacing w:after="33"/>
        <w:ind w:right="10" w:hanging="360"/>
      </w:pPr>
      <w:r>
        <w:t xml:space="preserve">The dataset was normalised in order to change the values to a common </w:t>
      </w:r>
      <w:r>
        <w:t>scale, without affecting the differences in the range of values.</w:t>
      </w:r>
    </w:p>
    <w:p w14:paraId="71A9DBCE" w14:textId="77777777" w:rsidR="00A40AAD" w:rsidRDefault="001A19F7">
      <w:pPr>
        <w:numPr>
          <w:ilvl w:val="0"/>
          <w:numId w:val="2"/>
        </w:numPr>
        <w:spacing w:after="33"/>
        <w:ind w:right="10" w:hanging="360"/>
      </w:pPr>
      <w:r>
        <w:t>We used correlation coefficients, scatter plots and heat maps to determine if there was any dependency between the variables.</w:t>
      </w:r>
    </w:p>
    <w:p w14:paraId="1C6274EF" w14:textId="77777777" w:rsidR="00A40AAD" w:rsidRDefault="001A19F7">
      <w:pPr>
        <w:numPr>
          <w:ilvl w:val="0"/>
          <w:numId w:val="2"/>
        </w:numPr>
        <w:spacing w:after="672"/>
        <w:ind w:right="10" w:hanging="360"/>
      </w:pPr>
      <w:r>
        <w:t>A hypothesis test was conducted to determine if the mean income o</w:t>
      </w:r>
      <w:r>
        <w:t>f the population was 70000 or not.</w:t>
      </w:r>
    </w:p>
    <w:p w14:paraId="082CBB7C" w14:textId="77777777" w:rsidR="00A40AAD" w:rsidRDefault="001A19F7">
      <w:pPr>
        <w:pStyle w:val="Heading1"/>
        <w:ind w:left="720" w:hanging="607"/>
      </w:pPr>
      <w:r>
        <w:t>Introduction</w:t>
      </w:r>
    </w:p>
    <w:p w14:paraId="3721428A" w14:textId="77777777" w:rsidR="00A40AAD" w:rsidRDefault="001A19F7">
      <w:pPr>
        <w:ind w:left="0" w:right="10" w:firstLine="720"/>
      </w:pPr>
      <w:r>
        <w:t>Our dataset is a cross section data for 675 14 year old children born between 1980 and 1988. The sample is taken from the German Socio - Economic Panel (GSOEP) for the years 1994 to 2002 to investigate the de</w:t>
      </w:r>
      <w:r>
        <w:t>terminants of secondary school choice.</w:t>
      </w:r>
    </w:p>
    <w:p w14:paraId="12026E58" w14:textId="7B9ADBC1" w:rsidR="00A40AAD" w:rsidRDefault="001A19F7">
      <w:pPr>
        <w:ind w:left="0" w:right="10" w:firstLine="720"/>
      </w:pPr>
      <w:r>
        <w:t xml:space="preserve">After cleaning up our dataset, our main analysis was based on the variations of the various continuous, discrete and categorical variables with the school choice of the children. We also tried to test the mean income </w:t>
      </w:r>
      <w:r>
        <w:t>of the population, the linear relationship between the variables and inferences were drawn from the results produced.</w:t>
      </w:r>
    </w:p>
    <w:p w14:paraId="7EED655C" w14:textId="74566A23" w:rsidR="004719F5" w:rsidRDefault="004719F5">
      <w:pPr>
        <w:ind w:left="0" w:right="10" w:firstLine="720"/>
      </w:pPr>
    </w:p>
    <w:p w14:paraId="3232BA53" w14:textId="5F22D47F" w:rsidR="004719F5" w:rsidRDefault="004719F5">
      <w:pPr>
        <w:ind w:left="0" w:right="10" w:firstLine="720"/>
      </w:pPr>
    </w:p>
    <w:p w14:paraId="563EFDE0" w14:textId="77777777" w:rsidR="004719F5" w:rsidRDefault="004719F5">
      <w:pPr>
        <w:ind w:left="0" w:right="10" w:firstLine="720"/>
      </w:pPr>
    </w:p>
    <w:p w14:paraId="024FE104" w14:textId="77777777" w:rsidR="00A40AAD" w:rsidRDefault="001A19F7">
      <w:pPr>
        <w:pStyle w:val="Heading1"/>
        <w:spacing w:after="362"/>
        <w:ind w:left="705" w:hanging="700"/>
      </w:pPr>
      <w:proofErr w:type="spellStart"/>
      <w:r>
        <w:t>Preprocessing</w:t>
      </w:r>
      <w:proofErr w:type="spellEnd"/>
      <w:r>
        <w:t xml:space="preserve"> or Data Cleaning</w:t>
      </w:r>
    </w:p>
    <w:p w14:paraId="4D780F06" w14:textId="77777777" w:rsidR="00A40AAD" w:rsidRDefault="001A19F7">
      <w:pPr>
        <w:numPr>
          <w:ilvl w:val="0"/>
          <w:numId w:val="3"/>
        </w:numPr>
        <w:spacing w:after="331"/>
        <w:ind w:right="10" w:hanging="360"/>
      </w:pPr>
      <w:r>
        <w:t>Imputing missing values</w:t>
      </w:r>
    </w:p>
    <w:p w14:paraId="11E53858" w14:textId="77777777" w:rsidR="00A40AAD" w:rsidRDefault="001A19F7">
      <w:pPr>
        <w:ind w:left="355" w:right="10"/>
      </w:pPr>
      <w:r>
        <w:rPr>
          <w:noProof/>
        </w:rPr>
        <w:lastRenderedPageBreak/>
        <w:drawing>
          <wp:anchor distT="0" distB="0" distL="114300" distR="114300" simplePos="0" relativeHeight="251658240" behindDoc="0" locked="0" layoutInCell="1" allowOverlap="0" wp14:anchorId="3407F1BA" wp14:editId="2FD12B4A">
            <wp:simplePos x="0" y="0"/>
            <wp:positionH relativeFrom="column">
              <wp:posOffset>19050</wp:posOffset>
            </wp:positionH>
            <wp:positionV relativeFrom="paragraph">
              <wp:posOffset>-115825</wp:posOffset>
            </wp:positionV>
            <wp:extent cx="3295650" cy="2371725"/>
            <wp:effectExtent l="0" t="0" r="0" b="0"/>
            <wp:wrapSquare wrapText="bothSides"/>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0"/>
                    <a:stretch>
                      <a:fillRect/>
                    </a:stretch>
                  </pic:blipFill>
                  <pic:spPr>
                    <a:xfrm>
                      <a:off x="0" y="0"/>
                      <a:ext cx="3295650" cy="2371725"/>
                    </a:xfrm>
                    <a:prstGeom prst="rect">
                      <a:avLst/>
                    </a:prstGeom>
                  </pic:spPr>
                </pic:pic>
              </a:graphicData>
            </a:graphic>
          </wp:anchor>
        </w:drawing>
      </w:r>
      <w:r>
        <w:t>There were around 20 missing values in each variable. Our dataset had 3.11% missin</w:t>
      </w:r>
      <w:r>
        <w:t>g values. We replaced the missing values in the variable ‘income’ with the mean of the column. For the variables birth year and year, from the description of the dataset we knew that the children under consideration were 14 year olds, in order to calculate</w:t>
      </w:r>
      <w:r>
        <w:t xml:space="preserve"> the missing birth year, 14 was deducted from the year. If the year was missing then 14 was added to the birth year. In case, both year and</w:t>
      </w:r>
    </w:p>
    <w:p w14:paraId="21AF4650" w14:textId="77777777" w:rsidR="00A40AAD" w:rsidRDefault="001A19F7">
      <w:pPr>
        <w:spacing w:after="351"/>
        <w:ind w:left="10" w:right="10"/>
      </w:pPr>
      <w:r>
        <w:t>birth year were missing, we replaced the values with the median. The other numerical missing values were replaced wi</w:t>
      </w:r>
      <w:r>
        <w:t xml:space="preserve">th the median of the variable and rounded off to the nearest </w:t>
      </w:r>
      <w:proofErr w:type="spellStart"/>
      <w:r>
        <w:t>integer.The</w:t>
      </w:r>
      <w:proofErr w:type="spellEnd"/>
      <w:r>
        <w:t xml:space="preserve"> missing values in categorical variables were replaced with mode of the variable.</w:t>
      </w:r>
    </w:p>
    <w:p w14:paraId="5C292355" w14:textId="77777777" w:rsidR="00A40AAD" w:rsidRDefault="001A19F7">
      <w:pPr>
        <w:numPr>
          <w:ilvl w:val="0"/>
          <w:numId w:val="3"/>
        </w:numPr>
        <w:ind w:right="10" w:hanging="360"/>
      </w:pPr>
      <w:r>
        <w:t>Fixing inconsistent capitalization</w:t>
      </w:r>
    </w:p>
    <w:p w14:paraId="313D5D87" w14:textId="77777777" w:rsidR="00A40AAD" w:rsidRDefault="001A19F7">
      <w:pPr>
        <w:spacing w:after="45" w:line="259" w:lineRule="auto"/>
        <w:ind w:left="240" w:firstLine="0"/>
      </w:pPr>
      <w:r>
        <w:rPr>
          <w:noProof/>
        </w:rPr>
        <w:drawing>
          <wp:inline distT="0" distB="0" distL="0" distR="0" wp14:anchorId="067681A4" wp14:editId="0B581632">
            <wp:extent cx="3533775" cy="190500"/>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1"/>
                    <a:stretch>
                      <a:fillRect/>
                    </a:stretch>
                  </pic:blipFill>
                  <pic:spPr>
                    <a:xfrm>
                      <a:off x="0" y="0"/>
                      <a:ext cx="3533775" cy="190500"/>
                    </a:xfrm>
                    <a:prstGeom prst="rect">
                      <a:avLst/>
                    </a:prstGeom>
                  </pic:spPr>
                </pic:pic>
              </a:graphicData>
            </a:graphic>
          </wp:inline>
        </w:drawing>
      </w:r>
    </w:p>
    <w:p w14:paraId="1A39E23B" w14:textId="77777777" w:rsidR="00A40AAD" w:rsidRDefault="001A19F7">
      <w:pPr>
        <w:ind w:left="355" w:right="1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D5836AF" wp14:editId="4C36AC18">
                <wp:simplePos x="0" y="0"/>
                <wp:positionH relativeFrom="column">
                  <wp:posOffset>19050</wp:posOffset>
                </wp:positionH>
                <wp:positionV relativeFrom="paragraph">
                  <wp:posOffset>191988</wp:posOffset>
                </wp:positionV>
                <wp:extent cx="3686175" cy="361950"/>
                <wp:effectExtent l="0" t="0" r="0" b="0"/>
                <wp:wrapSquare wrapText="bothSides"/>
                <wp:docPr id="3347" name="Group 3347"/>
                <wp:cNvGraphicFramePr/>
                <a:graphic xmlns:a="http://schemas.openxmlformats.org/drawingml/2006/main">
                  <a:graphicData uri="http://schemas.microsoft.com/office/word/2010/wordprocessingGroup">
                    <wpg:wgp>
                      <wpg:cNvGrpSpPr/>
                      <wpg:grpSpPr>
                        <a:xfrm>
                          <a:off x="0" y="0"/>
                          <a:ext cx="3686175" cy="361950"/>
                          <a:chOff x="0" y="0"/>
                          <a:chExt cx="3686175" cy="361950"/>
                        </a:xfrm>
                      </wpg:grpSpPr>
                      <pic:pic xmlns:pic="http://schemas.openxmlformats.org/drawingml/2006/picture">
                        <pic:nvPicPr>
                          <pic:cNvPr id="99" name="Picture 99"/>
                          <pic:cNvPicPr/>
                        </pic:nvPicPr>
                        <pic:blipFill>
                          <a:blip r:embed="rId12"/>
                          <a:stretch>
                            <a:fillRect/>
                          </a:stretch>
                        </pic:blipFill>
                        <pic:spPr>
                          <a:xfrm>
                            <a:off x="0" y="9525"/>
                            <a:ext cx="1790700" cy="352425"/>
                          </a:xfrm>
                          <a:prstGeom prst="rect">
                            <a:avLst/>
                          </a:prstGeom>
                        </pic:spPr>
                      </pic:pic>
                      <pic:pic xmlns:pic="http://schemas.openxmlformats.org/drawingml/2006/picture">
                        <pic:nvPicPr>
                          <pic:cNvPr id="101" name="Picture 101"/>
                          <pic:cNvPicPr/>
                        </pic:nvPicPr>
                        <pic:blipFill>
                          <a:blip r:embed="rId13"/>
                          <a:stretch>
                            <a:fillRect/>
                          </a:stretch>
                        </pic:blipFill>
                        <pic:spPr>
                          <a:xfrm>
                            <a:off x="1924050" y="0"/>
                            <a:ext cx="1762125" cy="361950"/>
                          </a:xfrm>
                          <a:prstGeom prst="rect">
                            <a:avLst/>
                          </a:prstGeom>
                        </pic:spPr>
                      </pic:pic>
                    </wpg:wgp>
                  </a:graphicData>
                </a:graphic>
              </wp:anchor>
            </w:drawing>
          </mc:Choice>
          <mc:Fallback xmlns:a="http://schemas.openxmlformats.org/drawingml/2006/main">
            <w:pict>
              <v:group id="Group 3347" style="width:290.25pt;height:28.5pt;position:absolute;mso-position-horizontal-relative:text;mso-position-horizontal:absolute;margin-left:1.5pt;mso-position-vertical-relative:text;margin-top:15.1172pt;" coordsize="36861,3619">
                <v:shape id="Picture 99" style="position:absolute;width:17907;height:3524;left:0;top:95;" filled="f">
                  <v:imagedata r:id="rId14"/>
                </v:shape>
                <v:shape id="Picture 101" style="position:absolute;width:17621;height:3619;left:19240;top:0;" filled="f">
                  <v:imagedata r:id="rId15"/>
                </v:shape>
                <w10:wrap type="square"/>
              </v:group>
            </w:pict>
          </mc:Fallback>
        </mc:AlternateContent>
      </w:r>
      <w:r>
        <w:t xml:space="preserve">Only the variable ‘state’ had inconsistent </w:t>
      </w:r>
      <w:r>
        <w:t>capitalisation. All the words were first converted into lower and then the title method</w:t>
      </w:r>
    </w:p>
    <w:p w14:paraId="39A8B146" w14:textId="77777777" w:rsidR="00A40AAD" w:rsidRDefault="001A19F7">
      <w:pPr>
        <w:spacing w:after="671"/>
        <w:ind w:left="10" w:right="10"/>
      </w:pPr>
      <w:r>
        <w:t>was used to fix the capitalization.</w:t>
      </w:r>
    </w:p>
    <w:p w14:paraId="17A59AFB" w14:textId="77777777" w:rsidR="00A40AAD" w:rsidRDefault="001A19F7">
      <w:pPr>
        <w:numPr>
          <w:ilvl w:val="0"/>
          <w:numId w:val="3"/>
        </w:numPr>
        <w:spacing w:after="331"/>
        <w:ind w:right="10" w:hanging="360"/>
      </w:pPr>
      <w:r>
        <w:t>Removal of outliers</w:t>
      </w:r>
    </w:p>
    <w:p w14:paraId="47374CC6" w14:textId="77777777" w:rsidR="00A40AAD" w:rsidRDefault="001A19F7">
      <w:pPr>
        <w:ind w:left="355" w:right="10"/>
      </w:pPr>
      <w:r>
        <w:rPr>
          <w:noProof/>
        </w:rPr>
        <w:drawing>
          <wp:anchor distT="0" distB="0" distL="114300" distR="114300" simplePos="0" relativeHeight="251660288" behindDoc="0" locked="0" layoutInCell="1" allowOverlap="0" wp14:anchorId="6874EA5C" wp14:editId="684FBCDC">
            <wp:simplePos x="0" y="0"/>
            <wp:positionH relativeFrom="column">
              <wp:posOffset>-428624</wp:posOffset>
            </wp:positionH>
            <wp:positionV relativeFrom="paragraph">
              <wp:posOffset>-123843</wp:posOffset>
            </wp:positionV>
            <wp:extent cx="3533775" cy="2009775"/>
            <wp:effectExtent l="0" t="0" r="0" b="0"/>
            <wp:wrapSquare wrapText="bothSides"/>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6"/>
                    <a:stretch>
                      <a:fillRect/>
                    </a:stretch>
                  </pic:blipFill>
                  <pic:spPr>
                    <a:xfrm>
                      <a:off x="0" y="0"/>
                      <a:ext cx="3533775" cy="2009775"/>
                    </a:xfrm>
                    <a:prstGeom prst="rect">
                      <a:avLst/>
                    </a:prstGeom>
                  </pic:spPr>
                </pic:pic>
              </a:graphicData>
            </a:graphic>
          </wp:anchor>
        </w:drawing>
      </w:r>
      <w:r>
        <w:t>When we plotted the histograms for the variables, it was observed that the variable ‘income’ had outliers in it</w:t>
      </w:r>
      <w:r>
        <w:t>. To remove these outliers, we used the Inter - Quartile Range (IQR) method.</w:t>
      </w:r>
    </w:p>
    <w:p w14:paraId="2F892D9C" w14:textId="77777777" w:rsidR="00A40AAD" w:rsidRDefault="001A19F7">
      <w:pPr>
        <w:spacing w:after="656"/>
        <w:ind w:left="355" w:right="10"/>
      </w:pPr>
      <w:r>
        <w:t>In the IQR method, only those income values that lie between the 10th and the 95th percentile are accepted. The rejected income values were then replaced with the mean of the acce</w:t>
      </w:r>
      <w:r>
        <w:t>pted range.</w:t>
      </w:r>
    </w:p>
    <w:p w14:paraId="3CA77FCE" w14:textId="77777777" w:rsidR="00A40AAD" w:rsidRDefault="001A19F7">
      <w:pPr>
        <w:spacing w:after="78"/>
        <w:ind w:left="10" w:right="10"/>
      </w:pPr>
      <w:r>
        <w:t>Code Snippet:</w:t>
      </w:r>
    </w:p>
    <w:p w14:paraId="00DEDC47" w14:textId="77777777" w:rsidR="00A40AAD" w:rsidRDefault="001A19F7">
      <w:pPr>
        <w:spacing w:after="790" w:line="259" w:lineRule="auto"/>
        <w:ind w:left="30" w:right="-1220" w:firstLine="0"/>
      </w:pPr>
      <w:r>
        <w:rPr>
          <w:noProof/>
        </w:rPr>
        <w:lastRenderedPageBreak/>
        <w:drawing>
          <wp:inline distT="0" distB="0" distL="0" distR="0" wp14:anchorId="560D4446" wp14:editId="5601110A">
            <wp:extent cx="6699504" cy="1545336"/>
            <wp:effectExtent l="0" t="0" r="0" b="0"/>
            <wp:docPr id="4237" name="Picture 4237"/>
            <wp:cNvGraphicFramePr/>
            <a:graphic xmlns:a="http://schemas.openxmlformats.org/drawingml/2006/main">
              <a:graphicData uri="http://schemas.openxmlformats.org/drawingml/2006/picture">
                <pic:pic xmlns:pic="http://schemas.openxmlformats.org/drawingml/2006/picture">
                  <pic:nvPicPr>
                    <pic:cNvPr id="4237" name="Picture 4237"/>
                    <pic:cNvPicPr/>
                  </pic:nvPicPr>
                  <pic:blipFill>
                    <a:blip r:embed="rId17"/>
                    <a:stretch>
                      <a:fillRect/>
                    </a:stretch>
                  </pic:blipFill>
                  <pic:spPr>
                    <a:xfrm>
                      <a:off x="0" y="0"/>
                      <a:ext cx="6699504" cy="1545336"/>
                    </a:xfrm>
                    <a:prstGeom prst="rect">
                      <a:avLst/>
                    </a:prstGeom>
                  </pic:spPr>
                </pic:pic>
              </a:graphicData>
            </a:graphic>
          </wp:inline>
        </w:drawing>
      </w:r>
    </w:p>
    <w:p w14:paraId="00B54C7D" w14:textId="77777777" w:rsidR="00A40AAD" w:rsidRDefault="001A19F7">
      <w:pPr>
        <w:pStyle w:val="Heading1"/>
        <w:ind w:left="661" w:hanging="656"/>
      </w:pPr>
      <w:r>
        <w:t>Exploratory Data Analysis</w:t>
      </w:r>
    </w:p>
    <w:p w14:paraId="46440FD5" w14:textId="77777777" w:rsidR="00A40AAD" w:rsidRDefault="001A19F7">
      <w:pPr>
        <w:spacing w:after="36"/>
        <w:ind w:left="10" w:right="10"/>
      </w:pPr>
      <w:r>
        <w:t>The first part of data analysis involved graph visualisation. We plotted 3 graphs</w:t>
      </w:r>
    </w:p>
    <w:p w14:paraId="3C203B1A" w14:textId="77777777" w:rsidR="00A40AAD" w:rsidRDefault="001A19F7">
      <w:pPr>
        <w:numPr>
          <w:ilvl w:val="0"/>
          <w:numId w:val="4"/>
        </w:numPr>
        <w:spacing w:after="43"/>
        <w:ind w:right="10" w:hanging="360"/>
      </w:pPr>
      <w:r>
        <w:t>Histogram</w:t>
      </w:r>
    </w:p>
    <w:p w14:paraId="3B882212" w14:textId="77777777" w:rsidR="00A40AAD" w:rsidRDefault="001A19F7">
      <w:pPr>
        <w:numPr>
          <w:ilvl w:val="0"/>
          <w:numId w:val="4"/>
        </w:numPr>
        <w:spacing w:after="43"/>
        <w:ind w:right="10" w:hanging="360"/>
      </w:pPr>
      <w:proofErr w:type="spellStart"/>
      <w:r>
        <w:t>Barchart</w:t>
      </w:r>
      <w:proofErr w:type="spellEnd"/>
    </w:p>
    <w:p w14:paraId="708FED45" w14:textId="77777777" w:rsidR="00A40AAD" w:rsidRDefault="001A19F7">
      <w:pPr>
        <w:numPr>
          <w:ilvl w:val="0"/>
          <w:numId w:val="4"/>
        </w:numPr>
        <w:spacing w:after="648"/>
        <w:ind w:right="10" w:hanging="360"/>
      </w:pPr>
      <w:r>
        <w:t>Boxplot</w:t>
      </w:r>
    </w:p>
    <w:p w14:paraId="5C8E5D03" w14:textId="77777777" w:rsidR="00A40AAD" w:rsidRDefault="001A19F7">
      <w:pPr>
        <w:ind w:left="355" w:right="1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1F77DC9" wp14:editId="0EA130A2">
                <wp:simplePos x="0" y="0"/>
                <wp:positionH relativeFrom="column">
                  <wp:posOffset>-591159</wp:posOffset>
                </wp:positionH>
                <wp:positionV relativeFrom="paragraph">
                  <wp:posOffset>-249174</wp:posOffset>
                </wp:positionV>
                <wp:extent cx="3430220" cy="4592073"/>
                <wp:effectExtent l="0" t="0" r="0" b="0"/>
                <wp:wrapSquare wrapText="bothSides"/>
                <wp:docPr id="3350" name="Group 3350"/>
                <wp:cNvGraphicFramePr/>
                <a:graphic xmlns:a="http://schemas.openxmlformats.org/drawingml/2006/main">
                  <a:graphicData uri="http://schemas.microsoft.com/office/word/2010/wordprocessingGroup">
                    <wpg:wgp>
                      <wpg:cNvGrpSpPr/>
                      <wpg:grpSpPr>
                        <a:xfrm>
                          <a:off x="0" y="0"/>
                          <a:ext cx="3430220" cy="4592073"/>
                          <a:chOff x="0" y="0"/>
                          <a:chExt cx="3430220" cy="4592073"/>
                        </a:xfrm>
                      </wpg:grpSpPr>
                      <pic:pic xmlns:pic="http://schemas.openxmlformats.org/drawingml/2006/picture">
                        <pic:nvPicPr>
                          <pic:cNvPr id="139" name="Picture 139"/>
                          <pic:cNvPicPr/>
                        </pic:nvPicPr>
                        <pic:blipFill>
                          <a:blip r:embed="rId18"/>
                          <a:stretch>
                            <a:fillRect/>
                          </a:stretch>
                        </pic:blipFill>
                        <pic:spPr>
                          <a:xfrm>
                            <a:off x="0" y="0"/>
                            <a:ext cx="3430220" cy="2057400"/>
                          </a:xfrm>
                          <a:prstGeom prst="rect">
                            <a:avLst/>
                          </a:prstGeom>
                        </pic:spPr>
                      </pic:pic>
                      <pic:pic xmlns:pic="http://schemas.openxmlformats.org/drawingml/2006/picture">
                        <pic:nvPicPr>
                          <pic:cNvPr id="141" name="Picture 141"/>
                          <pic:cNvPicPr/>
                        </pic:nvPicPr>
                        <pic:blipFill>
                          <a:blip r:embed="rId19"/>
                          <a:stretch>
                            <a:fillRect/>
                          </a:stretch>
                        </pic:blipFill>
                        <pic:spPr>
                          <a:xfrm>
                            <a:off x="153010" y="2125098"/>
                            <a:ext cx="3276600" cy="2466975"/>
                          </a:xfrm>
                          <a:prstGeom prst="rect">
                            <a:avLst/>
                          </a:prstGeom>
                        </pic:spPr>
                      </pic:pic>
                    </wpg:wgp>
                  </a:graphicData>
                </a:graphic>
              </wp:anchor>
            </w:drawing>
          </mc:Choice>
          <mc:Fallback xmlns:a="http://schemas.openxmlformats.org/drawingml/2006/main">
            <w:pict>
              <v:group id="Group 3350" style="width:270.096pt;height:361.581pt;position:absolute;mso-position-horizontal-relative:text;mso-position-horizontal:absolute;margin-left:-46.548pt;mso-position-vertical-relative:text;margin-top:-19.6201pt;" coordsize="34302,45920">
                <v:shape id="Picture 139" style="position:absolute;width:34302;height:20574;left:0;top:0;" filled="f">
                  <v:imagedata r:id="rId20"/>
                </v:shape>
                <v:shape id="Picture 141" style="position:absolute;width:32766;height:24669;left:1530;top:21250;" filled="f">
                  <v:imagedata r:id="rId21"/>
                </v:shape>
                <w10:wrap type="square"/>
              </v:group>
            </w:pict>
          </mc:Fallback>
        </mc:AlternateContent>
      </w:r>
      <w:r>
        <w:t xml:space="preserve">Histogram was plotted for the variable ‘school’. In order to determine the </w:t>
      </w:r>
      <w:r>
        <w:t>popularity of the schools among students, a histogram was plotted with school as the variable. The inferences drawn were:</w:t>
      </w:r>
    </w:p>
    <w:p w14:paraId="5C931A20" w14:textId="77777777" w:rsidR="00A40AAD" w:rsidRDefault="001A19F7">
      <w:pPr>
        <w:spacing w:after="322"/>
        <w:ind w:left="355" w:right="10"/>
      </w:pPr>
      <w:r>
        <w:t xml:space="preserve">Most of the students, (approximately 300 of them) opted for Gymnasium as their secondary school choice. </w:t>
      </w:r>
      <w:proofErr w:type="spellStart"/>
      <w:r>
        <w:t>Realschule</w:t>
      </w:r>
      <w:proofErr w:type="spellEnd"/>
      <w:r>
        <w:t xml:space="preserve"> and Hauptschule wer</w:t>
      </w:r>
      <w:r>
        <w:t>e equally popular among students.</w:t>
      </w:r>
    </w:p>
    <w:p w14:paraId="125E15E5" w14:textId="77777777" w:rsidR="00A40AAD" w:rsidRDefault="001A19F7">
      <w:pPr>
        <w:ind w:left="355" w:right="10"/>
      </w:pPr>
      <w:r>
        <w:t>A bar chart was plotted to compare the number of female and male students in each school.</w:t>
      </w:r>
    </w:p>
    <w:p w14:paraId="3E7AA49E" w14:textId="77777777" w:rsidR="00A40AAD" w:rsidRDefault="001A19F7">
      <w:pPr>
        <w:spacing w:after="574"/>
        <w:ind w:left="355" w:right="213"/>
      </w:pPr>
      <w:r>
        <w:t xml:space="preserve">The inferences drawn were: The number of female students in gymnasium(around 165) is more than the male students(around 125). While </w:t>
      </w:r>
      <w:r>
        <w:t xml:space="preserve">they are almost equally distributed in </w:t>
      </w:r>
      <w:proofErr w:type="spellStart"/>
      <w:r>
        <w:t>Realschule</w:t>
      </w:r>
      <w:proofErr w:type="spellEnd"/>
      <w:r>
        <w:t xml:space="preserve"> and Hauptschule.</w:t>
      </w:r>
    </w:p>
    <w:p w14:paraId="020A249C" w14:textId="77777777" w:rsidR="00A40AAD" w:rsidRDefault="001A19F7">
      <w:pPr>
        <w:spacing w:after="245"/>
        <w:ind w:left="355" w:right="10"/>
      </w:pPr>
      <w:r>
        <w:rPr>
          <w:noProof/>
        </w:rPr>
        <w:lastRenderedPageBreak/>
        <w:drawing>
          <wp:anchor distT="0" distB="0" distL="114300" distR="114300" simplePos="0" relativeHeight="251662336" behindDoc="0" locked="0" layoutInCell="1" allowOverlap="0" wp14:anchorId="58D37B90" wp14:editId="44382372">
            <wp:simplePos x="0" y="0"/>
            <wp:positionH relativeFrom="column">
              <wp:posOffset>-647699</wp:posOffset>
            </wp:positionH>
            <wp:positionV relativeFrom="paragraph">
              <wp:posOffset>-129925</wp:posOffset>
            </wp:positionV>
            <wp:extent cx="3453384" cy="2334768"/>
            <wp:effectExtent l="0" t="0" r="0" b="0"/>
            <wp:wrapSquare wrapText="bothSides"/>
            <wp:docPr id="4239" name="Picture 4239"/>
            <wp:cNvGraphicFramePr/>
            <a:graphic xmlns:a="http://schemas.openxmlformats.org/drawingml/2006/main">
              <a:graphicData uri="http://schemas.openxmlformats.org/drawingml/2006/picture">
                <pic:pic xmlns:pic="http://schemas.openxmlformats.org/drawingml/2006/picture">
                  <pic:nvPicPr>
                    <pic:cNvPr id="4239" name="Picture 4239"/>
                    <pic:cNvPicPr/>
                  </pic:nvPicPr>
                  <pic:blipFill>
                    <a:blip r:embed="rId22"/>
                    <a:stretch>
                      <a:fillRect/>
                    </a:stretch>
                  </pic:blipFill>
                  <pic:spPr>
                    <a:xfrm>
                      <a:off x="0" y="0"/>
                      <a:ext cx="3453384" cy="2334768"/>
                    </a:xfrm>
                    <a:prstGeom prst="rect">
                      <a:avLst/>
                    </a:prstGeom>
                  </pic:spPr>
                </pic:pic>
              </a:graphicData>
            </a:graphic>
          </wp:anchor>
        </w:drawing>
      </w:r>
      <w:r>
        <w:t>In order to find out about the spread of values of birth year among the various schools with respect to gender, a box plot was constructed.</w:t>
      </w:r>
    </w:p>
    <w:p w14:paraId="5A2B14AA" w14:textId="77777777" w:rsidR="00A40AAD" w:rsidRDefault="001A19F7">
      <w:pPr>
        <w:spacing w:after="252" w:line="259" w:lineRule="auto"/>
        <w:ind w:left="2496" w:firstLine="0"/>
        <w:jc w:val="center"/>
      </w:pPr>
      <w:r>
        <w:t>The inferences drawn were:</w:t>
      </w:r>
    </w:p>
    <w:p w14:paraId="41C4AD1B" w14:textId="77777777" w:rsidR="00A40AAD" w:rsidRDefault="001A19F7">
      <w:pPr>
        <w:ind w:left="355" w:right="10"/>
      </w:pPr>
      <w:proofErr w:type="spellStart"/>
      <w:r>
        <w:t>Realschule</w:t>
      </w:r>
      <w:proofErr w:type="spellEnd"/>
      <w:r>
        <w:t xml:space="preserve"> and Gymnas</w:t>
      </w:r>
      <w:r>
        <w:t>ium have most of their students born in 1984, whereas Hauptschule students were born in 1983.</w:t>
      </w:r>
    </w:p>
    <w:p w14:paraId="3131AC24" w14:textId="77777777" w:rsidR="00A40AAD" w:rsidRDefault="001A19F7">
      <w:pPr>
        <w:ind w:left="355" w:right="10"/>
      </w:pPr>
      <w:r>
        <w:t xml:space="preserve">The spread of data for male students is much higher than female implying that the popularity of this school was more consistent among males. For both </w:t>
      </w:r>
      <w:proofErr w:type="spellStart"/>
      <w:r>
        <w:t>Realschule</w:t>
      </w:r>
      <w:proofErr w:type="spellEnd"/>
      <w:r>
        <w:t xml:space="preserve"> a</w:t>
      </w:r>
      <w:r>
        <w:t>nd Hauptschule, the 3rd Quartile is 1986 for both genders. The boxplot</w:t>
      </w:r>
    </w:p>
    <w:p w14:paraId="59A5B7EB" w14:textId="77777777" w:rsidR="00A40AAD" w:rsidRDefault="001A19F7">
      <w:pPr>
        <w:spacing w:after="826"/>
        <w:ind w:left="10" w:right="10"/>
      </w:pPr>
      <w:r>
        <w:t>for these schools are similar for both genders indicating similar spread/popularity among the genders.</w:t>
      </w:r>
    </w:p>
    <w:p w14:paraId="458DA037" w14:textId="77777777" w:rsidR="00A40AAD" w:rsidRDefault="001A19F7">
      <w:pPr>
        <w:tabs>
          <w:tab w:val="center" w:pos="400"/>
          <w:tab w:val="center" w:pos="1413"/>
        </w:tabs>
        <w:spacing w:after="248"/>
        <w:ind w:left="0" w:firstLine="0"/>
      </w:pPr>
      <w:r>
        <w:rPr>
          <w:rFonts w:ascii="Calibri" w:eastAsia="Calibri" w:hAnsi="Calibri" w:cs="Calibri"/>
          <w:sz w:val="22"/>
        </w:rPr>
        <w:tab/>
      </w:r>
      <w:r>
        <w:t>-</w:t>
      </w:r>
      <w:r>
        <w:tab/>
        <w:t>Normalization</w:t>
      </w:r>
    </w:p>
    <w:p w14:paraId="654842C2" w14:textId="77777777" w:rsidR="00A40AAD" w:rsidRDefault="001A19F7">
      <w:pPr>
        <w:ind w:left="10" w:right="10"/>
      </w:pPr>
      <w:r>
        <w:t>Normalization of ratings means adjusting values measured on diffe</w:t>
      </w:r>
      <w:r>
        <w:t>rent scales to a notionally common scale, often prior to averaging. The aim of Normalization is to change the values in the dataset to a common scale, without changing the differences in the range of values</w:t>
      </w:r>
      <w:r>
        <w:rPr>
          <w:rFonts w:ascii="Roboto" w:eastAsia="Roboto" w:hAnsi="Roboto" w:cs="Roboto"/>
          <w:sz w:val="28"/>
        </w:rPr>
        <w:t>.</w:t>
      </w:r>
    </w:p>
    <w:p w14:paraId="2035F215" w14:textId="77777777" w:rsidR="00A40AAD" w:rsidRDefault="001A19F7">
      <w:pPr>
        <w:spacing w:after="245"/>
        <w:ind w:left="10" w:right="10"/>
      </w:pPr>
      <w:r>
        <w:t>Normalization only changes the numeric values of</w:t>
      </w:r>
      <w:r>
        <w:t xml:space="preserve"> mean, median and mode without affecting the overall behaviour and distribution of the dataset.</w:t>
      </w:r>
    </w:p>
    <w:p w14:paraId="5094CECB" w14:textId="77777777" w:rsidR="00A40AAD" w:rsidRDefault="001A19F7">
      <w:pPr>
        <w:ind w:left="10" w:right="10"/>
      </w:pPr>
      <w:r>
        <w:t>There are many Normalization techniques.</w:t>
      </w:r>
    </w:p>
    <w:p w14:paraId="77CE204D" w14:textId="77777777" w:rsidR="00A40AAD" w:rsidRDefault="001A19F7">
      <w:pPr>
        <w:numPr>
          <w:ilvl w:val="0"/>
          <w:numId w:val="5"/>
        </w:numPr>
        <w:ind w:right="10" w:hanging="505"/>
      </w:pPr>
      <w:r>
        <w:t>The maximum absolute scaling</w:t>
      </w:r>
    </w:p>
    <w:p w14:paraId="39BA3304" w14:textId="77777777" w:rsidR="00A40AAD" w:rsidRDefault="001A19F7">
      <w:pPr>
        <w:numPr>
          <w:ilvl w:val="0"/>
          <w:numId w:val="5"/>
        </w:numPr>
        <w:ind w:right="10" w:hanging="505"/>
      </w:pPr>
      <w:r>
        <w:t>The min-max feature scaling</w:t>
      </w:r>
    </w:p>
    <w:p w14:paraId="374402D6" w14:textId="77777777" w:rsidR="00A40AAD" w:rsidRDefault="001A19F7">
      <w:pPr>
        <w:numPr>
          <w:ilvl w:val="0"/>
          <w:numId w:val="5"/>
        </w:numPr>
        <w:spacing w:after="248"/>
        <w:ind w:right="10" w:hanging="505"/>
      </w:pPr>
      <w:r>
        <w:t>Z-score method</w:t>
      </w:r>
    </w:p>
    <w:p w14:paraId="472D922D" w14:textId="77777777" w:rsidR="00A40AAD" w:rsidRDefault="001A19F7">
      <w:pPr>
        <w:ind w:left="4320" w:right="738" w:hanging="4320"/>
      </w:pPr>
      <w:r>
        <w:t xml:space="preserve">We have used the Z-score method in which </w:t>
      </w:r>
      <w:r>
        <w:t>each numerical value is replaced by Z score. Z = (x - μ) / σ</w:t>
      </w:r>
    </w:p>
    <w:p w14:paraId="3A4D984C" w14:textId="77777777" w:rsidR="00A40AAD" w:rsidRDefault="001A19F7">
      <w:pPr>
        <w:spacing w:after="182" w:line="259" w:lineRule="auto"/>
        <w:ind w:left="105" w:right="-35" w:firstLine="0"/>
      </w:pPr>
      <w:r>
        <w:rPr>
          <w:noProof/>
        </w:rPr>
        <w:drawing>
          <wp:inline distT="0" distB="0" distL="0" distR="0" wp14:anchorId="38B4A7FA" wp14:editId="059CFA51">
            <wp:extent cx="5900928" cy="886968"/>
            <wp:effectExtent l="0" t="0" r="0" b="0"/>
            <wp:docPr id="4238" name="Picture 4238"/>
            <wp:cNvGraphicFramePr/>
            <a:graphic xmlns:a="http://schemas.openxmlformats.org/drawingml/2006/main">
              <a:graphicData uri="http://schemas.openxmlformats.org/drawingml/2006/picture">
                <pic:pic xmlns:pic="http://schemas.openxmlformats.org/drawingml/2006/picture">
                  <pic:nvPicPr>
                    <pic:cNvPr id="4238" name="Picture 4238"/>
                    <pic:cNvPicPr/>
                  </pic:nvPicPr>
                  <pic:blipFill>
                    <a:blip r:embed="rId23"/>
                    <a:stretch>
                      <a:fillRect/>
                    </a:stretch>
                  </pic:blipFill>
                  <pic:spPr>
                    <a:xfrm>
                      <a:off x="0" y="0"/>
                      <a:ext cx="5900928" cy="886968"/>
                    </a:xfrm>
                    <a:prstGeom prst="rect">
                      <a:avLst/>
                    </a:prstGeom>
                  </pic:spPr>
                </pic:pic>
              </a:graphicData>
            </a:graphic>
          </wp:inline>
        </w:drawing>
      </w:r>
    </w:p>
    <w:p w14:paraId="4DD86E2E" w14:textId="77777777" w:rsidR="00A40AAD" w:rsidRDefault="001A19F7">
      <w:pPr>
        <w:ind w:left="10" w:right="10"/>
      </w:pPr>
      <w:proofErr w:type="spellStart"/>
      <w:r>
        <w:t>df.mean</w:t>
      </w:r>
      <w:proofErr w:type="spellEnd"/>
      <w:r>
        <w:t xml:space="preserve">() and </w:t>
      </w:r>
      <w:proofErr w:type="spellStart"/>
      <w:r>
        <w:t>df.std</w:t>
      </w:r>
      <w:proofErr w:type="spellEnd"/>
      <w:r>
        <w:t>() are the formulae used for calculating mean and standard deviation respectively.</w:t>
      </w:r>
    </w:p>
    <w:p w14:paraId="0307BAFF" w14:textId="77777777" w:rsidR="00A40AAD" w:rsidRDefault="001A19F7">
      <w:pPr>
        <w:ind w:left="10" w:right="10"/>
      </w:pPr>
      <w:r>
        <w:t>Mean and variance before Normalization.             Mean and Variance after Normalization</w:t>
      </w:r>
    </w:p>
    <w:p w14:paraId="5A9D8BC5" w14:textId="77777777" w:rsidR="00A40AAD" w:rsidRDefault="001A19F7">
      <w:pPr>
        <w:spacing w:after="386" w:line="259" w:lineRule="auto"/>
        <w:ind w:left="30" w:firstLine="0"/>
      </w:pPr>
      <w:r>
        <w:rPr>
          <w:rFonts w:ascii="Calibri" w:eastAsia="Calibri" w:hAnsi="Calibri" w:cs="Calibri"/>
          <w:noProof/>
          <w:sz w:val="22"/>
        </w:rPr>
        <w:lastRenderedPageBreak/>
        <mc:AlternateContent>
          <mc:Choice Requires="wpg">
            <w:drawing>
              <wp:inline distT="0" distB="0" distL="0" distR="0" wp14:anchorId="723B9664" wp14:editId="73057788">
                <wp:extent cx="5638800" cy="1857375"/>
                <wp:effectExtent l="0" t="0" r="0" b="0"/>
                <wp:docPr id="4249" name="Group 4249"/>
                <wp:cNvGraphicFramePr/>
                <a:graphic xmlns:a="http://schemas.openxmlformats.org/drawingml/2006/main">
                  <a:graphicData uri="http://schemas.microsoft.com/office/word/2010/wordprocessingGroup">
                    <wpg:wgp>
                      <wpg:cNvGrpSpPr/>
                      <wpg:grpSpPr>
                        <a:xfrm>
                          <a:off x="0" y="0"/>
                          <a:ext cx="5638800" cy="1857375"/>
                          <a:chOff x="0" y="0"/>
                          <a:chExt cx="5638800" cy="1857375"/>
                        </a:xfrm>
                      </wpg:grpSpPr>
                      <pic:pic xmlns:pic="http://schemas.openxmlformats.org/drawingml/2006/picture">
                        <pic:nvPicPr>
                          <pic:cNvPr id="197" name="Picture 197"/>
                          <pic:cNvPicPr/>
                        </pic:nvPicPr>
                        <pic:blipFill>
                          <a:blip r:embed="rId24"/>
                          <a:stretch>
                            <a:fillRect/>
                          </a:stretch>
                        </pic:blipFill>
                        <pic:spPr>
                          <a:xfrm>
                            <a:off x="0" y="38100"/>
                            <a:ext cx="2447925" cy="1819275"/>
                          </a:xfrm>
                          <a:prstGeom prst="rect">
                            <a:avLst/>
                          </a:prstGeom>
                        </pic:spPr>
                      </pic:pic>
                      <pic:pic xmlns:pic="http://schemas.openxmlformats.org/drawingml/2006/picture">
                        <pic:nvPicPr>
                          <pic:cNvPr id="199" name="Picture 199"/>
                          <pic:cNvPicPr/>
                        </pic:nvPicPr>
                        <pic:blipFill>
                          <a:blip r:embed="rId25"/>
                          <a:stretch>
                            <a:fillRect/>
                          </a:stretch>
                        </pic:blipFill>
                        <pic:spPr>
                          <a:xfrm>
                            <a:off x="2790825" y="0"/>
                            <a:ext cx="2847975" cy="1857375"/>
                          </a:xfrm>
                          <a:prstGeom prst="rect">
                            <a:avLst/>
                          </a:prstGeom>
                        </pic:spPr>
                      </pic:pic>
                    </wpg:wgp>
                  </a:graphicData>
                </a:graphic>
              </wp:inline>
            </w:drawing>
          </mc:Choice>
          <mc:Fallback xmlns:a="http://schemas.openxmlformats.org/drawingml/2006/main">
            <w:pict>
              <v:group id="Group 4249" style="width:444pt;height:146.25pt;mso-position-horizontal-relative:char;mso-position-vertical-relative:line" coordsize="56388,18573">
                <v:shape id="Picture 197" style="position:absolute;width:24479;height:18192;left:0;top:381;" filled="f">
                  <v:imagedata r:id="rId26"/>
                </v:shape>
                <v:shape id="Picture 199" style="position:absolute;width:28479;height:18573;left:27908;top:0;" filled="f">
                  <v:imagedata r:id="rId27"/>
                </v:shape>
              </v:group>
            </w:pict>
          </mc:Fallback>
        </mc:AlternateContent>
      </w:r>
    </w:p>
    <w:p w14:paraId="6907FB2E" w14:textId="77777777" w:rsidR="00A40AAD" w:rsidRDefault="001A19F7">
      <w:pPr>
        <w:spacing w:after="242"/>
        <w:ind w:left="10" w:right="10"/>
      </w:pPr>
      <w:r>
        <w:t>Mean and Variance after Normalization are  0 and 1 respectively.</w:t>
      </w:r>
    </w:p>
    <w:p w14:paraId="723BF2CB" w14:textId="77777777" w:rsidR="00A40AAD" w:rsidRDefault="001A19F7">
      <w:pPr>
        <w:spacing w:after="271"/>
        <w:ind w:left="10" w:right="10"/>
      </w:pPr>
      <w:r>
        <w:t>Graphs after Normalization are as follows</w:t>
      </w:r>
    </w:p>
    <w:p w14:paraId="00DE42D9" w14:textId="77777777" w:rsidR="00A40AAD" w:rsidRDefault="001A19F7">
      <w:pPr>
        <w:numPr>
          <w:ilvl w:val="0"/>
          <w:numId w:val="5"/>
        </w:numPr>
        <w:ind w:right="10" w:hanging="505"/>
      </w:pPr>
      <w:r>
        <w:t>Income</w:t>
      </w:r>
    </w:p>
    <w:p w14:paraId="69B71DED" w14:textId="77777777" w:rsidR="00A40AAD" w:rsidRDefault="001A19F7">
      <w:pPr>
        <w:spacing w:after="386" w:line="259" w:lineRule="auto"/>
        <w:ind w:left="750" w:firstLine="0"/>
      </w:pPr>
      <w:r>
        <w:rPr>
          <w:noProof/>
        </w:rPr>
        <w:drawing>
          <wp:inline distT="0" distB="0" distL="0" distR="0" wp14:anchorId="33C78A54" wp14:editId="09127DFA">
            <wp:extent cx="3295650" cy="1771650"/>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8"/>
                    <a:stretch>
                      <a:fillRect/>
                    </a:stretch>
                  </pic:blipFill>
                  <pic:spPr>
                    <a:xfrm>
                      <a:off x="0" y="0"/>
                      <a:ext cx="3295650" cy="1771650"/>
                    </a:xfrm>
                    <a:prstGeom prst="rect">
                      <a:avLst/>
                    </a:prstGeom>
                  </pic:spPr>
                </pic:pic>
              </a:graphicData>
            </a:graphic>
          </wp:inline>
        </w:drawing>
      </w:r>
    </w:p>
    <w:p w14:paraId="3103F58D" w14:textId="77777777" w:rsidR="00A40AAD" w:rsidRDefault="001A19F7">
      <w:pPr>
        <w:numPr>
          <w:ilvl w:val="0"/>
          <w:numId w:val="5"/>
        </w:numPr>
        <w:ind w:right="10" w:hanging="505"/>
      </w:pPr>
      <w:proofErr w:type="spellStart"/>
      <w:r>
        <w:t>Meducation</w:t>
      </w:r>
      <w:proofErr w:type="spellEnd"/>
    </w:p>
    <w:p w14:paraId="7FEFE91A" w14:textId="77777777" w:rsidR="00A40AAD" w:rsidRDefault="001A19F7">
      <w:pPr>
        <w:spacing w:after="0" w:line="259" w:lineRule="auto"/>
        <w:ind w:left="750" w:firstLine="0"/>
      </w:pPr>
      <w:r>
        <w:rPr>
          <w:noProof/>
        </w:rPr>
        <w:drawing>
          <wp:inline distT="0" distB="0" distL="0" distR="0" wp14:anchorId="2577A1E9" wp14:editId="798B230F">
            <wp:extent cx="3152775" cy="1943100"/>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9"/>
                    <a:stretch>
                      <a:fillRect/>
                    </a:stretch>
                  </pic:blipFill>
                  <pic:spPr>
                    <a:xfrm>
                      <a:off x="0" y="0"/>
                      <a:ext cx="3152775" cy="1943100"/>
                    </a:xfrm>
                    <a:prstGeom prst="rect">
                      <a:avLst/>
                    </a:prstGeom>
                  </pic:spPr>
                </pic:pic>
              </a:graphicData>
            </a:graphic>
          </wp:inline>
        </w:drawing>
      </w:r>
    </w:p>
    <w:p w14:paraId="31CE8434" w14:textId="77777777" w:rsidR="00A40AAD" w:rsidRDefault="001A19F7">
      <w:pPr>
        <w:numPr>
          <w:ilvl w:val="0"/>
          <w:numId w:val="5"/>
        </w:numPr>
        <w:ind w:right="10" w:hanging="505"/>
      </w:pPr>
      <w:r>
        <w:t>Size</w:t>
      </w:r>
    </w:p>
    <w:p w14:paraId="5AB29F2C" w14:textId="77777777" w:rsidR="00A40AAD" w:rsidRDefault="001A19F7">
      <w:pPr>
        <w:spacing w:after="661" w:line="259" w:lineRule="auto"/>
        <w:ind w:left="750" w:firstLine="0"/>
      </w:pPr>
      <w:r>
        <w:rPr>
          <w:noProof/>
        </w:rPr>
        <w:lastRenderedPageBreak/>
        <w:drawing>
          <wp:inline distT="0" distB="0" distL="0" distR="0" wp14:anchorId="69CCF839" wp14:editId="775B939F">
            <wp:extent cx="3095625" cy="1885950"/>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30"/>
                    <a:stretch>
                      <a:fillRect/>
                    </a:stretch>
                  </pic:blipFill>
                  <pic:spPr>
                    <a:xfrm>
                      <a:off x="0" y="0"/>
                      <a:ext cx="3095625" cy="1885950"/>
                    </a:xfrm>
                    <a:prstGeom prst="rect">
                      <a:avLst/>
                    </a:prstGeom>
                  </pic:spPr>
                </pic:pic>
              </a:graphicData>
            </a:graphic>
          </wp:inline>
        </w:drawing>
      </w:r>
    </w:p>
    <w:p w14:paraId="1191447D" w14:textId="77777777" w:rsidR="00A40AAD" w:rsidRDefault="001A19F7">
      <w:pPr>
        <w:numPr>
          <w:ilvl w:val="0"/>
          <w:numId w:val="5"/>
        </w:numPr>
        <w:ind w:right="10" w:hanging="505"/>
      </w:pPr>
      <w:r>
        <w:t>Birthyear</w:t>
      </w:r>
    </w:p>
    <w:p w14:paraId="0CFD194C" w14:textId="77777777" w:rsidR="00A40AAD" w:rsidRDefault="001A19F7">
      <w:pPr>
        <w:spacing w:after="385" w:line="259" w:lineRule="auto"/>
        <w:ind w:left="750" w:firstLine="0"/>
      </w:pPr>
      <w:r>
        <w:rPr>
          <w:noProof/>
        </w:rPr>
        <w:drawing>
          <wp:inline distT="0" distB="0" distL="0" distR="0" wp14:anchorId="0F3B30B4" wp14:editId="6CC81944">
            <wp:extent cx="3009900" cy="1800225"/>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31"/>
                    <a:stretch>
                      <a:fillRect/>
                    </a:stretch>
                  </pic:blipFill>
                  <pic:spPr>
                    <a:xfrm>
                      <a:off x="0" y="0"/>
                      <a:ext cx="3009900" cy="1800225"/>
                    </a:xfrm>
                    <a:prstGeom prst="rect">
                      <a:avLst/>
                    </a:prstGeom>
                  </pic:spPr>
                </pic:pic>
              </a:graphicData>
            </a:graphic>
          </wp:inline>
        </w:drawing>
      </w:r>
    </w:p>
    <w:p w14:paraId="64C040B0" w14:textId="77777777" w:rsidR="00A40AAD" w:rsidRDefault="001A19F7">
      <w:pPr>
        <w:numPr>
          <w:ilvl w:val="0"/>
          <w:numId w:val="5"/>
        </w:numPr>
        <w:ind w:right="10" w:hanging="505"/>
      </w:pPr>
      <w:r>
        <w:t>Parity</w:t>
      </w:r>
    </w:p>
    <w:p w14:paraId="3E7E961A" w14:textId="77777777" w:rsidR="00A40AAD" w:rsidRDefault="001A19F7">
      <w:pPr>
        <w:spacing w:after="0" w:line="259" w:lineRule="auto"/>
        <w:ind w:left="750" w:firstLine="0"/>
      </w:pPr>
      <w:r>
        <w:rPr>
          <w:noProof/>
        </w:rPr>
        <w:drawing>
          <wp:inline distT="0" distB="0" distL="0" distR="0" wp14:anchorId="537E4887" wp14:editId="2EB14294">
            <wp:extent cx="3209925" cy="1943100"/>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32"/>
                    <a:stretch>
                      <a:fillRect/>
                    </a:stretch>
                  </pic:blipFill>
                  <pic:spPr>
                    <a:xfrm>
                      <a:off x="0" y="0"/>
                      <a:ext cx="3209925" cy="1943100"/>
                    </a:xfrm>
                    <a:prstGeom prst="rect">
                      <a:avLst/>
                    </a:prstGeom>
                  </pic:spPr>
                </pic:pic>
              </a:graphicData>
            </a:graphic>
          </wp:inline>
        </w:drawing>
      </w:r>
    </w:p>
    <w:p w14:paraId="19512815" w14:textId="77777777" w:rsidR="00A40AAD" w:rsidRDefault="001A19F7">
      <w:pPr>
        <w:numPr>
          <w:ilvl w:val="0"/>
          <w:numId w:val="5"/>
        </w:numPr>
        <w:ind w:right="10" w:hanging="505"/>
      </w:pPr>
      <w:r>
        <w:t>Year</w:t>
      </w:r>
    </w:p>
    <w:p w14:paraId="597B6FCA" w14:textId="77777777" w:rsidR="00A40AAD" w:rsidRDefault="001A19F7">
      <w:pPr>
        <w:spacing w:after="385" w:line="259" w:lineRule="auto"/>
        <w:ind w:left="750" w:firstLine="0"/>
      </w:pPr>
      <w:r>
        <w:rPr>
          <w:noProof/>
        </w:rPr>
        <w:lastRenderedPageBreak/>
        <w:drawing>
          <wp:inline distT="0" distB="0" distL="0" distR="0" wp14:anchorId="6153F1F1" wp14:editId="6C75A402">
            <wp:extent cx="3228975" cy="1762125"/>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33"/>
                    <a:stretch>
                      <a:fillRect/>
                    </a:stretch>
                  </pic:blipFill>
                  <pic:spPr>
                    <a:xfrm>
                      <a:off x="0" y="0"/>
                      <a:ext cx="3228975" cy="1762125"/>
                    </a:xfrm>
                    <a:prstGeom prst="rect">
                      <a:avLst/>
                    </a:prstGeom>
                  </pic:spPr>
                </pic:pic>
              </a:graphicData>
            </a:graphic>
          </wp:inline>
        </w:drawing>
      </w:r>
    </w:p>
    <w:p w14:paraId="6F7C8121" w14:textId="77777777" w:rsidR="00A40AAD" w:rsidRDefault="001A19F7">
      <w:pPr>
        <w:numPr>
          <w:ilvl w:val="0"/>
          <w:numId w:val="5"/>
        </w:numPr>
        <w:ind w:right="10" w:hanging="505"/>
      </w:pPr>
      <w:r>
        <w:t>Kids</w:t>
      </w:r>
    </w:p>
    <w:p w14:paraId="1672CCA5" w14:textId="77777777" w:rsidR="00A40AAD" w:rsidRDefault="001A19F7">
      <w:pPr>
        <w:spacing w:after="110" w:line="259" w:lineRule="auto"/>
        <w:ind w:left="810" w:firstLine="0"/>
      </w:pPr>
      <w:r>
        <w:rPr>
          <w:noProof/>
        </w:rPr>
        <w:drawing>
          <wp:inline distT="0" distB="0" distL="0" distR="0" wp14:anchorId="7821CB6C" wp14:editId="4385E140">
            <wp:extent cx="3343275" cy="1990725"/>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34"/>
                    <a:stretch>
                      <a:fillRect/>
                    </a:stretch>
                  </pic:blipFill>
                  <pic:spPr>
                    <a:xfrm>
                      <a:off x="0" y="0"/>
                      <a:ext cx="3343275" cy="1990725"/>
                    </a:xfrm>
                    <a:prstGeom prst="rect">
                      <a:avLst/>
                    </a:prstGeom>
                  </pic:spPr>
                </pic:pic>
              </a:graphicData>
            </a:graphic>
          </wp:inline>
        </w:drawing>
      </w:r>
    </w:p>
    <w:p w14:paraId="4D21A0F2" w14:textId="77777777" w:rsidR="00A40AAD" w:rsidRDefault="001A19F7">
      <w:pPr>
        <w:spacing w:after="1099"/>
        <w:ind w:left="10" w:right="10"/>
      </w:pPr>
      <w:r>
        <w:t xml:space="preserve">From the graphs , we can see that the  mean is approximately  equal to 0 and </w:t>
      </w:r>
      <w:r>
        <w:t>variance 1.</w:t>
      </w:r>
    </w:p>
    <w:p w14:paraId="1E2836F0" w14:textId="77777777" w:rsidR="00A40AAD" w:rsidRDefault="001A19F7">
      <w:pPr>
        <w:tabs>
          <w:tab w:val="center" w:pos="400"/>
          <w:tab w:val="center" w:pos="2097"/>
        </w:tabs>
        <w:spacing w:after="331"/>
        <w:ind w:left="0" w:firstLine="0"/>
      </w:pPr>
      <w:r>
        <w:rPr>
          <w:rFonts w:ascii="Calibri" w:eastAsia="Calibri" w:hAnsi="Calibri" w:cs="Calibri"/>
          <w:sz w:val="22"/>
        </w:rPr>
        <w:tab/>
      </w:r>
      <w:r>
        <w:t>-</w:t>
      </w:r>
      <w:r>
        <w:tab/>
        <w:t>Correlation among Variables</w:t>
      </w:r>
    </w:p>
    <w:p w14:paraId="07D0528F" w14:textId="77777777" w:rsidR="00A40AAD" w:rsidRDefault="001A19F7">
      <w:pPr>
        <w:spacing w:after="959"/>
        <w:ind w:left="10" w:right="10"/>
      </w:pPr>
      <w:r>
        <w:t>Correlation coefficient is used to determine the interdependence of  variable quantities.</w:t>
      </w:r>
    </w:p>
    <w:p w14:paraId="5DFBE25B" w14:textId="77777777" w:rsidR="00A40AAD" w:rsidRDefault="001A19F7">
      <w:pPr>
        <w:ind w:left="355" w:right="10"/>
      </w:pPr>
      <w:r>
        <w:rPr>
          <w:noProof/>
        </w:rPr>
        <w:drawing>
          <wp:anchor distT="0" distB="0" distL="114300" distR="114300" simplePos="0" relativeHeight="251663360" behindDoc="0" locked="0" layoutInCell="1" allowOverlap="0" wp14:anchorId="021F2733" wp14:editId="002F85EE">
            <wp:simplePos x="0" y="0"/>
            <wp:positionH relativeFrom="column">
              <wp:posOffset>19050</wp:posOffset>
            </wp:positionH>
            <wp:positionV relativeFrom="paragraph">
              <wp:posOffset>-431656</wp:posOffset>
            </wp:positionV>
            <wp:extent cx="4413504" cy="1908048"/>
            <wp:effectExtent l="0" t="0" r="0" b="0"/>
            <wp:wrapSquare wrapText="bothSides"/>
            <wp:docPr id="4240" name="Picture 4240"/>
            <wp:cNvGraphicFramePr/>
            <a:graphic xmlns:a="http://schemas.openxmlformats.org/drawingml/2006/main">
              <a:graphicData uri="http://schemas.openxmlformats.org/drawingml/2006/picture">
                <pic:pic xmlns:pic="http://schemas.openxmlformats.org/drawingml/2006/picture">
                  <pic:nvPicPr>
                    <pic:cNvPr id="4240" name="Picture 4240"/>
                    <pic:cNvPicPr/>
                  </pic:nvPicPr>
                  <pic:blipFill>
                    <a:blip r:embed="rId35"/>
                    <a:stretch>
                      <a:fillRect/>
                    </a:stretch>
                  </pic:blipFill>
                  <pic:spPr>
                    <a:xfrm>
                      <a:off x="0" y="0"/>
                      <a:ext cx="4413504" cy="1908048"/>
                    </a:xfrm>
                    <a:prstGeom prst="rect">
                      <a:avLst/>
                    </a:prstGeom>
                  </pic:spPr>
                </pic:pic>
              </a:graphicData>
            </a:graphic>
          </wp:anchor>
        </w:drawing>
      </w:r>
      <w:r>
        <w:t>We first constructed the correlation matrix, that gives the values of the correlation coefficient for the variables.</w:t>
      </w:r>
    </w:p>
    <w:p w14:paraId="2327B5EC" w14:textId="77777777" w:rsidR="00A40AAD" w:rsidRDefault="001A19F7">
      <w:pPr>
        <w:spacing w:after="322"/>
        <w:ind w:left="355" w:right="10"/>
      </w:pPr>
      <w:r>
        <w:rPr>
          <w:noProof/>
        </w:rPr>
        <w:lastRenderedPageBreak/>
        <w:drawing>
          <wp:anchor distT="0" distB="0" distL="114300" distR="114300" simplePos="0" relativeHeight="251664384" behindDoc="0" locked="0" layoutInCell="1" allowOverlap="0" wp14:anchorId="3A31A9FF" wp14:editId="1E535E65">
            <wp:simplePos x="0" y="0"/>
            <wp:positionH relativeFrom="column">
              <wp:posOffset>95250</wp:posOffset>
            </wp:positionH>
            <wp:positionV relativeFrom="paragraph">
              <wp:posOffset>-336406</wp:posOffset>
            </wp:positionV>
            <wp:extent cx="3990975" cy="2667000"/>
            <wp:effectExtent l="0" t="0" r="0" b="0"/>
            <wp:wrapSquare wrapText="bothSides"/>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36"/>
                    <a:stretch>
                      <a:fillRect/>
                    </a:stretch>
                  </pic:blipFill>
                  <pic:spPr>
                    <a:xfrm>
                      <a:off x="0" y="0"/>
                      <a:ext cx="3990975" cy="2667000"/>
                    </a:xfrm>
                    <a:prstGeom prst="rect">
                      <a:avLst/>
                    </a:prstGeom>
                  </pic:spPr>
                </pic:pic>
              </a:graphicData>
            </a:graphic>
          </wp:anchor>
        </w:drawing>
      </w:r>
      <w:r>
        <w:t xml:space="preserve">A </w:t>
      </w:r>
      <w:r>
        <w:t>heatmap was then plotted for the same for better visualisation.</w:t>
      </w:r>
    </w:p>
    <w:p w14:paraId="457AD1B0" w14:textId="77777777" w:rsidR="00A40AAD" w:rsidRDefault="001A19F7">
      <w:pPr>
        <w:spacing w:after="1663"/>
        <w:ind w:left="355" w:right="10"/>
      </w:pPr>
      <w:r>
        <w:t>In order to confirm the findings of the heatmap and correlation matrix, scatter plots were constructed for all variables.</w:t>
      </w:r>
    </w:p>
    <w:p w14:paraId="13CB1433" w14:textId="77777777" w:rsidR="00A40AAD" w:rsidRDefault="001A19F7">
      <w:pPr>
        <w:spacing w:after="468" w:line="259" w:lineRule="auto"/>
        <w:ind w:left="30" w:firstLine="0"/>
      </w:pPr>
      <w:r>
        <w:rPr>
          <w:rFonts w:ascii="Calibri" w:eastAsia="Calibri" w:hAnsi="Calibri" w:cs="Calibri"/>
          <w:noProof/>
          <w:sz w:val="22"/>
        </w:rPr>
        <mc:AlternateContent>
          <mc:Choice Requires="wpg">
            <w:drawing>
              <wp:inline distT="0" distB="0" distL="0" distR="0" wp14:anchorId="7F590C33" wp14:editId="1635F39F">
                <wp:extent cx="5829300" cy="2333625"/>
                <wp:effectExtent l="0" t="0" r="0" b="0"/>
                <wp:docPr id="3966" name="Group 3966"/>
                <wp:cNvGraphicFramePr/>
                <a:graphic xmlns:a="http://schemas.openxmlformats.org/drawingml/2006/main">
                  <a:graphicData uri="http://schemas.microsoft.com/office/word/2010/wordprocessingGroup">
                    <wpg:wgp>
                      <wpg:cNvGrpSpPr/>
                      <wpg:grpSpPr>
                        <a:xfrm>
                          <a:off x="0" y="0"/>
                          <a:ext cx="5829300" cy="2333625"/>
                          <a:chOff x="0" y="0"/>
                          <a:chExt cx="5829300" cy="2333625"/>
                        </a:xfrm>
                      </wpg:grpSpPr>
                      <pic:pic xmlns:pic="http://schemas.openxmlformats.org/drawingml/2006/picture">
                        <pic:nvPicPr>
                          <pic:cNvPr id="256" name="Picture 256"/>
                          <pic:cNvPicPr/>
                        </pic:nvPicPr>
                        <pic:blipFill>
                          <a:blip r:embed="rId37"/>
                          <a:stretch>
                            <a:fillRect/>
                          </a:stretch>
                        </pic:blipFill>
                        <pic:spPr>
                          <a:xfrm>
                            <a:off x="0" y="0"/>
                            <a:ext cx="3038475" cy="2333625"/>
                          </a:xfrm>
                          <a:prstGeom prst="rect">
                            <a:avLst/>
                          </a:prstGeom>
                        </pic:spPr>
                      </pic:pic>
                      <pic:pic xmlns:pic="http://schemas.openxmlformats.org/drawingml/2006/picture">
                        <pic:nvPicPr>
                          <pic:cNvPr id="258" name="Picture 258"/>
                          <pic:cNvPicPr/>
                        </pic:nvPicPr>
                        <pic:blipFill>
                          <a:blip r:embed="rId38"/>
                          <a:stretch>
                            <a:fillRect/>
                          </a:stretch>
                        </pic:blipFill>
                        <pic:spPr>
                          <a:xfrm>
                            <a:off x="3076575" y="57150"/>
                            <a:ext cx="2752725" cy="2276475"/>
                          </a:xfrm>
                          <a:prstGeom prst="rect">
                            <a:avLst/>
                          </a:prstGeom>
                        </pic:spPr>
                      </pic:pic>
                    </wpg:wgp>
                  </a:graphicData>
                </a:graphic>
              </wp:inline>
            </w:drawing>
          </mc:Choice>
          <mc:Fallback xmlns:a="http://schemas.openxmlformats.org/drawingml/2006/main">
            <w:pict>
              <v:group id="Group 3966" style="width:459pt;height:183.75pt;mso-position-horizontal-relative:char;mso-position-vertical-relative:line" coordsize="58293,23336">
                <v:shape id="Picture 256" style="position:absolute;width:30384;height:23336;left:0;top:0;" filled="f">
                  <v:imagedata r:id="rId39"/>
                </v:shape>
                <v:shape id="Picture 258" style="position:absolute;width:27527;height:22764;left:30765;top:571;" filled="f">
                  <v:imagedata r:id="rId40"/>
                </v:shape>
              </v:group>
            </w:pict>
          </mc:Fallback>
        </mc:AlternateContent>
      </w:r>
    </w:p>
    <w:p w14:paraId="70D29209" w14:textId="77777777" w:rsidR="00A40AAD" w:rsidRDefault="001A19F7">
      <w:pPr>
        <w:tabs>
          <w:tab w:val="center" w:pos="5967"/>
        </w:tabs>
        <w:ind w:left="0" w:firstLine="0"/>
      </w:pPr>
      <w:r>
        <w:t>kids vs size</w:t>
      </w:r>
      <w:r>
        <w:tab/>
      </w:r>
      <w:proofErr w:type="spellStart"/>
      <w:r>
        <w:t>meducation</w:t>
      </w:r>
      <w:proofErr w:type="spellEnd"/>
      <w:r>
        <w:t xml:space="preserve"> vs kids</w:t>
      </w:r>
    </w:p>
    <w:p w14:paraId="5939553C" w14:textId="77777777" w:rsidR="00A40AAD" w:rsidRDefault="001A19F7">
      <w:pPr>
        <w:spacing w:after="151" w:line="259" w:lineRule="auto"/>
        <w:ind w:left="30" w:firstLine="0"/>
      </w:pPr>
      <w:r>
        <w:rPr>
          <w:rFonts w:ascii="Calibri" w:eastAsia="Calibri" w:hAnsi="Calibri" w:cs="Calibri"/>
          <w:noProof/>
          <w:sz w:val="22"/>
        </w:rPr>
        <mc:AlternateContent>
          <mc:Choice Requires="wpg">
            <w:drawing>
              <wp:inline distT="0" distB="0" distL="0" distR="0" wp14:anchorId="2ECFCE3D" wp14:editId="7527CBD4">
                <wp:extent cx="5905502" cy="2105025"/>
                <wp:effectExtent l="0" t="0" r="0" b="0"/>
                <wp:docPr id="3571" name="Group 3571"/>
                <wp:cNvGraphicFramePr/>
                <a:graphic xmlns:a="http://schemas.openxmlformats.org/drawingml/2006/main">
                  <a:graphicData uri="http://schemas.microsoft.com/office/word/2010/wordprocessingGroup">
                    <wpg:wgp>
                      <wpg:cNvGrpSpPr/>
                      <wpg:grpSpPr>
                        <a:xfrm>
                          <a:off x="0" y="0"/>
                          <a:ext cx="5905502" cy="2105025"/>
                          <a:chOff x="0" y="0"/>
                          <a:chExt cx="5905502" cy="2105025"/>
                        </a:xfrm>
                      </wpg:grpSpPr>
                      <pic:pic xmlns:pic="http://schemas.openxmlformats.org/drawingml/2006/picture">
                        <pic:nvPicPr>
                          <pic:cNvPr id="271" name="Picture 271"/>
                          <pic:cNvPicPr/>
                        </pic:nvPicPr>
                        <pic:blipFill>
                          <a:blip r:embed="rId41"/>
                          <a:stretch>
                            <a:fillRect/>
                          </a:stretch>
                        </pic:blipFill>
                        <pic:spPr>
                          <a:xfrm>
                            <a:off x="0" y="0"/>
                            <a:ext cx="2971800" cy="2105025"/>
                          </a:xfrm>
                          <a:prstGeom prst="rect">
                            <a:avLst/>
                          </a:prstGeom>
                        </pic:spPr>
                      </pic:pic>
                      <pic:pic xmlns:pic="http://schemas.openxmlformats.org/drawingml/2006/picture">
                        <pic:nvPicPr>
                          <pic:cNvPr id="4241" name="Picture 4241"/>
                          <pic:cNvPicPr/>
                        </pic:nvPicPr>
                        <pic:blipFill>
                          <a:blip r:embed="rId42"/>
                          <a:stretch>
                            <a:fillRect/>
                          </a:stretch>
                        </pic:blipFill>
                        <pic:spPr>
                          <a:xfrm>
                            <a:off x="3005582" y="-3809"/>
                            <a:ext cx="2898648" cy="2109216"/>
                          </a:xfrm>
                          <a:prstGeom prst="rect">
                            <a:avLst/>
                          </a:prstGeom>
                        </pic:spPr>
                      </pic:pic>
                    </wpg:wgp>
                  </a:graphicData>
                </a:graphic>
              </wp:inline>
            </w:drawing>
          </mc:Choice>
          <mc:Fallback xmlns:a="http://schemas.openxmlformats.org/drawingml/2006/main">
            <w:pict>
              <v:group id="Group 3571" style="width:465pt;height:165.75pt;mso-position-horizontal-relative:char;mso-position-vertical-relative:line" coordsize="59055,21050">
                <v:shape id="Picture 271" style="position:absolute;width:29718;height:21050;left:0;top:0;" filled="f">
                  <v:imagedata r:id="rId43"/>
                </v:shape>
                <v:shape id="Picture 4241" style="position:absolute;width:28986;height:21092;left:30055;top:-38;" filled="f">
                  <v:imagedata r:id="rId44"/>
                </v:shape>
              </v:group>
            </w:pict>
          </mc:Fallback>
        </mc:AlternateContent>
      </w:r>
    </w:p>
    <w:p w14:paraId="0787C348" w14:textId="77777777" w:rsidR="00A40AAD" w:rsidRDefault="001A19F7">
      <w:pPr>
        <w:tabs>
          <w:tab w:val="center" w:pos="5760"/>
        </w:tabs>
        <w:spacing w:after="78"/>
        <w:ind w:left="0" w:firstLine="0"/>
      </w:pPr>
      <w:r>
        <w:t>birth year vs year</w:t>
      </w:r>
      <w:r>
        <w:tab/>
        <w:t>income vs kids</w:t>
      </w:r>
    </w:p>
    <w:p w14:paraId="7E5B4485" w14:textId="77777777" w:rsidR="00A40AAD" w:rsidRDefault="001A19F7">
      <w:pPr>
        <w:spacing w:after="151" w:line="259" w:lineRule="auto"/>
        <w:ind w:left="30" w:firstLine="0"/>
      </w:pPr>
      <w:r>
        <w:rPr>
          <w:rFonts w:ascii="Calibri" w:eastAsia="Calibri" w:hAnsi="Calibri" w:cs="Calibri"/>
          <w:noProof/>
          <w:sz w:val="22"/>
        </w:rPr>
        <w:lastRenderedPageBreak/>
        <mc:AlternateContent>
          <mc:Choice Requires="wpg">
            <w:drawing>
              <wp:inline distT="0" distB="0" distL="0" distR="0" wp14:anchorId="12C383C5" wp14:editId="71A2EADD">
                <wp:extent cx="5791200" cy="2133600"/>
                <wp:effectExtent l="0" t="0" r="0" b="0"/>
                <wp:docPr id="3594" name="Group 3594"/>
                <wp:cNvGraphicFramePr/>
                <a:graphic xmlns:a="http://schemas.openxmlformats.org/drawingml/2006/main">
                  <a:graphicData uri="http://schemas.microsoft.com/office/word/2010/wordprocessingGroup">
                    <wpg:wgp>
                      <wpg:cNvGrpSpPr/>
                      <wpg:grpSpPr>
                        <a:xfrm>
                          <a:off x="0" y="0"/>
                          <a:ext cx="5791200" cy="2133600"/>
                          <a:chOff x="0" y="0"/>
                          <a:chExt cx="5791200" cy="2133600"/>
                        </a:xfrm>
                      </wpg:grpSpPr>
                      <pic:pic xmlns:pic="http://schemas.openxmlformats.org/drawingml/2006/picture">
                        <pic:nvPicPr>
                          <pic:cNvPr id="275" name="Picture 275"/>
                          <pic:cNvPicPr/>
                        </pic:nvPicPr>
                        <pic:blipFill>
                          <a:blip r:embed="rId45"/>
                          <a:stretch>
                            <a:fillRect/>
                          </a:stretch>
                        </pic:blipFill>
                        <pic:spPr>
                          <a:xfrm>
                            <a:off x="0" y="19050"/>
                            <a:ext cx="2895600" cy="2114550"/>
                          </a:xfrm>
                          <a:prstGeom prst="rect">
                            <a:avLst/>
                          </a:prstGeom>
                        </pic:spPr>
                      </pic:pic>
                      <pic:pic xmlns:pic="http://schemas.openxmlformats.org/drawingml/2006/picture">
                        <pic:nvPicPr>
                          <pic:cNvPr id="277" name="Picture 277"/>
                          <pic:cNvPicPr/>
                        </pic:nvPicPr>
                        <pic:blipFill>
                          <a:blip r:embed="rId46"/>
                          <a:stretch>
                            <a:fillRect/>
                          </a:stretch>
                        </pic:blipFill>
                        <pic:spPr>
                          <a:xfrm>
                            <a:off x="2933700" y="0"/>
                            <a:ext cx="2857500" cy="2133600"/>
                          </a:xfrm>
                          <a:prstGeom prst="rect">
                            <a:avLst/>
                          </a:prstGeom>
                        </pic:spPr>
                      </pic:pic>
                    </wpg:wgp>
                  </a:graphicData>
                </a:graphic>
              </wp:inline>
            </w:drawing>
          </mc:Choice>
          <mc:Fallback xmlns:a="http://schemas.openxmlformats.org/drawingml/2006/main">
            <w:pict>
              <v:group id="Group 3594" style="width:456pt;height:168pt;mso-position-horizontal-relative:char;mso-position-vertical-relative:line" coordsize="57912,21336">
                <v:shape id="Picture 275" style="position:absolute;width:28956;height:21145;left:0;top:190;" filled="f">
                  <v:imagedata r:id="rId47"/>
                </v:shape>
                <v:shape id="Picture 277" style="position:absolute;width:28575;height:21336;left:29337;top:0;" filled="f">
                  <v:imagedata r:id="rId48"/>
                </v:shape>
              </v:group>
            </w:pict>
          </mc:Fallback>
        </mc:AlternateContent>
      </w:r>
    </w:p>
    <w:p w14:paraId="0E609855" w14:textId="77777777" w:rsidR="00A40AAD" w:rsidRDefault="001A19F7">
      <w:pPr>
        <w:tabs>
          <w:tab w:val="center" w:pos="5766"/>
        </w:tabs>
        <w:ind w:left="0" w:firstLine="0"/>
      </w:pPr>
      <w:r>
        <w:t>parity vs kids</w:t>
      </w:r>
      <w:r>
        <w:tab/>
        <w:t>year vs income</w:t>
      </w:r>
    </w:p>
    <w:p w14:paraId="2AC0ABA7" w14:textId="77777777" w:rsidR="00A40AAD" w:rsidRDefault="001A19F7">
      <w:pPr>
        <w:spacing w:after="151" w:line="259" w:lineRule="auto"/>
        <w:ind w:left="30" w:firstLine="0"/>
      </w:pPr>
      <w:r>
        <w:rPr>
          <w:rFonts w:ascii="Calibri" w:eastAsia="Calibri" w:hAnsi="Calibri" w:cs="Calibri"/>
          <w:noProof/>
          <w:sz w:val="22"/>
        </w:rPr>
        <mc:AlternateContent>
          <mc:Choice Requires="wpg">
            <w:drawing>
              <wp:inline distT="0" distB="0" distL="0" distR="0" wp14:anchorId="1219195F" wp14:editId="67EF195E">
                <wp:extent cx="5876925" cy="2162175"/>
                <wp:effectExtent l="0" t="0" r="0" b="0"/>
                <wp:docPr id="3595" name="Group 3595"/>
                <wp:cNvGraphicFramePr/>
                <a:graphic xmlns:a="http://schemas.openxmlformats.org/drawingml/2006/main">
                  <a:graphicData uri="http://schemas.microsoft.com/office/word/2010/wordprocessingGroup">
                    <wpg:wgp>
                      <wpg:cNvGrpSpPr/>
                      <wpg:grpSpPr>
                        <a:xfrm>
                          <a:off x="0" y="0"/>
                          <a:ext cx="5876925" cy="2162175"/>
                          <a:chOff x="0" y="0"/>
                          <a:chExt cx="5876925" cy="2162175"/>
                        </a:xfrm>
                      </wpg:grpSpPr>
                      <pic:pic xmlns:pic="http://schemas.openxmlformats.org/drawingml/2006/picture">
                        <pic:nvPicPr>
                          <pic:cNvPr id="279" name="Picture 279"/>
                          <pic:cNvPicPr/>
                        </pic:nvPicPr>
                        <pic:blipFill>
                          <a:blip r:embed="rId49"/>
                          <a:stretch>
                            <a:fillRect/>
                          </a:stretch>
                        </pic:blipFill>
                        <pic:spPr>
                          <a:xfrm>
                            <a:off x="0" y="19050"/>
                            <a:ext cx="2895600" cy="2143125"/>
                          </a:xfrm>
                          <a:prstGeom prst="rect">
                            <a:avLst/>
                          </a:prstGeom>
                        </pic:spPr>
                      </pic:pic>
                      <pic:pic xmlns:pic="http://schemas.openxmlformats.org/drawingml/2006/picture">
                        <pic:nvPicPr>
                          <pic:cNvPr id="281" name="Picture 281"/>
                          <pic:cNvPicPr/>
                        </pic:nvPicPr>
                        <pic:blipFill>
                          <a:blip r:embed="rId50"/>
                          <a:stretch>
                            <a:fillRect/>
                          </a:stretch>
                        </pic:blipFill>
                        <pic:spPr>
                          <a:xfrm>
                            <a:off x="2933700" y="0"/>
                            <a:ext cx="2943225" cy="2162175"/>
                          </a:xfrm>
                          <a:prstGeom prst="rect">
                            <a:avLst/>
                          </a:prstGeom>
                        </pic:spPr>
                      </pic:pic>
                    </wpg:wgp>
                  </a:graphicData>
                </a:graphic>
              </wp:inline>
            </w:drawing>
          </mc:Choice>
          <mc:Fallback xmlns:a="http://schemas.openxmlformats.org/drawingml/2006/main">
            <w:pict>
              <v:group id="Group 3595" style="width:462.75pt;height:170.25pt;mso-position-horizontal-relative:char;mso-position-vertical-relative:line" coordsize="58769,21621">
                <v:shape id="Picture 279" style="position:absolute;width:28956;height:21431;left:0;top:190;" filled="f">
                  <v:imagedata r:id="rId51"/>
                </v:shape>
                <v:shape id="Picture 281" style="position:absolute;width:29432;height:21621;left:29337;top:0;" filled="f">
                  <v:imagedata r:id="rId52"/>
                </v:shape>
              </v:group>
            </w:pict>
          </mc:Fallback>
        </mc:AlternateContent>
      </w:r>
    </w:p>
    <w:p w14:paraId="3C85F70A" w14:textId="77777777" w:rsidR="00A40AAD" w:rsidRDefault="001A19F7">
      <w:pPr>
        <w:spacing w:after="36"/>
        <w:ind w:left="10" w:right="10"/>
      </w:pPr>
      <w:r>
        <w:t xml:space="preserve">income vs </w:t>
      </w:r>
      <w:proofErr w:type="spellStart"/>
      <w:r>
        <w:t>meducation</w:t>
      </w:r>
      <w:proofErr w:type="spellEnd"/>
      <w:r>
        <w:tab/>
        <w:t>size vs income Inferences drawn from the scatter plot:</w:t>
      </w:r>
    </w:p>
    <w:p w14:paraId="7A631E82" w14:textId="77777777" w:rsidR="00A40AAD" w:rsidRDefault="001A19F7">
      <w:pPr>
        <w:numPr>
          <w:ilvl w:val="0"/>
          <w:numId w:val="6"/>
        </w:numPr>
        <w:spacing w:after="34"/>
        <w:ind w:right="10" w:hanging="360"/>
      </w:pPr>
      <w:r>
        <w:t>The variables year and birth year have a very strong positive correlation of 1. Since all the students under consideration were 14 year olds, we c</w:t>
      </w:r>
      <w:r>
        <w:t>ould use this data to calculate the missing values in these variables either by adding/subtracting 14 from the variables.</w:t>
      </w:r>
    </w:p>
    <w:p w14:paraId="4796664D" w14:textId="77777777" w:rsidR="00A40AAD" w:rsidRDefault="001A19F7">
      <w:pPr>
        <w:numPr>
          <w:ilvl w:val="0"/>
          <w:numId w:val="6"/>
        </w:numPr>
        <w:spacing w:after="43"/>
        <w:ind w:right="10" w:hanging="360"/>
      </w:pPr>
      <w:r>
        <w:t>There is positive correlation between the size of the family and number of kids.</w:t>
      </w:r>
    </w:p>
    <w:p w14:paraId="6FDF6239" w14:textId="77777777" w:rsidR="00A40AAD" w:rsidRDefault="001A19F7">
      <w:pPr>
        <w:numPr>
          <w:ilvl w:val="0"/>
          <w:numId w:val="6"/>
        </w:numPr>
        <w:spacing w:after="43"/>
        <w:ind w:right="10" w:hanging="360"/>
      </w:pPr>
      <w:r>
        <w:t>There is a positive correlation between parity and nu</w:t>
      </w:r>
      <w:r>
        <w:t>mber of kids.</w:t>
      </w:r>
    </w:p>
    <w:p w14:paraId="67C82522" w14:textId="77777777" w:rsidR="00A40AAD" w:rsidRDefault="001A19F7">
      <w:pPr>
        <w:numPr>
          <w:ilvl w:val="0"/>
          <w:numId w:val="6"/>
        </w:numPr>
        <w:spacing w:after="672"/>
        <w:ind w:right="10" w:hanging="360"/>
      </w:pPr>
      <w:r>
        <w:t xml:space="preserve">For the rest of the variables, the correlation coefficient is very close to zero, or in the scatter plots, a large number of data values are away from the regression line indicating that the 2 variables may be independent </w:t>
      </w:r>
      <w:proofErr w:type="spellStart"/>
      <w:r>
        <w:t>i.e</w:t>
      </w:r>
      <w:proofErr w:type="spellEnd"/>
      <w:r>
        <w:t xml:space="preserve">, there is no </w:t>
      </w:r>
      <w:r>
        <w:t>linear relationship between them.</w:t>
      </w:r>
    </w:p>
    <w:p w14:paraId="04457015" w14:textId="77777777" w:rsidR="00A40AAD" w:rsidRDefault="001A19F7">
      <w:pPr>
        <w:pStyle w:val="Heading1"/>
        <w:ind w:left="720" w:hanging="562"/>
      </w:pPr>
      <w:r>
        <w:t>Hypothesis Testing</w:t>
      </w:r>
    </w:p>
    <w:p w14:paraId="76E98A3A" w14:textId="77777777" w:rsidR="00A40AAD" w:rsidRDefault="001A19F7">
      <w:pPr>
        <w:ind w:left="730" w:right="10"/>
      </w:pPr>
      <w:r>
        <w:t>Research hypothesis is population mean of income is less than 70,000.</w:t>
      </w:r>
    </w:p>
    <w:p w14:paraId="7868C08A" w14:textId="77777777" w:rsidR="00A40AAD" w:rsidRDefault="001A19F7">
      <w:pPr>
        <w:spacing w:after="39"/>
        <w:ind w:left="730" w:right="10"/>
      </w:pPr>
      <w:r>
        <w:t>Alternate Hypothesis is</w:t>
      </w:r>
    </w:p>
    <w:p w14:paraId="65AF5682" w14:textId="77777777" w:rsidR="00A40AAD" w:rsidRDefault="001A19F7">
      <w:pPr>
        <w:ind w:left="1450" w:right="10"/>
      </w:pPr>
      <w:r>
        <w:t>H</w:t>
      </w:r>
      <w:r>
        <w:rPr>
          <w:sz w:val="22"/>
          <w:vertAlign w:val="subscript"/>
        </w:rPr>
        <w:t>1</w:t>
      </w:r>
      <w:r>
        <w:t xml:space="preserve">:  μ </w:t>
      </w:r>
      <w:r>
        <w:rPr>
          <w:rFonts w:ascii="MS PMincho" w:eastAsia="MS PMincho" w:hAnsi="MS PMincho" w:cs="MS PMincho"/>
        </w:rPr>
        <w:t>＜</w:t>
      </w:r>
      <w:r>
        <w:t xml:space="preserve"> 70,000</w:t>
      </w:r>
    </w:p>
    <w:p w14:paraId="1296941E" w14:textId="77777777" w:rsidR="00A40AAD" w:rsidRDefault="001A19F7">
      <w:pPr>
        <w:ind w:left="730" w:right="10"/>
      </w:pPr>
      <w:r>
        <w:lastRenderedPageBreak/>
        <w:t>Null Hypothesis is</w:t>
      </w:r>
    </w:p>
    <w:p w14:paraId="35BD030A" w14:textId="77777777" w:rsidR="00A40AAD" w:rsidRDefault="001A19F7">
      <w:pPr>
        <w:ind w:left="1450" w:right="10"/>
      </w:pPr>
      <w:r>
        <w:t>H</w:t>
      </w:r>
      <w:r>
        <w:rPr>
          <w:sz w:val="22"/>
          <w:vertAlign w:val="subscript"/>
        </w:rPr>
        <w:t>0</w:t>
      </w:r>
      <w:r>
        <w:t>: μ ≥ 70,000</w:t>
      </w:r>
    </w:p>
    <w:p w14:paraId="2F2A5CB1" w14:textId="77777777" w:rsidR="00A40AAD" w:rsidRDefault="001A19F7">
      <w:pPr>
        <w:spacing w:after="396"/>
        <w:ind w:left="730" w:right="10"/>
      </w:pPr>
      <w:r>
        <w:t>It is a Left-tailed test.</w:t>
      </w:r>
    </w:p>
    <w:p w14:paraId="0732C5C6" w14:textId="72CFA37A" w:rsidR="00A40AAD" w:rsidRDefault="001A19F7">
      <w:pPr>
        <w:spacing w:after="0" w:line="259" w:lineRule="auto"/>
        <w:ind w:left="750" w:firstLine="0"/>
      </w:pPr>
      <w:r>
        <w:rPr>
          <w:noProof/>
        </w:rPr>
        <w:drawing>
          <wp:inline distT="0" distB="0" distL="0" distR="0" wp14:anchorId="5AAD0C67" wp14:editId="3BC1C2C8">
            <wp:extent cx="4333875" cy="3943350"/>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53"/>
                    <a:stretch>
                      <a:fillRect/>
                    </a:stretch>
                  </pic:blipFill>
                  <pic:spPr>
                    <a:xfrm>
                      <a:off x="0" y="0"/>
                      <a:ext cx="4333875" cy="3943350"/>
                    </a:xfrm>
                    <a:prstGeom prst="rect">
                      <a:avLst/>
                    </a:prstGeom>
                  </pic:spPr>
                </pic:pic>
              </a:graphicData>
            </a:graphic>
          </wp:inline>
        </w:drawing>
      </w:r>
    </w:p>
    <w:p w14:paraId="22BF6959" w14:textId="24392FB5" w:rsidR="006D5AFD" w:rsidRDefault="006D5AFD">
      <w:pPr>
        <w:spacing w:after="0" w:line="259" w:lineRule="auto"/>
        <w:ind w:left="750" w:firstLine="0"/>
      </w:pPr>
    </w:p>
    <w:p w14:paraId="40E80B52" w14:textId="77777777" w:rsidR="006D5AFD" w:rsidRDefault="006D5AFD">
      <w:pPr>
        <w:spacing w:after="0" w:line="259" w:lineRule="auto"/>
        <w:ind w:left="750" w:firstLine="0"/>
      </w:pPr>
    </w:p>
    <w:p w14:paraId="3250CC72" w14:textId="05535BCA" w:rsidR="00F57F3B" w:rsidRDefault="00F57F3B">
      <w:pPr>
        <w:pStyle w:val="Heading1"/>
        <w:spacing w:after="650"/>
        <w:ind w:left="692" w:hanging="687"/>
      </w:pPr>
      <w:r>
        <w:t>LITERATURE REVIEW</w:t>
      </w:r>
    </w:p>
    <w:p w14:paraId="1ADC6BF7" w14:textId="10D3347B" w:rsidR="0019505B" w:rsidRPr="009218FE" w:rsidRDefault="009218FE" w:rsidP="009218FE">
      <w:pPr>
        <w:pStyle w:val="Heading5"/>
        <w:shd w:val="clear" w:color="auto" w:fill="FFFFFF"/>
        <w:rPr>
          <w:rFonts w:ascii="Amasis MT Pro Black" w:hAnsi="Amasis MT Pro Black" w:cs="Arial"/>
          <w:color w:val="131516"/>
          <w:sz w:val="48"/>
          <w:szCs w:val="48"/>
        </w:rPr>
      </w:pPr>
      <w:r>
        <w:rPr>
          <w:rStyle w:val="Strong"/>
          <w:rFonts w:ascii="Amasis MT Pro Black" w:hAnsi="Amasis MT Pro Black" w:cs="Arial"/>
          <w:b w:val="0"/>
          <w:bCs w:val="0"/>
          <w:color w:val="131516"/>
          <w:sz w:val="48"/>
          <w:szCs w:val="48"/>
        </w:rPr>
        <w:t>1.</w:t>
      </w:r>
      <w:r w:rsidR="0019505B" w:rsidRPr="009218FE">
        <w:rPr>
          <w:rStyle w:val="Strong"/>
          <w:rFonts w:ascii="Amasis MT Pro Black" w:hAnsi="Amasis MT Pro Black" w:cs="Arial"/>
          <w:b w:val="0"/>
          <w:bCs w:val="0"/>
          <w:color w:val="131516"/>
          <w:sz w:val="48"/>
          <w:szCs w:val="48"/>
        </w:rPr>
        <w:t>Data description</w:t>
      </w:r>
    </w:p>
    <w:p w14:paraId="3BDC42C5" w14:textId="77777777" w:rsidR="008C1C06" w:rsidRDefault="008C1C06" w:rsidP="0019505B">
      <w:pPr>
        <w:pStyle w:val="NormalWeb"/>
        <w:shd w:val="clear" w:color="auto" w:fill="FFFFFF"/>
        <w:spacing w:before="0" w:beforeAutospacing="0"/>
        <w:rPr>
          <w:rFonts w:ascii="Nunito Sans" w:hAnsi="Nunito Sans"/>
          <w:color w:val="131516"/>
          <w:sz w:val="27"/>
          <w:szCs w:val="27"/>
        </w:rPr>
      </w:pPr>
    </w:p>
    <w:p w14:paraId="1526977C" w14:textId="6516EF03" w:rsidR="0019505B" w:rsidRDefault="0019505B" w:rsidP="0019505B">
      <w:pPr>
        <w:pStyle w:val="NormalWeb"/>
        <w:shd w:val="clear" w:color="auto" w:fill="FFFFFF"/>
        <w:spacing w:before="0" w:beforeAutospacing="0"/>
        <w:rPr>
          <w:rFonts w:ascii="Nunito Sans" w:hAnsi="Nunito Sans"/>
          <w:color w:val="131516"/>
          <w:sz w:val="27"/>
          <w:szCs w:val="27"/>
        </w:rPr>
      </w:pPr>
      <w:r>
        <w:rPr>
          <w:rFonts w:ascii="Nunito Sans" w:hAnsi="Nunito Sans"/>
          <w:color w:val="131516"/>
          <w:sz w:val="27"/>
          <w:szCs w:val="27"/>
        </w:rPr>
        <w:t xml:space="preserve">The German Socio-Economic Panel (SOEP) is a longitudinal survey of approximately 11,000 private households in the Federal Republic of Germany from 1984 to 2019 and the eastern German </w:t>
      </w:r>
      <w:proofErr w:type="spellStart"/>
      <w:r>
        <w:rPr>
          <w:rFonts w:ascii="Nunito Sans" w:hAnsi="Nunito Sans"/>
          <w:color w:val="131516"/>
          <w:sz w:val="27"/>
          <w:szCs w:val="27"/>
        </w:rPr>
        <w:t>länder</w:t>
      </w:r>
      <w:proofErr w:type="spellEnd"/>
      <w:r>
        <w:rPr>
          <w:rFonts w:ascii="Nunito Sans" w:hAnsi="Nunito Sans"/>
          <w:color w:val="131516"/>
          <w:sz w:val="27"/>
          <w:szCs w:val="27"/>
        </w:rPr>
        <w:t xml:space="preserve"> from 1990 to 2019 (release 2021). The database is produced by the </w:t>
      </w:r>
      <w:proofErr w:type="spellStart"/>
      <w:r>
        <w:rPr>
          <w:rFonts w:ascii="Nunito Sans" w:hAnsi="Nunito Sans"/>
          <w:color w:val="131516"/>
          <w:sz w:val="27"/>
          <w:szCs w:val="27"/>
        </w:rPr>
        <w:fldChar w:fldCharType="begin"/>
      </w:r>
      <w:r>
        <w:rPr>
          <w:rFonts w:ascii="Nunito Sans" w:hAnsi="Nunito Sans"/>
          <w:color w:val="131516"/>
          <w:sz w:val="27"/>
          <w:szCs w:val="27"/>
        </w:rPr>
        <w:instrText xml:space="preserve"> HYPERLINK "http://www.diw.de/en/diw_02.c.221180.en/research_data_center_soep.html" </w:instrText>
      </w:r>
      <w:r>
        <w:rPr>
          <w:rFonts w:ascii="Nunito Sans" w:hAnsi="Nunito Sans"/>
          <w:color w:val="131516"/>
          <w:sz w:val="27"/>
          <w:szCs w:val="27"/>
        </w:rPr>
        <w:fldChar w:fldCharType="separate"/>
      </w:r>
      <w:r>
        <w:rPr>
          <w:rStyle w:val="Hyperlink"/>
          <w:rFonts w:ascii="Nunito Sans" w:hAnsi="Nunito Sans"/>
          <w:sz w:val="27"/>
          <w:szCs w:val="27"/>
        </w:rPr>
        <w:t>Deutsches</w:t>
      </w:r>
      <w:proofErr w:type="spellEnd"/>
      <w:r>
        <w:rPr>
          <w:rStyle w:val="Hyperlink"/>
          <w:rFonts w:ascii="Nunito Sans" w:hAnsi="Nunito Sans"/>
          <w:sz w:val="27"/>
          <w:szCs w:val="27"/>
        </w:rPr>
        <w:t xml:space="preserve"> </w:t>
      </w:r>
      <w:proofErr w:type="spellStart"/>
      <w:r>
        <w:rPr>
          <w:rStyle w:val="Hyperlink"/>
          <w:rFonts w:ascii="Nunito Sans" w:hAnsi="Nunito Sans"/>
          <w:sz w:val="27"/>
          <w:szCs w:val="27"/>
        </w:rPr>
        <w:t>Institut</w:t>
      </w:r>
      <w:proofErr w:type="spellEnd"/>
      <w:r>
        <w:rPr>
          <w:rStyle w:val="Hyperlink"/>
          <w:rFonts w:ascii="Nunito Sans" w:hAnsi="Nunito Sans"/>
          <w:sz w:val="27"/>
          <w:szCs w:val="27"/>
        </w:rPr>
        <w:t xml:space="preserve"> </w:t>
      </w:r>
      <w:proofErr w:type="spellStart"/>
      <w:r>
        <w:rPr>
          <w:rStyle w:val="Hyperlink"/>
          <w:rFonts w:ascii="Nunito Sans" w:hAnsi="Nunito Sans"/>
          <w:sz w:val="27"/>
          <w:szCs w:val="27"/>
        </w:rPr>
        <w:t>für</w:t>
      </w:r>
      <w:proofErr w:type="spellEnd"/>
      <w:r>
        <w:rPr>
          <w:rStyle w:val="Hyperlink"/>
          <w:rFonts w:ascii="Nunito Sans" w:hAnsi="Nunito Sans"/>
          <w:sz w:val="27"/>
          <w:szCs w:val="27"/>
        </w:rPr>
        <w:t xml:space="preserve"> </w:t>
      </w:r>
      <w:proofErr w:type="spellStart"/>
      <w:r>
        <w:rPr>
          <w:rStyle w:val="Hyperlink"/>
          <w:rFonts w:ascii="Nunito Sans" w:hAnsi="Nunito Sans"/>
          <w:sz w:val="27"/>
          <w:szCs w:val="27"/>
        </w:rPr>
        <w:t>Wirtschaftsforschung</w:t>
      </w:r>
      <w:proofErr w:type="spellEnd"/>
      <w:r>
        <w:rPr>
          <w:rFonts w:ascii="Nunito Sans" w:hAnsi="Nunito Sans"/>
          <w:color w:val="131516"/>
          <w:sz w:val="27"/>
          <w:szCs w:val="27"/>
        </w:rPr>
        <w:fldChar w:fldCharType="end"/>
      </w:r>
      <w:r>
        <w:rPr>
          <w:rFonts w:ascii="Nunito Sans" w:hAnsi="Nunito Sans"/>
          <w:color w:val="131516"/>
          <w:sz w:val="27"/>
          <w:szCs w:val="27"/>
        </w:rPr>
        <w:t xml:space="preserve"> (DIW), Berlin. Variables include household </w:t>
      </w:r>
      <w:r>
        <w:rPr>
          <w:rFonts w:ascii="Nunito Sans" w:hAnsi="Nunito Sans"/>
          <w:color w:val="131516"/>
          <w:sz w:val="27"/>
          <w:szCs w:val="27"/>
        </w:rPr>
        <w:lastRenderedPageBreak/>
        <w:t>composition, employment, occupation, earnings, health and satisfaction indicators.</w:t>
      </w:r>
    </w:p>
    <w:p w14:paraId="048E1EBB" w14:textId="77777777" w:rsidR="0019505B" w:rsidRDefault="0019505B" w:rsidP="0019505B">
      <w:pPr>
        <w:pStyle w:val="NormalWeb"/>
        <w:shd w:val="clear" w:color="auto" w:fill="FFFFFF"/>
        <w:spacing w:before="0" w:beforeAutospacing="0"/>
        <w:rPr>
          <w:rFonts w:ascii="Nunito Sans" w:hAnsi="Nunito Sans"/>
          <w:color w:val="131516"/>
          <w:sz w:val="27"/>
          <w:szCs w:val="27"/>
        </w:rPr>
      </w:pPr>
      <w:r>
        <w:rPr>
          <w:rFonts w:ascii="Nunito Sans" w:hAnsi="Nunito Sans"/>
          <w:color w:val="131516"/>
          <w:sz w:val="27"/>
          <w:szCs w:val="27"/>
        </w:rPr>
        <w:t>Wave 36 of the German Socio-Economic Panel was released in April 2021. Information about the update is on this </w:t>
      </w:r>
      <w:hyperlink r:id="rId54" w:history="1">
        <w:r>
          <w:rPr>
            <w:rStyle w:val="Hyperlink"/>
            <w:rFonts w:ascii="Nunito Sans" w:hAnsi="Nunito Sans"/>
            <w:sz w:val="27"/>
            <w:szCs w:val="27"/>
          </w:rPr>
          <w:t>DIW support page</w:t>
        </w:r>
      </w:hyperlink>
      <w:r>
        <w:rPr>
          <w:rFonts w:ascii="Nunito Sans" w:hAnsi="Nunito Sans"/>
          <w:color w:val="131516"/>
          <w:sz w:val="27"/>
          <w:szCs w:val="27"/>
        </w:rPr>
        <w:t>. </w:t>
      </w:r>
    </w:p>
    <w:p w14:paraId="5B3DA5A1" w14:textId="77777777" w:rsidR="0019505B" w:rsidRDefault="0019505B" w:rsidP="0019505B">
      <w:pPr>
        <w:pStyle w:val="NormalWeb"/>
        <w:shd w:val="clear" w:color="auto" w:fill="FFFFFF"/>
        <w:spacing w:before="0" w:beforeAutospacing="0"/>
        <w:rPr>
          <w:rFonts w:ascii="Nunito Sans" w:hAnsi="Nunito Sans"/>
          <w:color w:val="131516"/>
          <w:sz w:val="27"/>
          <w:szCs w:val="27"/>
        </w:rPr>
      </w:pPr>
      <w:r>
        <w:rPr>
          <w:rFonts w:ascii="Nunito Sans" w:hAnsi="Nunito Sans"/>
          <w:color w:val="131516"/>
          <w:sz w:val="27"/>
          <w:szCs w:val="27"/>
        </w:rPr>
        <w:t> </w:t>
      </w:r>
    </w:p>
    <w:p w14:paraId="6707E615" w14:textId="77777777" w:rsidR="0019505B" w:rsidRDefault="0019505B" w:rsidP="0019505B">
      <w:pPr>
        <w:rPr>
          <w:color w:val="auto"/>
          <w:szCs w:val="24"/>
        </w:rPr>
      </w:pPr>
      <w:r>
        <w:pict w14:anchorId="4BAF304A">
          <v:rect id="_x0000_i1026" style="width:0;height:.75pt" o:hralign="center" o:hrstd="t" o:hrnoshade="t" o:hr="t" fillcolor="#131516" stroked="f"/>
        </w:pict>
      </w:r>
    </w:p>
    <w:p w14:paraId="3512903E" w14:textId="77777777" w:rsidR="0019505B" w:rsidRDefault="0019505B" w:rsidP="0019505B">
      <w:pPr>
        <w:pStyle w:val="Heading5"/>
        <w:shd w:val="clear" w:color="auto" w:fill="FFFFFF"/>
        <w:rPr>
          <w:rFonts w:ascii="Arial" w:hAnsi="Arial" w:cs="Arial"/>
          <w:color w:val="131516"/>
        </w:rPr>
      </w:pPr>
      <w:r>
        <w:rPr>
          <w:rStyle w:val="Strong"/>
          <w:rFonts w:ascii="Arial" w:hAnsi="Arial" w:cs="Arial"/>
          <w:b w:val="0"/>
          <w:bCs w:val="0"/>
          <w:color w:val="131516"/>
        </w:rPr>
        <w:t>Time period</w:t>
      </w:r>
    </w:p>
    <w:p w14:paraId="2434617C" w14:textId="77777777" w:rsidR="0019505B" w:rsidRDefault="0019505B" w:rsidP="0019505B">
      <w:pPr>
        <w:numPr>
          <w:ilvl w:val="0"/>
          <w:numId w:val="8"/>
        </w:numPr>
        <w:shd w:val="clear" w:color="auto" w:fill="FFFFFF"/>
        <w:spacing w:before="100" w:beforeAutospacing="1" w:after="150" w:line="240" w:lineRule="auto"/>
        <w:rPr>
          <w:rFonts w:ascii="Nunito Sans" w:hAnsi="Nunito Sans"/>
          <w:color w:val="131516"/>
          <w:sz w:val="27"/>
          <w:szCs w:val="27"/>
        </w:rPr>
      </w:pPr>
      <w:r>
        <w:rPr>
          <w:rFonts w:ascii="Nunito Sans" w:hAnsi="Nunito Sans"/>
          <w:color w:val="131516"/>
          <w:sz w:val="27"/>
          <w:szCs w:val="27"/>
        </w:rPr>
        <w:t>German SOEP Wave 36 was released in April 2021</w:t>
      </w:r>
    </w:p>
    <w:p w14:paraId="088C860D" w14:textId="77777777" w:rsidR="0019505B" w:rsidRDefault="0019505B" w:rsidP="0019505B">
      <w:pPr>
        <w:numPr>
          <w:ilvl w:val="0"/>
          <w:numId w:val="8"/>
        </w:numPr>
        <w:shd w:val="clear" w:color="auto" w:fill="FFFFFF"/>
        <w:spacing w:before="100" w:beforeAutospacing="1" w:after="150" w:line="240" w:lineRule="auto"/>
        <w:rPr>
          <w:rFonts w:ascii="Nunito Sans" w:hAnsi="Nunito Sans"/>
          <w:color w:val="131516"/>
          <w:sz w:val="27"/>
          <w:szCs w:val="27"/>
        </w:rPr>
      </w:pPr>
      <w:r>
        <w:rPr>
          <w:rFonts w:ascii="Nunito Sans" w:hAnsi="Nunito Sans"/>
          <w:color w:val="131516"/>
          <w:sz w:val="27"/>
          <w:szCs w:val="27"/>
        </w:rPr>
        <w:t>The Innovation Sample (I.S.) was updated in August 2021</w:t>
      </w:r>
      <w:r>
        <w:rPr>
          <w:rStyle w:val="Strong"/>
          <w:rFonts w:ascii="Nunito Sans" w:hAnsi="Nunito Sans"/>
          <w:color w:val="131516"/>
          <w:sz w:val="27"/>
          <w:szCs w:val="27"/>
        </w:rPr>
        <w:t> </w:t>
      </w:r>
    </w:p>
    <w:p w14:paraId="11FF5673" w14:textId="6554D7D5" w:rsidR="0019505B" w:rsidRDefault="0019505B" w:rsidP="0019505B">
      <w:pPr>
        <w:numPr>
          <w:ilvl w:val="0"/>
          <w:numId w:val="8"/>
        </w:numPr>
        <w:shd w:val="clear" w:color="auto" w:fill="FFFFFF"/>
        <w:spacing w:before="100" w:beforeAutospacing="1" w:after="150" w:line="240" w:lineRule="auto"/>
        <w:rPr>
          <w:rFonts w:ascii="Nunito Sans" w:hAnsi="Nunito Sans"/>
          <w:color w:val="131516"/>
          <w:sz w:val="27"/>
          <w:szCs w:val="27"/>
        </w:rPr>
      </w:pPr>
      <w:r>
        <w:rPr>
          <w:rFonts w:ascii="Nunito Sans" w:hAnsi="Nunito Sans"/>
          <w:color w:val="131516"/>
          <w:sz w:val="27"/>
          <w:szCs w:val="27"/>
        </w:rPr>
        <w:t>Coverage is from 1984 to 2019.</w:t>
      </w:r>
    </w:p>
    <w:p w14:paraId="02E8F4E7" w14:textId="4112B9B5" w:rsidR="00AF5D82" w:rsidRDefault="003D3411" w:rsidP="00AF5D82">
      <w:pPr>
        <w:shd w:val="clear" w:color="auto" w:fill="FFFFFF"/>
        <w:spacing w:before="100" w:beforeAutospacing="1" w:after="150" w:line="240" w:lineRule="auto"/>
        <w:ind w:left="720" w:firstLine="0"/>
        <w:rPr>
          <w:rFonts w:ascii="Nunito Sans" w:hAnsi="Nunito Sans"/>
          <w:color w:val="131516"/>
          <w:sz w:val="27"/>
          <w:szCs w:val="27"/>
        </w:rPr>
      </w:pPr>
      <w:r>
        <w:rPr>
          <w:noProof/>
        </w:rPr>
        <w:drawing>
          <wp:inline distT="0" distB="0" distL="0" distR="0" wp14:anchorId="12ADE718" wp14:editId="34872E94">
            <wp:extent cx="2377440" cy="579120"/>
            <wp:effectExtent l="0" t="0" r="3810" b="0"/>
            <wp:docPr id="2" name="Picture 2" descr="GSO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OE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77440" cy="579120"/>
                    </a:xfrm>
                    <a:prstGeom prst="rect">
                      <a:avLst/>
                    </a:prstGeom>
                    <a:noFill/>
                    <a:ln>
                      <a:noFill/>
                    </a:ln>
                  </pic:spPr>
                </pic:pic>
              </a:graphicData>
            </a:graphic>
          </wp:inline>
        </w:drawing>
      </w:r>
    </w:p>
    <w:p w14:paraId="066B3BB6" w14:textId="7B1EB80D" w:rsidR="003D3411" w:rsidRDefault="003D3411" w:rsidP="00AF5D82">
      <w:pPr>
        <w:shd w:val="clear" w:color="auto" w:fill="FFFFFF"/>
        <w:spacing w:before="100" w:beforeAutospacing="1" w:after="150" w:line="240" w:lineRule="auto"/>
        <w:ind w:left="720" w:firstLine="0"/>
        <w:rPr>
          <w:rFonts w:ascii="Nunito Sans" w:hAnsi="Nunito Sans"/>
          <w:color w:val="131516"/>
          <w:sz w:val="27"/>
          <w:szCs w:val="27"/>
        </w:rPr>
      </w:pPr>
    </w:p>
    <w:p w14:paraId="767188B1" w14:textId="77777777" w:rsidR="002C5155" w:rsidRDefault="002C5155" w:rsidP="002C5155">
      <w:pPr>
        <w:pStyle w:val="Heading2"/>
        <w:shd w:val="clear" w:color="auto" w:fill="FFFFFF"/>
        <w:spacing w:before="0" w:line="540" w:lineRule="atLeast"/>
        <w:rPr>
          <w:rFonts w:ascii="Montserrat" w:hAnsi="Montserrat"/>
          <w:color w:val="0A0A0C"/>
          <w:sz w:val="42"/>
          <w:szCs w:val="42"/>
        </w:rPr>
      </w:pPr>
      <w:r>
        <w:rPr>
          <w:rFonts w:ascii="Montserrat" w:hAnsi="Montserrat"/>
          <w:b/>
          <w:bCs/>
          <w:color w:val="0A0A0C"/>
          <w:sz w:val="42"/>
          <w:szCs w:val="42"/>
        </w:rPr>
        <w:t>2 Basic features</w:t>
      </w:r>
    </w:p>
    <w:p w14:paraId="7C95D360" w14:textId="77777777" w:rsidR="002C5155" w:rsidRDefault="002C5155" w:rsidP="002C5155">
      <w:pPr>
        <w:pStyle w:val="Heading3"/>
        <w:spacing w:before="0" w:line="480" w:lineRule="atLeast"/>
        <w:rPr>
          <w:rFonts w:ascii="Montserrat" w:hAnsi="Montserrat"/>
          <w:b/>
          <w:bCs/>
          <w:color w:val="0A0A0C"/>
          <w:sz w:val="36"/>
          <w:szCs w:val="36"/>
        </w:rPr>
      </w:pPr>
      <w:r>
        <w:rPr>
          <w:rFonts w:ascii="Montserrat" w:hAnsi="Montserrat"/>
          <w:color w:val="0A0A0C"/>
          <w:sz w:val="36"/>
          <w:szCs w:val="36"/>
        </w:rPr>
        <w:t>2.1 Sampling and weighting</w:t>
      </w:r>
    </w:p>
    <w:p w14:paraId="1ADB0B6E" w14:textId="77777777" w:rsidR="002C5155" w:rsidRDefault="002C5155" w:rsidP="002C5155">
      <w:pPr>
        <w:pStyle w:val="NormalWeb"/>
        <w:spacing w:before="240" w:beforeAutospacing="0" w:after="240" w:afterAutospacing="0" w:line="432" w:lineRule="atLeast"/>
        <w:rPr>
          <w:rFonts w:ascii="Merriweather" w:hAnsi="Merriweather"/>
          <w:color w:val="2B2B2E"/>
        </w:rPr>
      </w:pPr>
      <w:r>
        <w:rPr>
          <w:rFonts w:ascii="Merriweather" w:hAnsi="Merriweather"/>
          <w:color w:val="2B2B2E"/>
        </w:rPr>
        <w:t>The target population to be represented by the SOEP is Germany’s resident population. The two initial samples in 1984 include private households with a German national as household head (Sample A, n=4,528) and, oversampled, households with a Greek, Italian, Spanish, Turkish, or Yugoslavian household head (Sample B, n=1,393).</w:t>
      </w:r>
    </w:p>
    <w:p w14:paraId="605230AF" w14:textId="77777777" w:rsidR="002C5155" w:rsidRDefault="002C5155" w:rsidP="002C5155">
      <w:pPr>
        <w:pStyle w:val="NormalWeb"/>
        <w:spacing w:before="240" w:beforeAutospacing="0" w:after="240" w:afterAutospacing="0" w:line="432" w:lineRule="atLeast"/>
        <w:rPr>
          <w:rFonts w:ascii="Merriweather" w:hAnsi="Merriweather"/>
          <w:color w:val="2B2B2E"/>
        </w:rPr>
      </w:pPr>
      <w:r>
        <w:rPr>
          <w:rFonts w:ascii="Merriweather" w:hAnsi="Merriweather"/>
          <w:color w:val="2B2B2E"/>
        </w:rPr>
        <w:t>To maintain the cross-sectional representativeness in the presence of influx to the underlying target population, the enlargement samples are integrated (see Online Appendix Table A1 for an overview of all samples, and </w:t>
      </w:r>
      <w:proofErr w:type="spellStart"/>
      <w:r>
        <w:rPr>
          <w:rFonts w:ascii="Merriweather" w:hAnsi="Merriweather"/>
          <w:color w:val="2B2B2E"/>
        </w:rPr>
        <w:fldChar w:fldCharType="begin"/>
      </w:r>
      <w:r>
        <w:rPr>
          <w:rFonts w:ascii="Merriweather" w:hAnsi="Merriweather"/>
          <w:color w:val="2B2B2E"/>
        </w:rPr>
        <w:instrText xml:space="preserve"> HYPERLINK "https://www.degruyter.com/document/doi/10.1515/jbnst-2018-0022/html" \l "j_jbnst-2018-0022_ref_008_w2aab3b7d293b1b6b1ab2b1b8Aa" </w:instrText>
      </w:r>
      <w:r>
        <w:rPr>
          <w:rFonts w:ascii="Merriweather" w:hAnsi="Merriweather"/>
          <w:color w:val="2B2B2E"/>
        </w:rPr>
        <w:fldChar w:fldCharType="separate"/>
      </w:r>
      <w:r>
        <w:rPr>
          <w:rStyle w:val="Hyperlink"/>
          <w:rFonts w:ascii="Merriweather" w:hAnsi="Merriweather"/>
          <w:color w:val="007596"/>
        </w:rPr>
        <w:t>Kroh</w:t>
      </w:r>
      <w:proofErr w:type="spellEnd"/>
      <w:r>
        <w:rPr>
          <w:rStyle w:val="Hyperlink"/>
          <w:rFonts w:ascii="Merriweather" w:hAnsi="Merriweather"/>
          <w:color w:val="007596"/>
        </w:rPr>
        <w:t xml:space="preserve"> et</w:t>
      </w:r>
      <w:r>
        <w:rPr>
          <w:rStyle w:val="Hyperlink"/>
          <w:color w:val="007596"/>
        </w:rPr>
        <w:t> </w:t>
      </w:r>
      <w:r>
        <w:rPr>
          <w:rStyle w:val="Hyperlink"/>
          <w:rFonts w:ascii="Merriweather" w:hAnsi="Merriweather"/>
          <w:color w:val="007596"/>
        </w:rPr>
        <w:t>al. 2015</w:t>
      </w:r>
      <w:r>
        <w:rPr>
          <w:rFonts w:ascii="Merriweather" w:hAnsi="Merriweather"/>
          <w:color w:val="2B2B2E"/>
        </w:rPr>
        <w:fldChar w:fldCharType="end"/>
      </w:r>
      <w:r>
        <w:rPr>
          <w:rFonts w:ascii="Merriweather" w:hAnsi="Merriweather"/>
          <w:color w:val="2B2B2E"/>
        </w:rPr>
        <w:t xml:space="preserve"> for further details). One enlargement sample is the East German sample integrated shortly before German unification in 1990 (Sample C, n=2,179), </w:t>
      </w:r>
      <w:r>
        <w:rPr>
          <w:rFonts w:ascii="Merriweather" w:hAnsi="Merriweather"/>
          <w:color w:val="2B2B2E"/>
        </w:rPr>
        <w:lastRenderedPageBreak/>
        <w:t>making SOEP unique among other household panel surveys worldwide. Other enlargement samples are migrant samples, typically integrated after periods of increased gross influx. This applies to the immigration of large numbers of ethnic Germans following the collapse of the Soviet Union (Sample D, n=531, integrated in 1994/5), the immigration of EU citizens from Central and Eastern Europe after freedom of movement was implemented in the EU (Sample M1, n=2,732, integrated in 2013, and Sample M2, n=1,096, integrated in 2015), and the recent immigration of refugees from the Middle East, in particular Syria (Sample M3/4, n=3,554, integrated in 2016 and Sample M5, n=1,555, integrated in 2017). </w:t>
      </w:r>
      <w:r>
        <w:rPr>
          <w:rFonts w:ascii="Merriweather" w:hAnsi="Merriweather"/>
          <w:b/>
          <w:bCs/>
          <w:color w:val="2B2B2E"/>
          <w:sz w:val="19"/>
          <w:szCs w:val="19"/>
          <w:vertAlign w:val="superscript"/>
        </w:rPr>
        <w:t>[1]</w:t>
      </w:r>
      <w:r>
        <w:rPr>
          <w:rFonts w:ascii="Merriweather" w:hAnsi="Merriweather"/>
          <w:color w:val="2B2B2E"/>
        </w:rPr>
        <w:t xml:space="preserve"> Enlargement samples of immigrants of SOEP aim at consecutively covering all immigration years, </w:t>
      </w:r>
      <w:proofErr w:type="spellStart"/>
      <w:r>
        <w:rPr>
          <w:rFonts w:ascii="Merriweather" w:hAnsi="Merriweather"/>
          <w:color w:val="2B2B2E"/>
        </w:rPr>
        <w:t>i</w:t>
      </w:r>
      <w:proofErr w:type="spellEnd"/>
      <w:r>
        <w:rPr>
          <w:rFonts w:ascii="Merriweather" w:hAnsi="Merriweather"/>
          <w:color w:val="2B2B2E"/>
        </w:rPr>
        <w:t>.</w:t>
      </w:r>
      <w:r>
        <w:rPr>
          <w:color w:val="2B2B2E"/>
        </w:rPr>
        <w:t> </w:t>
      </w:r>
      <w:r>
        <w:rPr>
          <w:rFonts w:ascii="Merriweather" w:hAnsi="Merriweather"/>
          <w:color w:val="2B2B2E"/>
        </w:rPr>
        <w:t>e. the target population of the initial Sample B is immigration until 1983, Sample D covers subsequent immigration years 1984 to 1994, Sample M1 1995 to 2010, Sample M2 2011 to 2013, Sample M3/4 2013 to 2015, and finally Sample M5 immigration in 2016.</w:t>
      </w:r>
    </w:p>
    <w:p w14:paraId="4C228C7B" w14:textId="77777777" w:rsidR="002C5155" w:rsidRDefault="002C5155" w:rsidP="002C5155">
      <w:pPr>
        <w:pStyle w:val="NormalWeb"/>
        <w:spacing w:before="240" w:beforeAutospacing="0" w:after="240" w:afterAutospacing="0" w:line="432" w:lineRule="atLeast"/>
        <w:rPr>
          <w:rFonts w:ascii="Merriweather" w:hAnsi="Merriweather"/>
          <w:color w:val="2B2B2E"/>
        </w:rPr>
      </w:pPr>
      <w:r>
        <w:rPr>
          <w:rFonts w:ascii="Merriweather" w:hAnsi="Merriweather"/>
          <w:color w:val="2B2B2E"/>
        </w:rPr>
        <w:t>Panel attrition is another issue challenging representativeness and a reasonable sample size. Refreshment samples of the residential population of Germany are a means to address both issues. These refreshment samples either have the form of a general population sample or as a boost sample, the latter focusing on specific population subgroups that are the focus of the research community or policy makers. General population refreshments were integrated in 1998 (Sample E, n=1,056), in 2000 (Sample F, n=6,043), in 2006 (Sample H, n=1,506), in 2011 (Sample J, n=3,136), in 2012 (Sample K, n=1,526), and in 2017 (Sample N, n=2,314).</w:t>
      </w:r>
    </w:p>
    <w:p w14:paraId="64741B88" w14:textId="77777777" w:rsidR="002C5155" w:rsidRDefault="002C5155" w:rsidP="002C5155">
      <w:pPr>
        <w:pStyle w:val="NormalWeb"/>
        <w:spacing w:before="240" w:beforeAutospacing="0" w:after="240" w:afterAutospacing="0" w:line="432" w:lineRule="atLeast"/>
        <w:rPr>
          <w:rFonts w:ascii="Merriweather" w:hAnsi="Merriweather"/>
          <w:color w:val="2B2B2E"/>
        </w:rPr>
      </w:pPr>
      <w:r>
        <w:rPr>
          <w:rFonts w:ascii="Merriweather" w:hAnsi="Merriweather"/>
          <w:color w:val="2B2B2E"/>
        </w:rPr>
        <w:t xml:space="preserve">Boost samples focused on high-income households in 2002 (Sample G, n=1,224), families with </w:t>
      </w:r>
      <w:proofErr w:type="spellStart"/>
      <w:r>
        <w:rPr>
          <w:rFonts w:ascii="Merriweather" w:hAnsi="Merriweather"/>
          <w:color w:val="2B2B2E"/>
        </w:rPr>
        <w:t>newborn</w:t>
      </w:r>
      <w:proofErr w:type="spellEnd"/>
      <w:r>
        <w:rPr>
          <w:rFonts w:ascii="Merriweather" w:hAnsi="Merriweather"/>
          <w:color w:val="2B2B2E"/>
        </w:rPr>
        <w:t xml:space="preserve"> and young children in 2010 (Sample L1, n=2,074), and low income/large families/single parents in 2010/11 (Sample L2, n=2,500, Sample L3, n=924).</w:t>
      </w:r>
    </w:p>
    <w:p w14:paraId="555109DF" w14:textId="11911BAB" w:rsidR="002C5155" w:rsidRDefault="002C5155" w:rsidP="002C5155">
      <w:pPr>
        <w:pStyle w:val="NormalWeb"/>
        <w:spacing w:before="240" w:beforeAutospacing="0" w:after="240" w:afterAutospacing="0" w:line="432" w:lineRule="atLeast"/>
        <w:rPr>
          <w:rFonts w:ascii="Merriweather" w:hAnsi="Merriweather"/>
          <w:color w:val="2B2B2E"/>
        </w:rPr>
      </w:pPr>
      <w:r>
        <w:rPr>
          <w:rFonts w:ascii="Merriweather" w:hAnsi="Merriweather"/>
          <w:color w:val="2B2B2E"/>
        </w:rPr>
        <w:lastRenderedPageBreak/>
        <w:t>Two SOEP subsamples that originate from other studies have also been successfully integrated. The L-samples originate from the Families in Germany (</w:t>
      </w:r>
      <w:proofErr w:type="spellStart"/>
      <w:r>
        <w:rPr>
          <w:rFonts w:ascii="Merriweather" w:hAnsi="Merriweather"/>
          <w:color w:val="2B2B2E"/>
        </w:rPr>
        <w:t>FiD</w:t>
      </w:r>
      <w:proofErr w:type="spellEnd"/>
      <w:r>
        <w:rPr>
          <w:rFonts w:ascii="Merriweather" w:hAnsi="Merriweather"/>
          <w:color w:val="2B2B2E"/>
        </w:rPr>
        <w:t xml:space="preserve">) project. </w:t>
      </w:r>
      <w:proofErr w:type="spellStart"/>
      <w:r>
        <w:rPr>
          <w:rFonts w:ascii="Merriweather" w:hAnsi="Merriweather"/>
          <w:color w:val="2B2B2E"/>
        </w:rPr>
        <w:t>FiD</w:t>
      </w:r>
      <w:proofErr w:type="spellEnd"/>
      <w:r>
        <w:rPr>
          <w:rFonts w:ascii="Merriweather" w:hAnsi="Merriweather"/>
          <w:color w:val="2B2B2E"/>
        </w:rPr>
        <w:t xml:space="preserve"> started in 2010 in order to enrich the available stock of data on single parents, low income families, large families with many and, in particular, young children (see </w:t>
      </w:r>
      <w:hyperlink r:id="rId56" w:anchor="j_jbnst-2018-0022_ref_016_w2aab3b7d293b1b6b1ab2b1c19Aa" w:history="1">
        <w:r>
          <w:rPr>
            <w:rStyle w:val="Hyperlink"/>
            <w:rFonts w:ascii="Merriweather" w:hAnsi="Merriweather"/>
            <w:color w:val="007596"/>
          </w:rPr>
          <w:t>Schröder et</w:t>
        </w:r>
        <w:r>
          <w:rPr>
            <w:rStyle w:val="Hyperlink"/>
            <w:color w:val="007596"/>
          </w:rPr>
          <w:t> </w:t>
        </w:r>
        <w:r>
          <w:rPr>
            <w:rStyle w:val="Hyperlink"/>
            <w:rFonts w:ascii="Merriweather" w:hAnsi="Merriweather"/>
            <w:color w:val="007596"/>
          </w:rPr>
          <w:t>al. 2013</w:t>
        </w:r>
      </w:hyperlink>
      <w:r>
        <w:rPr>
          <w:rFonts w:ascii="Merriweather" w:hAnsi="Merriweather"/>
          <w:color w:val="2B2B2E"/>
        </w:rPr>
        <w:t xml:space="preserve">). </w:t>
      </w:r>
      <w:proofErr w:type="spellStart"/>
      <w:r>
        <w:rPr>
          <w:rFonts w:ascii="Merriweather" w:hAnsi="Merriweather"/>
          <w:color w:val="2B2B2E"/>
        </w:rPr>
        <w:t>FiD</w:t>
      </w:r>
      <w:proofErr w:type="spellEnd"/>
      <w:r>
        <w:rPr>
          <w:rFonts w:ascii="Merriweather" w:hAnsi="Merriweather"/>
          <w:color w:val="2B2B2E"/>
        </w:rPr>
        <w:t xml:space="preserve"> data are the foundation underlying the evaluation of family policy measures in Germany. In 2014, </w:t>
      </w:r>
      <w:proofErr w:type="spellStart"/>
      <w:r>
        <w:rPr>
          <w:rFonts w:ascii="Merriweather" w:hAnsi="Merriweather"/>
          <w:color w:val="2B2B2E"/>
        </w:rPr>
        <w:t>FiD</w:t>
      </w:r>
      <w:proofErr w:type="spellEnd"/>
      <w:r>
        <w:rPr>
          <w:rFonts w:ascii="Merriweather" w:hAnsi="Merriweather"/>
          <w:color w:val="2B2B2E"/>
        </w:rPr>
        <w:t xml:space="preserve"> was fully integrated into SOEP-Core version 31 (</w:t>
      </w:r>
      <w:hyperlink r:id="rId57" w:tgtFrame="_blank" w:history="1">
        <w:r>
          <w:rPr>
            <w:rStyle w:val="Hyperlink"/>
            <w:rFonts w:ascii="Merriweather" w:hAnsi="Merriweather"/>
            <w:color w:val="007596"/>
          </w:rPr>
          <w:t>https://doi.org/10.5684/soep.v31</w:t>
        </w:r>
      </w:hyperlink>
      <w:r>
        <w:rPr>
          <w:rFonts w:ascii="Merriweather" w:hAnsi="Merriweather"/>
          <w:color w:val="2B2B2E"/>
        </w:rPr>
        <w:t>). Sample N originates from data for the Programme for the International Assessment of Adult Competencies Longitudinal (PIAAC-L). </w:t>
      </w:r>
      <w:r>
        <w:rPr>
          <w:rFonts w:ascii="Merriweather" w:hAnsi="Merriweather"/>
          <w:b/>
          <w:bCs/>
          <w:color w:val="2B2B2E"/>
          <w:sz w:val="19"/>
          <w:szCs w:val="19"/>
          <w:vertAlign w:val="superscript"/>
        </w:rPr>
        <w:t>[2]</w:t>
      </w:r>
      <w:r>
        <w:rPr>
          <w:rFonts w:ascii="Merriweather" w:hAnsi="Merriweather"/>
          <w:color w:val="2B2B2E"/>
        </w:rPr>
        <w:t> Examining the basic skills necessary for adults to participate successfully in society and working life, PIAAC-L is the world’s first internationally comparable longitudinal study on competencies and their significance across the life course (see </w:t>
      </w:r>
      <w:proofErr w:type="spellStart"/>
      <w:r>
        <w:rPr>
          <w:rFonts w:ascii="Merriweather" w:hAnsi="Merriweather"/>
          <w:color w:val="2B2B2E"/>
        </w:rPr>
        <w:fldChar w:fldCharType="begin"/>
      </w:r>
      <w:r>
        <w:rPr>
          <w:rFonts w:ascii="Merriweather" w:hAnsi="Merriweather"/>
          <w:color w:val="2B2B2E"/>
        </w:rPr>
        <w:instrText xml:space="preserve"> HYPERLINK "https://www.degruyter.com/document/doi/10.1515/jbnst-2018-0022/html" \l "j_jbnst-2018-0022_ref_009_w2aab3b7d293b1b6b1ab2b1c13Aa" </w:instrText>
      </w:r>
      <w:r>
        <w:rPr>
          <w:rFonts w:ascii="Merriweather" w:hAnsi="Merriweather"/>
          <w:color w:val="2B2B2E"/>
        </w:rPr>
        <w:fldChar w:fldCharType="separate"/>
      </w:r>
      <w:r>
        <w:rPr>
          <w:rStyle w:val="Hyperlink"/>
          <w:rFonts w:ascii="Merriweather" w:hAnsi="Merriweather"/>
          <w:color w:val="007596"/>
        </w:rPr>
        <w:t>Rammstedt</w:t>
      </w:r>
      <w:proofErr w:type="spellEnd"/>
      <w:r>
        <w:rPr>
          <w:rStyle w:val="Hyperlink"/>
          <w:rFonts w:ascii="Merriweather" w:hAnsi="Merriweather"/>
          <w:color w:val="007596"/>
        </w:rPr>
        <w:t xml:space="preserve"> et</w:t>
      </w:r>
      <w:r>
        <w:rPr>
          <w:rStyle w:val="Hyperlink"/>
          <w:color w:val="007596"/>
        </w:rPr>
        <w:t> </w:t>
      </w:r>
      <w:r>
        <w:rPr>
          <w:rStyle w:val="Hyperlink"/>
          <w:rFonts w:ascii="Merriweather" w:hAnsi="Merriweather"/>
          <w:color w:val="007596"/>
        </w:rPr>
        <w:t>al. 2017</w:t>
      </w:r>
      <w:r>
        <w:rPr>
          <w:rFonts w:ascii="Merriweather" w:hAnsi="Merriweather"/>
          <w:color w:val="2B2B2E"/>
        </w:rPr>
        <w:fldChar w:fldCharType="end"/>
      </w:r>
      <w:r>
        <w:rPr>
          <w:rFonts w:ascii="Merriweather" w:hAnsi="Merriweather"/>
          <w:color w:val="2B2B2E"/>
        </w:rPr>
        <w:t>).</w:t>
      </w:r>
    </w:p>
    <w:p w14:paraId="366D051A" w14:textId="77777777" w:rsidR="001E4E68" w:rsidRDefault="001E4E68" w:rsidP="001E4E68">
      <w:pPr>
        <w:pStyle w:val="Heading2"/>
        <w:shd w:val="clear" w:color="auto" w:fill="FFFFFF"/>
        <w:spacing w:before="0" w:line="540" w:lineRule="atLeast"/>
        <w:rPr>
          <w:rFonts w:ascii="Montserrat" w:hAnsi="Montserrat"/>
          <w:color w:val="0A0A0C"/>
          <w:sz w:val="42"/>
          <w:szCs w:val="42"/>
        </w:rPr>
      </w:pPr>
      <w:r>
        <w:rPr>
          <w:rFonts w:ascii="Montserrat" w:hAnsi="Montserrat"/>
          <w:b/>
          <w:bCs/>
          <w:color w:val="0A0A0C"/>
          <w:sz w:val="42"/>
          <w:szCs w:val="42"/>
        </w:rPr>
        <w:t>3 Augmenting the basic SOEP data</w:t>
      </w:r>
    </w:p>
    <w:p w14:paraId="0F698D37" w14:textId="77777777" w:rsidR="001E4E68" w:rsidRDefault="001E4E68" w:rsidP="001E4E68">
      <w:pPr>
        <w:pStyle w:val="Heading3"/>
        <w:spacing w:before="0" w:line="480" w:lineRule="atLeast"/>
        <w:rPr>
          <w:rFonts w:ascii="Montserrat" w:hAnsi="Montserrat"/>
          <w:b/>
          <w:bCs/>
          <w:color w:val="0A0A0C"/>
          <w:sz w:val="36"/>
          <w:szCs w:val="36"/>
        </w:rPr>
      </w:pPr>
      <w:r>
        <w:rPr>
          <w:rFonts w:ascii="Montserrat" w:hAnsi="Montserrat"/>
          <w:color w:val="0A0A0C"/>
          <w:sz w:val="36"/>
          <w:szCs w:val="36"/>
        </w:rPr>
        <w:t>3.1 SOEP related studies</w:t>
      </w:r>
    </w:p>
    <w:p w14:paraId="5F5B377E" w14:textId="77777777" w:rsidR="001E4E68" w:rsidRDefault="001E4E68" w:rsidP="001E4E68">
      <w:pPr>
        <w:pStyle w:val="NormalWeb"/>
        <w:spacing w:before="240" w:beforeAutospacing="0" w:after="240" w:afterAutospacing="0" w:line="432" w:lineRule="atLeast"/>
        <w:rPr>
          <w:rFonts w:ascii="Merriweather" w:hAnsi="Merriweather"/>
          <w:color w:val="2B2B2E"/>
        </w:rPr>
      </w:pPr>
      <w:r>
        <w:rPr>
          <w:rFonts w:ascii="Merriweather" w:hAnsi="Merriweather"/>
          <w:color w:val="2B2B2E"/>
        </w:rPr>
        <w:t>Several studies in Germany have incorporated SOEP questions to validate their results with representative sample data (“SOEP as Reference Data”, see </w:t>
      </w:r>
      <w:proofErr w:type="spellStart"/>
      <w:r>
        <w:rPr>
          <w:rFonts w:ascii="Merriweather" w:hAnsi="Merriweather"/>
          <w:color w:val="2B2B2E"/>
        </w:rPr>
        <w:fldChar w:fldCharType="begin"/>
      </w:r>
      <w:r>
        <w:rPr>
          <w:rFonts w:ascii="Merriweather" w:hAnsi="Merriweather"/>
          <w:color w:val="2B2B2E"/>
        </w:rPr>
        <w:instrText xml:space="preserve"> HYPERLINK "https://www.degruyter.com/document/doi/10.1515/jbnst-2018-0022/html" \l "j_jbnst-2018-0022_ref_018_w2aab3b7d293b1b6b1ab2b1c21Aa" </w:instrText>
      </w:r>
      <w:r>
        <w:rPr>
          <w:rFonts w:ascii="Merriweather" w:hAnsi="Merriweather"/>
          <w:color w:val="2B2B2E"/>
        </w:rPr>
        <w:fldChar w:fldCharType="separate"/>
      </w:r>
      <w:r>
        <w:rPr>
          <w:rStyle w:val="Hyperlink"/>
          <w:rFonts w:ascii="Merriweather" w:hAnsi="Merriweather"/>
          <w:color w:val="007596"/>
        </w:rPr>
        <w:t>Siedler</w:t>
      </w:r>
      <w:proofErr w:type="spellEnd"/>
      <w:r>
        <w:rPr>
          <w:rStyle w:val="Hyperlink"/>
          <w:rFonts w:ascii="Merriweather" w:hAnsi="Merriweather"/>
          <w:color w:val="007596"/>
        </w:rPr>
        <w:t xml:space="preserve"> et</w:t>
      </w:r>
      <w:r>
        <w:rPr>
          <w:rStyle w:val="Hyperlink"/>
          <w:color w:val="007596"/>
        </w:rPr>
        <w:t> </w:t>
      </w:r>
      <w:r>
        <w:rPr>
          <w:rStyle w:val="Hyperlink"/>
          <w:rFonts w:ascii="Merriweather" w:hAnsi="Merriweather"/>
          <w:color w:val="007596"/>
        </w:rPr>
        <w:t>al. 2009</w:t>
      </w:r>
      <w:r>
        <w:rPr>
          <w:rFonts w:ascii="Merriweather" w:hAnsi="Merriweather"/>
          <w:color w:val="2B2B2E"/>
        </w:rPr>
        <w:fldChar w:fldCharType="end"/>
      </w:r>
      <w:r>
        <w:rPr>
          <w:rFonts w:ascii="Merriweather" w:hAnsi="Merriweather"/>
          <w:color w:val="2B2B2E"/>
        </w:rPr>
        <w:t xml:space="preserve">). Although these SOEP-Related Studies (SOEP-RS) are externally funded, they are designed and implemented in close cooperation with the SOEP team and follow the SOEP structure. This makes it possible to link the SOEP-RS datasets with either the original SOEP questionnaire (SOEP-Core) or with the SOEP-IS questionnaires, thus making it possible to </w:t>
      </w:r>
      <w:proofErr w:type="spellStart"/>
      <w:r>
        <w:rPr>
          <w:rFonts w:ascii="Merriweather" w:hAnsi="Merriweather"/>
          <w:color w:val="2B2B2E"/>
        </w:rPr>
        <w:t>analyze</w:t>
      </w:r>
      <w:proofErr w:type="spellEnd"/>
      <w:r>
        <w:rPr>
          <w:rFonts w:ascii="Merriweather" w:hAnsi="Merriweather"/>
          <w:color w:val="2B2B2E"/>
        </w:rPr>
        <w:t xml:space="preserve"> the data jointly. Examples of SOEP-RS studies include:</w:t>
      </w:r>
    </w:p>
    <w:p w14:paraId="496CC5AC" w14:textId="77777777" w:rsidR="001E4E68" w:rsidRDefault="001E4E68" w:rsidP="001E4E68">
      <w:pPr>
        <w:pStyle w:val="NormalWeb"/>
        <w:numPr>
          <w:ilvl w:val="0"/>
          <w:numId w:val="10"/>
        </w:numPr>
        <w:spacing w:before="240" w:beforeAutospacing="0" w:after="240" w:afterAutospacing="0" w:line="432" w:lineRule="atLeast"/>
        <w:rPr>
          <w:rFonts w:ascii="Merriweather" w:hAnsi="Merriweather"/>
          <w:color w:val="2B2B2E"/>
        </w:rPr>
      </w:pPr>
      <w:r>
        <w:rPr>
          <w:rFonts w:ascii="Merriweather" w:hAnsi="Merriweather"/>
          <w:color w:val="2B2B2E"/>
        </w:rPr>
        <w:t xml:space="preserve">BASE-II – Berlin Aging Study II: BASE-II, an extension and expansion of the Berlin Aging Study (BASE), complements the analysis of cognitive development across the lifespan by including socio-economic and biological factors, such as living conditions, health, and genetic </w:t>
      </w:r>
      <w:r>
        <w:rPr>
          <w:rFonts w:ascii="Merriweather" w:hAnsi="Merriweather"/>
          <w:color w:val="2B2B2E"/>
        </w:rPr>
        <w:lastRenderedPageBreak/>
        <w:t>preconditions (see </w:t>
      </w:r>
      <w:hyperlink r:id="rId58" w:anchor="j_jbnst-2018-0022_ref_002_w2aab3b7d293b1b6b1ab2b1b1Aa" w:history="1">
        <w:r>
          <w:rPr>
            <w:rStyle w:val="Hyperlink"/>
            <w:rFonts w:ascii="Merriweather" w:hAnsi="Merriweather"/>
            <w:color w:val="007596"/>
          </w:rPr>
          <w:t>Bertram et</w:t>
        </w:r>
        <w:r>
          <w:rPr>
            <w:rStyle w:val="Hyperlink"/>
            <w:color w:val="007596"/>
          </w:rPr>
          <w:t> </w:t>
        </w:r>
        <w:r>
          <w:rPr>
            <w:rStyle w:val="Hyperlink"/>
            <w:rFonts w:ascii="Merriweather" w:hAnsi="Merriweather"/>
            <w:color w:val="007596"/>
          </w:rPr>
          <w:t>al. 2014</w:t>
        </w:r>
      </w:hyperlink>
      <w:r>
        <w:rPr>
          <w:rFonts w:ascii="Merriweather" w:hAnsi="Merriweather"/>
          <w:color w:val="2B2B2E"/>
        </w:rPr>
        <w:t>). It entails about 2,200 respondents.</w:t>
      </w:r>
    </w:p>
    <w:p w14:paraId="6CE83CB6" w14:textId="77777777" w:rsidR="001E4E68" w:rsidRDefault="001E4E68" w:rsidP="001E4E68">
      <w:pPr>
        <w:pStyle w:val="NormalWeb"/>
        <w:numPr>
          <w:ilvl w:val="0"/>
          <w:numId w:val="10"/>
        </w:numPr>
        <w:spacing w:before="240" w:beforeAutospacing="0" w:after="240" w:afterAutospacing="0" w:line="432" w:lineRule="atLeast"/>
        <w:rPr>
          <w:rFonts w:ascii="Merriweather" w:hAnsi="Merriweather"/>
          <w:color w:val="2B2B2E"/>
        </w:rPr>
      </w:pPr>
      <w:r>
        <w:rPr>
          <w:rFonts w:ascii="Merriweather" w:hAnsi="Merriweather"/>
          <w:color w:val="2B2B2E"/>
        </w:rPr>
        <w:t>Bonn Intervention Study (BIP) and Bremen Initiative to Foster Early Childhood Development (BRISE; </w:t>
      </w:r>
      <w:hyperlink r:id="rId59" w:tgtFrame="_blank" w:history="1">
        <w:r>
          <w:rPr>
            <w:rStyle w:val="Hyperlink"/>
            <w:rFonts w:ascii="Merriweather" w:hAnsi="Merriweather"/>
            <w:color w:val="007596"/>
          </w:rPr>
          <w:t>http://brise-bremen.de/wissenschaft/</w:t>
        </w:r>
      </w:hyperlink>
      <w:r>
        <w:rPr>
          <w:rFonts w:ascii="Merriweather" w:hAnsi="Merriweather"/>
          <w:color w:val="2B2B2E"/>
        </w:rPr>
        <w:t>): BIP and BRISE provide an intervention for children and new born babies that tries to emulate a Random Control Treatment.</w:t>
      </w:r>
    </w:p>
    <w:p w14:paraId="246DFB2B" w14:textId="176537A4" w:rsidR="001E4E68" w:rsidRDefault="001E4E68" w:rsidP="001E4E68">
      <w:pPr>
        <w:pStyle w:val="NormalWeb"/>
        <w:numPr>
          <w:ilvl w:val="0"/>
          <w:numId w:val="10"/>
        </w:numPr>
        <w:spacing w:before="240" w:beforeAutospacing="0" w:after="240" w:afterAutospacing="0" w:line="432" w:lineRule="atLeast"/>
        <w:rPr>
          <w:rFonts w:ascii="Merriweather" w:hAnsi="Merriweather"/>
          <w:color w:val="2B2B2E"/>
        </w:rPr>
      </w:pPr>
      <w:r>
        <w:rPr>
          <w:rFonts w:ascii="Merriweather" w:hAnsi="Merriweather"/>
          <w:color w:val="2B2B2E"/>
        </w:rPr>
        <w:t>Early childhood education and care quality in the Socio-Economic Panel (K</w:t>
      </w:r>
      <w:r>
        <w:rPr>
          <w:rFonts w:ascii="Merriweather" w:hAnsi="Merriweather"/>
          <w:color w:val="2B2B2E"/>
          <w:sz w:val="18"/>
          <w:szCs w:val="18"/>
          <w:vertAlign w:val="superscript"/>
        </w:rPr>
        <w:t>2</w:t>
      </w:r>
      <w:r>
        <w:rPr>
          <w:rFonts w:ascii="Merriweather" w:hAnsi="Merriweather"/>
          <w:color w:val="2B2B2E"/>
        </w:rPr>
        <w:t>ID-SOEP). K</w:t>
      </w:r>
      <w:r>
        <w:rPr>
          <w:rFonts w:ascii="Merriweather" w:hAnsi="Merriweather"/>
          <w:color w:val="2B2B2E"/>
          <w:sz w:val="18"/>
          <w:szCs w:val="18"/>
          <w:vertAlign w:val="superscript"/>
        </w:rPr>
        <w:t>2</w:t>
      </w:r>
      <w:r>
        <w:rPr>
          <w:rFonts w:ascii="Merriweather" w:hAnsi="Merriweather"/>
          <w:color w:val="2B2B2E"/>
        </w:rPr>
        <w:t>ID-SOEP has collected new data on the quality of ECEC institutions that are attended by children below school age who are sample members of SOEP (see </w:t>
      </w:r>
      <w:proofErr w:type="spellStart"/>
      <w:r>
        <w:rPr>
          <w:rFonts w:ascii="Merriweather" w:hAnsi="Merriweather"/>
          <w:color w:val="2B2B2E"/>
        </w:rPr>
        <w:fldChar w:fldCharType="begin"/>
      </w:r>
      <w:r>
        <w:rPr>
          <w:rFonts w:ascii="Merriweather" w:hAnsi="Merriweather"/>
          <w:color w:val="2B2B2E"/>
        </w:rPr>
        <w:instrText xml:space="preserve"> HYPERLINK "https://www.degruyter.com/document/doi/10.1515/jbnst-2018-0022/html" \l "j_jbnst-2018-0022_ref_013_w2aab3b7d293b1b6b1ab2b1c22Aa" </w:instrText>
      </w:r>
      <w:r>
        <w:rPr>
          <w:rFonts w:ascii="Merriweather" w:hAnsi="Merriweather"/>
          <w:color w:val="2B2B2E"/>
        </w:rPr>
        <w:fldChar w:fldCharType="separate"/>
      </w:r>
      <w:r>
        <w:rPr>
          <w:rStyle w:val="Hyperlink"/>
          <w:rFonts w:ascii="Merriweather" w:hAnsi="Merriweather"/>
          <w:color w:val="007596"/>
        </w:rPr>
        <w:t>Spieß</w:t>
      </w:r>
      <w:proofErr w:type="spellEnd"/>
      <w:r>
        <w:rPr>
          <w:rStyle w:val="Hyperlink"/>
          <w:rFonts w:ascii="Merriweather" w:hAnsi="Merriweather"/>
          <w:color w:val="007596"/>
        </w:rPr>
        <w:t xml:space="preserve"> et</w:t>
      </w:r>
      <w:r>
        <w:rPr>
          <w:rStyle w:val="Hyperlink"/>
          <w:color w:val="007596"/>
        </w:rPr>
        <w:t> </w:t>
      </w:r>
      <w:r>
        <w:rPr>
          <w:rStyle w:val="Hyperlink"/>
          <w:rFonts w:ascii="Merriweather" w:hAnsi="Merriweather"/>
          <w:color w:val="007596"/>
        </w:rPr>
        <w:t>al. 2018</w:t>
      </w:r>
      <w:r>
        <w:rPr>
          <w:rFonts w:ascii="Merriweather" w:hAnsi="Merriweather"/>
          <w:color w:val="2B2B2E"/>
        </w:rPr>
        <w:fldChar w:fldCharType="end"/>
      </w:r>
      <w:r>
        <w:rPr>
          <w:rFonts w:ascii="Merriweather" w:hAnsi="Merriweather"/>
          <w:color w:val="2B2B2E"/>
        </w:rPr>
        <w:t>).</w:t>
      </w:r>
    </w:p>
    <w:p w14:paraId="19EBB6ED" w14:textId="77777777" w:rsidR="006F61FE" w:rsidRDefault="006F61FE" w:rsidP="006F61FE">
      <w:pPr>
        <w:pStyle w:val="Heading2"/>
        <w:shd w:val="clear" w:color="auto" w:fill="FFFFFF"/>
        <w:spacing w:before="0" w:line="540" w:lineRule="atLeast"/>
        <w:rPr>
          <w:rFonts w:ascii="Montserrat" w:hAnsi="Montserrat"/>
          <w:color w:val="0A0A0C"/>
          <w:sz w:val="42"/>
          <w:szCs w:val="42"/>
        </w:rPr>
      </w:pPr>
      <w:r>
        <w:rPr>
          <w:rFonts w:ascii="Montserrat" w:hAnsi="Montserrat"/>
          <w:b/>
          <w:bCs/>
          <w:color w:val="0A0A0C"/>
          <w:sz w:val="42"/>
          <w:szCs w:val="42"/>
        </w:rPr>
        <w:t>4 Data access and user support</w:t>
      </w:r>
    </w:p>
    <w:p w14:paraId="02D56A68" w14:textId="77777777" w:rsidR="006F61FE" w:rsidRDefault="006F61FE" w:rsidP="006F61FE">
      <w:pPr>
        <w:pStyle w:val="NormalWeb"/>
        <w:shd w:val="clear" w:color="auto" w:fill="FFFFFF"/>
        <w:spacing w:before="240" w:beforeAutospacing="0" w:after="240" w:afterAutospacing="0" w:line="432" w:lineRule="atLeast"/>
        <w:rPr>
          <w:rFonts w:ascii="Merriweather" w:hAnsi="Merriweather"/>
          <w:color w:val="2B2B2E"/>
        </w:rPr>
      </w:pPr>
      <w:r>
        <w:rPr>
          <w:rFonts w:ascii="Merriweather" w:hAnsi="Merriweather"/>
          <w:color w:val="2B2B2E"/>
        </w:rPr>
        <w:t>The SOEP scientific use file with anonymized microdata is made available free of charge to universities and research institutes for research and teaching purposes around the world in various data formats. Interested users must sign a user contract (</w:t>
      </w:r>
      <w:hyperlink r:id="rId60" w:tgtFrame="_blank" w:history="1">
        <w:r>
          <w:rPr>
            <w:rStyle w:val="Hyperlink"/>
            <w:rFonts w:ascii="Merriweather" w:hAnsi="Merriweather"/>
            <w:color w:val="007596"/>
          </w:rPr>
          <w:t>http://www.diw.de/soep-contractmanagement</w:t>
        </w:r>
      </w:hyperlink>
      <w:r>
        <w:rPr>
          <w:rFonts w:ascii="Merriweather" w:hAnsi="Merriweather"/>
          <w:color w:val="2B2B2E"/>
        </w:rPr>
        <w:t>) and, after approval, the data can be downloaded from the website via a secure data transfer system.</w:t>
      </w:r>
    </w:p>
    <w:p w14:paraId="505FD61F" w14:textId="77777777" w:rsidR="006F61FE" w:rsidRDefault="006F61FE" w:rsidP="006F61FE">
      <w:pPr>
        <w:pStyle w:val="NormalWeb"/>
        <w:shd w:val="clear" w:color="auto" w:fill="FFFFFF"/>
        <w:spacing w:before="240" w:beforeAutospacing="0" w:after="240" w:afterAutospacing="0" w:line="432" w:lineRule="atLeast"/>
        <w:rPr>
          <w:rFonts w:ascii="Merriweather" w:hAnsi="Merriweather"/>
          <w:color w:val="2B2B2E"/>
        </w:rPr>
      </w:pPr>
      <w:r>
        <w:rPr>
          <w:rFonts w:ascii="Merriweather" w:hAnsi="Merriweather"/>
          <w:color w:val="2B2B2E"/>
        </w:rPr>
        <w:t>SOEP offers different forms of user support:</w:t>
      </w:r>
    </w:p>
    <w:p w14:paraId="07A641E7" w14:textId="77777777" w:rsidR="006F61FE" w:rsidRDefault="006F61FE" w:rsidP="006F61FE">
      <w:pPr>
        <w:pStyle w:val="NormalWeb"/>
        <w:numPr>
          <w:ilvl w:val="0"/>
          <w:numId w:val="11"/>
        </w:numPr>
        <w:shd w:val="clear" w:color="auto" w:fill="FFFFFF"/>
        <w:spacing w:before="240" w:beforeAutospacing="0" w:after="240" w:afterAutospacing="0" w:line="432" w:lineRule="atLeast"/>
        <w:rPr>
          <w:rFonts w:ascii="Merriweather" w:hAnsi="Merriweather"/>
          <w:color w:val="2B2B2E"/>
        </w:rPr>
      </w:pPr>
      <w:r>
        <w:rPr>
          <w:rFonts w:ascii="Merriweather" w:hAnsi="Merriweather"/>
          <w:color w:val="2B2B2E"/>
        </w:rPr>
        <w:t>SOEP hotline (soepmail@diw.de) with instant services related to user-contracts, data distribution, as well as support for general and specialized questions on data structure and data analysis.</w:t>
      </w:r>
    </w:p>
    <w:p w14:paraId="103AEED9" w14:textId="77777777" w:rsidR="006F61FE" w:rsidRDefault="006F61FE" w:rsidP="006F61FE">
      <w:pPr>
        <w:pStyle w:val="NormalWeb"/>
        <w:numPr>
          <w:ilvl w:val="0"/>
          <w:numId w:val="11"/>
        </w:numPr>
        <w:shd w:val="clear" w:color="auto" w:fill="FFFFFF"/>
        <w:spacing w:before="240" w:beforeAutospacing="0" w:after="240" w:afterAutospacing="0" w:line="432" w:lineRule="atLeast"/>
        <w:rPr>
          <w:rFonts w:ascii="Merriweather" w:hAnsi="Merriweather"/>
          <w:color w:val="2B2B2E"/>
        </w:rPr>
      </w:pPr>
      <w:r>
        <w:rPr>
          <w:rFonts w:ascii="Merriweather" w:hAnsi="Merriweather"/>
          <w:color w:val="2B2B2E"/>
        </w:rPr>
        <w:t>Paneldata.org (</w:t>
      </w:r>
      <w:hyperlink r:id="rId61" w:tgtFrame="_blank" w:history="1">
        <w:r>
          <w:rPr>
            <w:rStyle w:val="Hyperlink"/>
            <w:rFonts w:ascii="Merriweather" w:hAnsi="Merriweather"/>
            <w:color w:val="007596"/>
          </w:rPr>
          <w:t>https://paneldata.org/</w:t>
        </w:r>
      </w:hyperlink>
      <w:r>
        <w:rPr>
          <w:rFonts w:ascii="Merriweather" w:hAnsi="Merriweather"/>
          <w:color w:val="2B2B2E"/>
        </w:rPr>
        <w:t xml:space="preserve">) is SOEP’s documentation system that provides basic information on each variable. Item-correspondence tables indicate changes in variable names and/or value labels across </w:t>
      </w:r>
      <w:r>
        <w:rPr>
          <w:rFonts w:ascii="Merriweather" w:hAnsi="Merriweather"/>
          <w:color w:val="2B2B2E"/>
        </w:rPr>
        <w:lastRenderedPageBreak/>
        <w:t>time. A script-generator produces syntax files for standard software programs to combine and generate datasets.</w:t>
      </w:r>
    </w:p>
    <w:p w14:paraId="3FE9A996" w14:textId="77777777" w:rsidR="006F61FE" w:rsidRDefault="006F61FE" w:rsidP="006F61FE">
      <w:pPr>
        <w:pStyle w:val="NormalWeb"/>
        <w:numPr>
          <w:ilvl w:val="0"/>
          <w:numId w:val="11"/>
        </w:numPr>
        <w:shd w:val="clear" w:color="auto" w:fill="FFFFFF"/>
        <w:spacing w:before="240" w:beforeAutospacing="0" w:after="240" w:afterAutospacing="0" w:line="432" w:lineRule="atLeast"/>
        <w:rPr>
          <w:rFonts w:ascii="Merriweather" w:hAnsi="Merriweather"/>
          <w:color w:val="2B2B2E"/>
        </w:rPr>
      </w:pPr>
      <w:r>
        <w:rPr>
          <w:rFonts w:ascii="Merriweather" w:hAnsi="Merriweather"/>
          <w:color w:val="2B2B2E"/>
        </w:rPr>
        <w:t>SOEP-in-Residence (</w:t>
      </w:r>
      <w:hyperlink r:id="rId62" w:tgtFrame="_blank" w:history="1">
        <w:r>
          <w:rPr>
            <w:rStyle w:val="Hyperlink"/>
            <w:rFonts w:ascii="Merriweather" w:hAnsi="Merriweather"/>
            <w:color w:val="007596"/>
          </w:rPr>
          <w:t>https://www.diw.de/en/diw_02.c.222617.en/soep_in_residence.html</w:t>
        </w:r>
      </w:hyperlink>
      <w:r>
        <w:rPr>
          <w:rFonts w:ascii="Merriweather" w:hAnsi="Merriweather"/>
          <w:color w:val="2B2B2E"/>
        </w:rPr>
        <w:t>) provides SOEP users the opportunity for research stays at SOEP at DIW Berlin to discuss data matters and research projects with the SOEP team. Since 2017, European researchers can apply for visitation grants via the EU’s InGRID-2 project (</w:t>
      </w:r>
      <w:hyperlink r:id="rId63" w:tgtFrame="_blank" w:history="1">
        <w:r>
          <w:rPr>
            <w:rStyle w:val="Hyperlink"/>
            <w:rFonts w:ascii="Merriweather" w:hAnsi="Merriweather"/>
            <w:color w:val="007596"/>
          </w:rPr>
          <w:t>http://www.inclusivegrowth.eu/visiting-grants</w:t>
        </w:r>
      </w:hyperlink>
      <w:r>
        <w:rPr>
          <w:rFonts w:ascii="Merriweather" w:hAnsi="Merriweather"/>
          <w:color w:val="2B2B2E"/>
        </w:rPr>
        <w:t>).</w:t>
      </w:r>
    </w:p>
    <w:p w14:paraId="021BC686" w14:textId="0797399E" w:rsidR="006F61FE" w:rsidRDefault="006F61FE" w:rsidP="006F61FE">
      <w:pPr>
        <w:pStyle w:val="NormalWeb"/>
        <w:numPr>
          <w:ilvl w:val="0"/>
          <w:numId w:val="11"/>
        </w:numPr>
        <w:shd w:val="clear" w:color="auto" w:fill="FFFFFF"/>
        <w:spacing w:before="240" w:beforeAutospacing="0" w:after="240" w:afterAutospacing="0" w:line="432" w:lineRule="atLeast"/>
        <w:rPr>
          <w:rFonts w:ascii="Merriweather" w:hAnsi="Merriweather"/>
          <w:color w:val="2B2B2E"/>
        </w:rPr>
      </w:pPr>
      <w:proofErr w:type="spellStart"/>
      <w:r>
        <w:rPr>
          <w:rFonts w:ascii="Merriweather" w:hAnsi="Merriweather"/>
          <w:color w:val="2B2B2E"/>
        </w:rPr>
        <w:t>SOEPcampus</w:t>
      </w:r>
      <w:proofErr w:type="spellEnd"/>
      <w:r>
        <w:rPr>
          <w:rFonts w:ascii="Merriweather" w:hAnsi="Merriweather"/>
          <w:color w:val="2B2B2E"/>
        </w:rPr>
        <w:t xml:space="preserve"> (</w:t>
      </w:r>
      <w:hyperlink r:id="rId64" w:tgtFrame="_blank" w:history="1">
        <w:r>
          <w:rPr>
            <w:rStyle w:val="Hyperlink"/>
            <w:rFonts w:ascii="Merriweather" w:hAnsi="Merriweather"/>
            <w:color w:val="007596"/>
          </w:rPr>
          <w:t>http://www.diw.de/soepcampus</w:t>
        </w:r>
      </w:hyperlink>
      <w:r>
        <w:rPr>
          <w:rFonts w:ascii="Merriweather" w:hAnsi="Merriweather"/>
          <w:color w:val="2B2B2E"/>
        </w:rPr>
        <w:t>) is a modular training program that familiarizes SOEP users with the data. Campus events take place at the SOEP offices in Berlin, at German universities, or as pre-conference workshops (in cooperation with other household-panels).</w:t>
      </w:r>
    </w:p>
    <w:p w14:paraId="4F8A1FFD" w14:textId="00FA1298" w:rsidR="006F61FE" w:rsidRDefault="006F61FE" w:rsidP="006F61FE">
      <w:pPr>
        <w:pStyle w:val="NormalWeb"/>
        <w:shd w:val="clear" w:color="auto" w:fill="FFFFFF"/>
        <w:spacing w:before="240" w:beforeAutospacing="0" w:after="240" w:afterAutospacing="0" w:line="432" w:lineRule="atLeast"/>
        <w:ind w:left="720"/>
        <w:rPr>
          <w:rFonts w:ascii="Merriweather" w:hAnsi="Merriweather"/>
          <w:color w:val="2B2B2E"/>
        </w:rPr>
      </w:pPr>
    </w:p>
    <w:p w14:paraId="479311C0" w14:textId="77777777" w:rsidR="00F43260" w:rsidRDefault="00F43260" w:rsidP="00F43260">
      <w:pPr>
        <w:pStyle w:val="Heading2"/>
        <w:shd w:val="clear" w:color="auto" w:fill="FFFFFF"/>
        <w:spacing w:before="0" w:line="540" w:lineRule="atLeast"/>
        <w:rPr>
          <w:rFonts w:ascii="Montserrat" w:hAnsi="Montserrat"/>
          <w:color w:val="0A0A0C"/>
          <w:sz w:val="42"/>
          <w:szCs w:val="42"/>
        </w:rPr>
      </w:pPr>
      <w:r>
        <w:rPr>
          <w:rFonts w:ascii="Montserrat" w:hAnsi="Montserrat"/>
          <w:b/>
          <w:bCs/>
          <w:color w:val="0A0A0C"/>
          <w:sz w:val="42"/>
          <w:szCs w:val="42"/>
        </w:rPr>
        <w:t>5 Science impact</w:t>
      </w:r>
    </w:p>
    <w:p w14:paraId="701CC46B" w14:textId="77777777" w:rsidR="00F43260" w:rsidRDefault="00F43260" w:rsidP="00F43260">
      <w:pPr>
        <w:pStyle w:val="NormalWeb"/>
        <w:shd w:val="clear" w:color="auto" w:fill="FFFFFF"/>
        <w:spacing w:before="240" w:beforeAutospacing="0" w:after="240" w:afterAutospacing="0" w:line="432" w:lineRule="atLeast"/>
        <w:rPr>
          <w:rFonts w:ascii="Merriweather" w:hAnsi="Merriweather"/>
          <w:color w:val="2B2B2E"/>
        </w:rPr>
      </w:pPr>
      <w:r>
        <w:rPr>
          <w:rFonts w:ascii="Merriweather" w:hAnsi="Merriweather"/>
          <w:color w:val="2B2B2E"/>
        </w:rPr>
        <w:t>It is a challenge to describe all of the scientific contributions made possible with the SOEP in a comprehensive manner, as SOEP provides the empirical basis for researchers in disciplines as diverse as economics and sociology; political sciences and psychology; demography and gerontology; transportation, architecture and city planning; nutrition and dietetics; as well as genetics and neuro science.</w:t>
      </w:r>
    </w:p>
    <w:p w14:paraId="1AA83CA0" w14:textId="77777777" w:rsidR="00F43260" w:rsidRDefault="00F43260" w:rsidP="00F43260">
      <w:pPr>
        <w:pStyle w:val="NormalWeb"/>
        <w:shd w:val="clear" w:color="auto" w:fill="FFFFFF"/>
        <w:spacing w:before="240" w:beforeAutospacing="0" w:after="240" w:afterAutospacing="0" w:line="432" w:lineRule="atLeast"/>
        <w:rPr>
          <w:rFonts w:ascii="Merriweather" w:hAnsi="Merriweather"/>
          <w:color w:val="2B2B2E"/>
        </w:rPr>
      </w:pPr>
      <w:r>
        <w:rPr>
          <w:rFonts w:ascii="Merriweather" w:hAnsi="Merriweather"/>
          <w:color w:val="2B2B2E"/>
        </w:rPr>
        <w:t>As of the end of 2017, SOEP had about 3,500 users worldwide, with about 50 percent resident in Germany. As seen in </w:t>
      </w:r>
      <w:hyperlink r:id="rId65" w:anchor="j_jbnst-2018-0022_fig_001_w2aab3b7d293b1b6b1ab1b4b4Ab2" w:history="1">
        <w:r>
          <w:rPr>
            <w:rStyle w:val="Hyperlink"/>
            <w:rFonts w:ascii="Merriweather" w:hAnsi="Merriweather"/>
            <w:color w:val="007596"/>
          </w:rPr>
          <w:t>Figure 1</w:t>
        </w:r>
      </w:hyperlink>
      <w:r>
        <w:rPr>
          <w:rFonts w:ascii="Merriweather" w:hAnsi="Merriweather"/>
          <w:color w:val="2B2B2E"/>
        </w:rPr>
        <w:t xml:space="preserve">, the yearly number of SOEP-based publications amounts to between 300 and 400 annually, thereof about 25 percent in (S)SCI journals. SOEP-data is used in various internationally recognized studies, including OECD reports on the development of income </w:t>
      </w:r>
      <w:r>
        <w:rPr>
          <w:rFonts w:ascii="Merriweather" w:hAnsi="Merriweather"/>
          <w:color w:val="2B2B2E"/>
        </w:rPr>
        <w:lastRenderedPageBreak/>
        <w:t>inequality in OECD countries (see OECD 2008, 2011, 2015), or Education at a Glance. SOEP is also an integral database for official government reports in Germany, including the German Federal Government’s 5th Report on Poverty and Wealth (Federal Ministry of Labour and Social Affairs 2017) and the report of the German Federal Government on Wellbeing in Germany (Federal Press Office 2016).</w:t>
      </w:r>
    </w:p>
    <w:p w14:paraId="432A946D" w14:textId="41CCBF95" w:rsidR="00F43260" w:rsidRDefault="00F43260" w:rsidP="00F43260">
      <w:pPr>
        <w:shd w:val="clear" w:color="auto" w:fill="FFFFFF"/>
        <w:rPr>
          <w:rFonts w:ascii="Merriweather" w:hAnsi="Merriweather"/>
          <w:color w:val="3C3C3C"/>
          <w:sz w:val="29"/>
          <w:szCs w:val="29"/>
        </w:rPr>
      </w:pPr>
      <w:r>
        <w:rPr>
          <w:rFonts w:ascii="Merriweather" w:hAnsi="Merriweather"/>
          <w:noProof/>
          <w:color w:val="3C3C3C"/>
          <w:sz w:val="29"/>
          <w:szCs w:val="29"/>
        </w:rPr>
        <w:drawing>
          <wp:inline distT="0" distB="0" distL="0" distR="0" wp14:anchorId="3B159F75" wp14:editId="3CA93115">
            <wp:extent cx="5940425" cy="2945130"/>
            <wp:effectExtent l="0" t="0" r="3175" b="7620"/>
            <wp:docPr id="3" name="Picture 3" descr="Figure 1: Number of publications using SOEP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Number of publications using SOEP dat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0425" cy="2945130"/>
                    </a:xfrm>
                    <a:prstGeom prst="rect">
                      <a:avLst/>
                    </a:prstGeom>
                    <a:noFill/>
                    <a:ln>
                      <a:noFill/>
                    </a:ln>
                  </pic:spPr>
                </pic:pic>
              </a:graphicData>
            </a:graphic>
          </wp:inline>
        </w:drawing>
      </w:r>
    </w:p>
    <w:p w14:paraId="538CEC51" w14:textId="77777777" w:rsidR="00F43260" w:rsidRDefault="00F43260" w:rsidP="00F43260">
      <w:pPr>
        <w:pStyle w:val="Heading3"/>
        <w:shd w:val="clear" w:color="auto" w:fill="FFFFFF"/>
        <w:spacing w:before="0" w:line="480" w:lineRule="atLeast"/>
        <w:rPr>
          <w:rFonts w:ascii="Montserrat" w:hAnsi="Montserrat"/>
          <w:color w:val="0A0A0C"/>
          <w:sz w:val="21"/>
          <w:szCs w:val="21"/>
        </w:rPr>
      </w:pPr>
      <w:r>
        <w:rPr>
          <w:rStyle w:val="label"/>
          <w:rFonts w:ascii="Montserrat" w:hAnsi="Montserrat"/>
          <w:color w:val="0A0A0C"/>
          <w:sz w:val="21"/>
          <w:szCs w:val="21"/>
        </w:rPr>
        <w:t>Figure 1:</w:t>
      </w:r>
    </w:p>
    <w:p w14:paraId="4C63C0BC" w14:textId="3E752B90" w:rsidR="006D5AFD" w:rsidRPr="009A608A" w:rsidRDefault="006D5AFD" w:rsidP="009A608A">
      <w:pPr>
        <w:pStyle w:val="NormalWeb"/>
        <w:shd w:val="clear" w:color="auto" w:fill="FFFFFF"/>
        <w:spacing w:before="0" w:beforeAutospacing="0"/>
        <w:rPr>
          <w:rFonts w:ascii="Nunito Sans" w:hAnsi="Nunito Sans"/>
          <w:color w:val="131516"/>
          <w:sz w:val="27"/>
          <w:szCs w:val="27"/>
        </w:rPr>
      </w:pPr>
    </w:p>
    <w:p w14:paraId="6D738F75" w14:textId="77777777" w:rsidR="006D5AFD" w:rsidRPr="006D5AFD" w:rsidRDefault="006D5AFD" w:rsidP="006D5AFD"/>
    <w:p w14:paraId="41D9FDBE" w14:textId="33B7EECC" w:rsidR="00A40AAD" w:rsidRDefault="001A19F7">
      <w:pPr>
        <w:pStyle w:val="Heading1"/>
        <w:spacing w:after="650"/>
        <w:ind w:left="692" w:hanging="687"/>
      </w:pPr>
      <w:r>
        <w:t xml:space="preserve">Results and </w:t>
      </w:r>
      <w:r>
        <w:t>Discussions</w:t>
      </w:r>
    </w:p>
    <w:p w14:paraId="62E8406E" w14:textId="77777777" w:rsidR="00A40AAD" w:rsidRDefault="001A19F7">
      <w:pPr>
        <w:ind w:left="10" w:right="10"/>
      </w:pPr>
      <w:r>
        <w:t xml:space="preserve">From the histogram we concluded that most of the students opted for Gymnasium as their secondary school choice. By comparing the number of female and male students in each school, it was observed that the number of female students is more than </w:t>
      </w:r>
      <w:r>
        <w:t>the male students in gymnasium, while they were almost equally distributed in the other schools. This analysis helped us understand how the popularity of schools varied through the years in Germany.</w:t>
      </w:r>
    </w:p>
    <w:p w14:paraId="02FCB712" w14:textId="5D366DB6" w:rsidR="00A40AAD" w:rsidRDefault="001A19F7">
      <w:pPr>
        <w:ind w:left="10" w:right="10"/>
      </w:pPr>
      <w:r>
        <w:t xml:space="preserve">The correlation coefficients are scatter plots were used </w:t>
      </w:r>
      <w:r>
        <w:t xml:space="preserve">to conclude that, most of the variables were </w:t>
      </w:r>
      <w:proofErr w:type="spellStart"/>
      <w:r>
        <w:t>independent.The</w:t>
      </w:r>
      <w:proofErr w:type="spellEnd"/>
      <w:r>
        <w:t xml:space="preserve"> variables year and birth year have a very strong positive correlation of 1. There is positive correlation between the size of the family and number of kids. There is a </w:t>
      </w:r>
      <w:r>
        <w:lastRenderedPageBreak/>
        <w:t>positive correlation betwee</w:t>
      </w:r>
      <w:r>
        <w:t>n parity and number of kids. The hypothesis test concludes, it is plausible that the mean income of the population may be greater than or equal to 70000.</w:t>
      </w:r>
    </w:p>
    <w:p w14:paraId="0C1BBD75" w14:textId="1F3FD8EB" w:rsidR="005B6B5D" w:rsidRDefault="005B6B5D">
      <w:pPr>
        <w:ind w:left="10" w:right="10"/>
      </w:pPr>
    </w:p>
    <w:p w14:paraId="6F7177AD" w14:textId="6F090C8C" w:rsidR="005B6B5D" w:rsidRDefault="005B6B5D">
      <w:pPr>
        <w:ind w:left="10" w:right="10"/>
      </w:pPr>
    </w:p>
    <w:p w14:paraId="49335BDB" w14:textId="5257CA48" w:rsidR="005B6B5D" w:rsidRDefault="005B6B5D">
      <w:pPr>
        <w:ind w:left="10" w:right="10"/>
      </w:pPr>
    </w:p>
    <w:p w14:paraId="64E75C85" w14:textId="3DAB1E64" w:rsidR="005B6B5D" w:rsidRDefault="005B6B5D" w:rsidP="005B6B5D">
      <w:pPr>
        <w:pStyle w:val="Heading3"/>
        <w:shd w:val="clear" w:color="auto" w:fill="FFFFFF"/>
        <w:spacing w:before="0" w:line="480" w:lineRule="atLeast"/>
        <w:rPr>
          <w:rFonts w:ascii="Montserrat" w:hAnsi="Montserrat"/>
          <w:color w:val="0A0A0C"/>
          <w:sz w:val="36"/>
          <w:szCs w:val="36"/>
        </w:rPr>
      </w:pPr>
      <w:r>
        <w:rPr>
          <w:rFonts w:ascii="Montserrat" w:hAnsi="Montserrat"/>
          <w:color w:val="0A0A0C"/>
          <w:sz w:val="36"/>
          <w:szCs w:val="36"/>
        </w:rPr>
        <w:t>References</w:t>
      </w:r>
      <w:r w:rsidR="006C5C2A">
        <w:rPr>
          <w:rFonts w:ascii="Montserrat" w:hAnsi="Montserrat"/>
          <w:color w:val="0A0A0C"/>
          <w:sz w:val="36"/>
          <w:szCs w:val="36"/>
        </w:rPr>
        <w:t xml:space="preserve"> And Links :</w:t>
      </w:r>
    </w:p>
    <w:p w14:paraId="1AD5598C"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r>
        <w:rPr>
          <w:rStyle w:val="reference-mixed-citation"/>
          <w:rFonts w:ascii="Merriweather" w:hAnsi="Merriweather"/>
          <w:color w:val="2B2B2E"/>
        </w:rPr>
        <w:t xml:space="preserve">Bertram, L., A. </w:t>
      </w:r>
      <w:proofErr w:type="spellStart"/>
      <w:r>
        <w:rPr>
          <w:rStyle w:val="reference-mixed-citation"/>
          <w:rFonts w:ascii="Merriweather" w:hAnsi="Merriweather"/>
          <w:color w:val="2B2B2E"/>
        </w:rPr>
        <w:t>Böckenhoff</w:t>
      </w:r>
      <w:proofErr w:type="spellEnd"/>
      <w:r>
        <w:rPr>
          <w:rStyle w:val="reference-mixed-citation"/>
          <w:rFonts w:ascii="Merriweather" w:hAnsi="Merriweather"/>
          <w:color w:val="2B2B2E"/>
        </w:rPr>
        <w:t xml:space="preserve">, I. Demuth, S. </w:t>
      </w:r>
      <w:proofErr w:type="spellStart"/>
      <w:r>
        <w:rPr>
          <w:rStyle w:val="reference-mixed-citation"/>
          <w:rFonts w:ascii="Merriweather" w:hAnsi="Merriweather"/>
          <w:color w:val="2B2B2E"/>
        </w:rPr>
        <w:t>Düzel</w:t>
      </w:r>
      <w:proofErr w:type="spellEnd"/>
      <w:r>
        <w:rPr>
          <w:rStyle w:val="reference-mixed-citation"/>
          <w:rFonts w:ascii="Merriweather" w:hAnsi="Merriweather"/>
          <w:color w:val="2B2B2E"/>
        </w:rPr>
        <w:t xml:space="preserve">, R. </w:t>
      </w:r>
      <w:proofErr w:type="spellStart"/>
      <w:r>
        <w:rPr>
          <w:rStyle w:val="reference-mixed-citation"/>
          <w:rFonts w:ascii="Merriweather" w:hAnsi="Merriweather"/>
          <w:color w:val="2B2B2E"/>
        </w:rPr>
        <w:t>Eckardt</w:t>
      </w:r>
      <w:proofErr w:type="spellEnd"/>
      <w:r>
        <w:rPr>
          <w:rStyle w:val="reference-mixed-citation"/>
          <w:rFonts w:ascii="Merriweather" w:hAnsi="Merriweather"/>
          <w:color w:val="2B2B2E"/>
        </w:rPr>
        <w:t xml:space="preserve">, S.-C. Li, U. </w:t>
      </w:r>
      <w:proofErr w:type="spellStart"/>
      <w:r>
        <w:rPr>
          <w:rStyle w:val="reference-mixed-citation"/>
          <w:rFonts w:ascii="Merriweather" w:hAnsi="Merriweather"/>
          <w:color w:val="2B2B2E"/>
        </w:rPr>
        <w:t>Lindenberger</w:t>
      </w:r>
      <w:proofErr w:type="spellEnd"/>
      <w:r>
        <w:rPr>
          <w:rStyle w:val="reference-mixed-citation"/>
          <w:rFonts w:ascii="Merriweather" w:hAnsi="Merriweather"/>
          <w:color w:val="2B2B2E"/>
        </w:rPr>
        <w:t xml:space="preserve">, G. </w:t>
      </w:r>
      <w:proofErr w:type="spellStart"/>
      <w:r>
        <w:rPr>
          <w:rStyle w:val="reference-mixed-citation"/>
          <w:rFonts w:ascii="Merriweather" w:hAnsi="Merriweather"/>
          <w:color w:val="2B2B2E"/>
        </w:rPr>
        <w:t>Pawelec</w:t>
      </w:r>
      <w:proofErr w:type="spellEnd"/>
      <w:r>
        <w:rPr>
          <w:rStyle w:val="reference-mixed-citation"/>
          <w:rFonts w:ascii="Merriweather" w:hAnsi="Merriweather"/>
          <w:color w:val="2B2B2E"/>
        </w:rPr>
        <w:t xml:space="preserve">, T. </w:t>
      </w:r>
      <w:proofErr w:type="spellStart"/>
      <w:r>
        <w:rPr>
          <w:rStyle w:val="reference-mixed-citation"/>
          <w:rFonts w:ascii="Merriweather" w:hAnsi="Merriweather"/>
          <w:color w:val="2B2B2E"/>
        </w:rPr>
        <w:t>Siedler</w:t>
      </w:r>
      <w:proofErr w:type="spellEnd"/>
      <w:r>
        <w:rPr>
          <w:rStyle w:val="reference-mixed-citation"/>
          <w:rFonts w:ascii="Merriweather" w:hAnsi="Merriweather"/>
          <w:color w:val="2B2B2E"/>
        </w:rPr>
        <w:t xml:space="preserve">, G.G. Wagner, E. </w:t>
      </w:r>
      <w:proofErr w:type="spellStart"/>
      <w:r>
        <w:rPr>
          <w:rStyle w:val="reference-mixed-citation"/>
          <w:rFonts w:ascii="Merriweather" w:hAnsi="Merriweather"/>
          <w:color w:val="2B2B2E"/>
        </w:rPr>
        <w:t>Steinhagen</w:t>
      </w:r>
      <w:proofErr w:type="spellEnd"/>
      <w:r>
        <w:rPr>
          <w:rStyle w:val="reference-mixed-citation"/>
          <w:rFonts w:ascii="Merriweather" w:hAnsi="Merriweather"/>
          <w:color w:val="2B2B2E"/>
        </w:rPr>
        <w:t>-Thiessen (2014), Cohort Profile: The Berlin Aging Study II (BASE-II). International Journal of Epidemiology 43: 703–712.</w:t>
      </w:r>
      <w:r>
        <w:rPr>
          <w:rFonts w:ascii="Merriweather" w:hAnsi="Merriweather"/>
          <w:color w:val="2B2B2E"/>
        </w:rPr>
        <w:t> </w:t>
      </w:r>
      <w:hyperlink r:id="rId67" w:tgtFrame="_blank" w:history="1">
        <w:r>
          <w:rPr>
            <w:rStyle w:val="Hyperlink"/>
            <w:rFonts w:ascii="Merriweather" w:hAnsi="Merriweather"/>
            <w:color w:val="007596"/>
          </w:rPr>
          <w:t>Search in Google Scholar</w:t>
        </w:r>
      </w:hyperlink>
    </w:p>
    <w:p w14:paraId="05D913AC"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r>
        <w:rPr>
          <w:rStyle w:val="reference-mixed-citation"/>
          <w:rFonts w:ascii="Merriweather" w:hAnsi="Merriweather"/>
          <w:color w:val="2B2B2E"/>
        </w:rPr>
        <w:t>Deaton, A. (2015), Nobel Prize Lecture by Angus Deaton. Available under:</w:t>
      </w:r>
      <w:hyperlink r:id="rId68" w:tgtFrame="_blank" w:history="1">
        <w:r>
          <w:rPr>
            <w:rStyle w:val="Hyperlink"/>
            <w:rFonts w:ascii="Merriweather" w:hAnsi="Merriweather"/>
            <w:color w:val="007596"/>
          </w:rPr>
          <w:t>http://www.nobelprize.org/mediaplayer/index.php?id=2585</w:t>
        </w:r>
      </w:hyperlink>
      <w:r>
        <w:rPr>
          <w:rFonts w:ascii="Merriweather" w:hAnsi="Merriweather"/>
          <w:color w:val="2B2B2E"/>
        </w:rPr>
        <w:t> </w:t>
      </w:r>
      <w:hyperlink r:id="rId69" w:tgtFrame="_blank" w:history="1">
        <w:r>
          <w:rPr>
            <w:rStyle w:val="Hyperlink"/>
            <w:rFonts w:ascii="Merriweather" w:hAnsi="Merriweather"/>
            <w:color w:val="007596"/>
          </w:rPr>
          <w:t>Search in Google Scholar</w:t>
        </w:r>
      </w:hyperlink>
    </w:p>
    <w:p w14:paraId="73D46FB8"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proofErr w:type="spellStart"/>
      <w:r>
        <w:rPr>
          <w:rStyle w:val="reference-mixed-citation"/>
          <w:rFonts w:ascii="Merriweather" w:hAnsi="Merriweather"/>
          <w:color w:val="2B2B2E"/>
        </w:rPr>
        <w:t>Eisnecker</w:t>
      </w:r>
      <w:proofErr w:type="spellEnd"/>
      <w:r>
        <w:rPr>
          <w:rStyle w:val="reference-mixed-citation"/>
          <w:rFonts w:ascii="Merriweather" w:hAnsi="Merriweather"/>
          <w:color w:val="2B2B2E"/>
        </w:rPr>
        <w:t xml:space="preserve">, Ph., K. Erhardt, M. </w:t>
      </w:r>
      <w:proofErr w:type="spellStart"/>
      <w:r>
        <w:rPr>
          <w:rStyle w:val="reference-mixed-citation"/>
          <w:rFonts w:ascii="Merriweather" w:hAnsi="Merriweather"/>
          <w:color w:val="2B2B2E"/>
        </w:rPr>
        <w:t>Kroh</w:t>
      </w:r>
      <w:proofErr w:type="spellEnd"/>
      <w:r>
        <w:rPr>
          <w:rStyle w:val="reference-mixed-citation"/>
          <w:rFonts w:ascii="Merriweather" w:hAnsi="Merriweather"/>
          <w:color w:val="2B2B2E"/>
        </w:rPr>
        <w:t xml:space="preserve">, P. </w:t>
      </w:r>
      <w:proofErr w:type="spellStart"/>
      <w:r>
        <w:rPr>
          <w:rStyle w:val="reference-mixed-citation"/>
          <w:rFonts w:ascii="Merriweather" w:hAnsi="Merriweather"/>
          <w:color w:val="2B2B2E"/>
        </w:rPr>
        <w:t>Trübswetter</w:t>
      </w:r>
      <w:proofErr w:type="spellEnd"/>
      <w:r>
        <w:rPr>
          <w:rStyle w:val="reference-mixed-citation"/>
          <w:rFonts w:ascii="Merriweather" w:hAnsi="Merriweather"/>
          <w:color w:val="2B2B2E"/>
        </w:rPr>
        <w:t xml:space="preserve"> (2017), The Request for Record Linkage in the IAB -SOEP Migration Sample. SOEP Survey Papers 291, C.</w:t>
      </w:r>
      <w:r>
        <w:rPr>
          <w:rFonts w:ascii="Merriweather" w:hAnsi="Merriweather"/>
          <w:color w:val="2B2B2E"/>
        </w:rPr>
        <w:t> </w:t>
      </w:r>
      <w:hyperlink r:id="rId70" w:tgtFrame="_blank" w:history="1">
        <w:r>
          <w:rPr>
            <w:rStyle w:val="Hyperlink"/>
            <w:rFonts w:ascii="Merriweather" w:hAnsi="Merriweather"/>
            <w:color w:val="007596"/>
          </w:rPr>
          <w:t>Search in Google Scholar</w:t>
        </w:r>
      </w:hyperlink>
    </w:p>
    <w:p w14:paraId="37CED590"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r>
        <w:rPr>
          <w:rStyle w:val="reference-mixed-citation"/>
          <w:rFonts w:ascii="Merriweather" w:hAnsi="Merriweather"/>
          <w:color w:val="2B2B2E"/>
        </w:rPr>
        <w:t>Federal Ministry of Labour and Social Affairs (2017), The German Federal Government’s 5th Report on Poverty and Wealth. Bonn.</w:t>
      </w:r>
      <w:r>
        <w:rPr>
          <w:rFonts w:ascii="Merriweather" w:hAnsi="Merriweather"/>
          <w:color w:val="2B2B2E"/>
        </w:rPr>
        <w:t> </w:t>
      </w:r>
      <w:hyperlink r:id="rId71" w:tgtFrame="_blank" w:history="1">
        <w:r>
          <w:rPr>
            <w:rStyle w:val="Hyperlink"/>
            <w:rFonts w:ascii="Merriweather" w:hAnsi="Merriweather"/>
            <w:color w:val="007596"/>
          </w:rPr>
          <w:t>Search in Google Scholar</w:t>
        </w:r>
      </w:hyperlink>
    </w:p>
    <w:p w14:paraId="14E3C890"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r>
        <w:rPr>
          <w:rStyle w:val="reference-mixed-citation"/>
          <w:rFonts w:ascii="Merriweather" w:hAnsi="Merriweather"/>
          <w:color w:val="2B2B2E"/>
        </w:rPr>
        <w:t>Federal Press Office (2016), Government Report on wellbeing in Germany. Berlin.</w:t>
      </w:r>
      <w:r>
        <w:rPr>
          <w:rFonts w:ascii="Merriweather" w:hAnsi="Merriweather"/>
          <w:color w:val="2B2B2E"/>
        </w:rPr>
        <w:t> </w:t>
      </w:r>
      <w:hyperlink r:id="rId72" w:tgtFrame="_blank" w:history="1">
        <w:r>
          <w:rPr>
            <w:rStyle w:val="Hyperlink"/>
            <w:rFonts w:ascii="Merriweather" w:hAnsi="Merriweather"/>
            <w:color w:val="007596"/>
          </w:rPr>
          <w:t>Search in Google Scholar</w:t>
        </w:r>
      </w:hyperlink>
    </w:p>
    <w:p w14:paraId="0191E83A"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r>
        <w:rPr>
          <w:rStyle w:val="reference-mixed-citation"/>
          <w:rFonts w:ascii="Merriweather" w:hAnsi="Merriweather"/>
          <w:color w:val="2B2B2E"/>
        </w:rPr>
        <w:t xml:space="preserve">Goebel, J., B. </w:t>
      </w:r>
      <w:proofErr w:type="spellStart"/>
      <w:r>
        <w:rPr>
          <w:rStyle w:val="reference-mixed-citation"/>
          <w:rFonts w:ascii="Merriweather" w:hAnsi="Merriweather"/>
          <w:color w:val="2B2B2E"/>
        </w:rPr>
        <w:t>Pauer</w:t>
      </w:r>
      <w:proofErr w:type="spellEnd"/>
      <w:r>
        <w:rPr>
          <w:rStyle w:val="reference-mixed-citation"/>
          <w:rFonts w:ascii="Merriweather" w:hAnsi="Merriweather"/>
          <w:color w:val="2B2B2E"/>
        </w:rPr>
        <w:t xml:space="preserve"> (2014), </w:t>
      </w:r>
      <w:proofErr w:type="spellStart"/>
      <w:r>
        <w:rPr>
          <w:rStyle w:val="reference-mixed-citation"/>
          <w:rFonts w:ascii="Merriweather" w:hAnsi="Merriweather"/>
          <w:color w:val="2B2B2E"/>
        </w:rPr>
        <w:t>Datenschutzkonzept</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zur</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Nutzung</w:t>
      </w:r>
      <w:proofErr w:type="spellEnd"/>
      <w:r>
        <w:rPr>
          <w:rStyle w:val="reference-mixed-citation"/>
          <w:rFonts w:ascii="Merriweather" w:hAnsi="Merriweather"/>
          <w:color w:val="2B2B2E"/>
        </w:rPr>
        <w:t xml:space="preserve"> von </w:t>
      </w:r>
      <w:proofErr w:type="spellStart"/>
      <w:r>
        <w:rPr>
          <w:rStyle w:val="reference-mixed-citation"/>
          <w:rFonts w:ascii="Merriweather" w:hAnsi="Merriweather"/>
          <w:color w:val="2B2B2E"/>
        </w:rPr>
        <w:t>SOEPgeo</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im</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Forschungsdatenzentrum</w:t>
      </w:r>
      <w:proofErr w:type="spellEnd"/>
      <w:r>
        <w:rPr>
          <w:rStyle w:val="reference-mixed-citation"/>
          <w:rFonts w:ascii="Merriweather" w:hAnsi="Merriweather"/>
          <w:color w:val="2B2B2E"/>
        </w:rPr>
        <w:t xml:space="preserve"> SOEP am DIW Berlin. </w:t>
      </w:r>
      <w:proofErr w:type="spellStart"/>
      <w:r>
        <w:rPr>
          <w:rStyle w:val="reference-mixed-citation"/>
          <w:rFonts w:ascii="Merriweather" w:hAnsi="Merriweather"/>
          <w:color w:val="2B2B2E"/>
        </w:rPr>
        <w:t>Zeitschrift</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für</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amtliche</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Statistik</w:t>
      </w:r>
      <w:proofErr w:type="spellEnd"/>
      <w:r>
        <w:rPr>
          <w:rStyle w:val="reference-mixed-citation"/>
          <w:rFonts w:ascii="Merriweather" w:hAnsi="Merriweather"/>
          <w:color w:val="2B2B2E"/>
        </w:rPr>
        <w:t xml:space="preserve"> Berlin-Brandenburg 3: 42–47.</w:t>
      </w:r>
      <w:r>
        <w:rPr>
          <w:rFonts w:ascii="Merriweather" w:hAnsi="Merriweather"/>
          <w:color w:val="2B2B2E"/>
        </w:rPr>
        <w:t> </w:t>
      </w:r>
      <w:hyperlink r:id="rId73" w:tgtFrame="_blank" w:history="1">
        <w:r>
          <w:rPr>
            <w:rStyle w:val="Hyperlink"/>
            <w:rFonts w:ascii="Merriweather" w:hAnsi="Merriweather"/>
            <w:color w:val="007596"/>
          </w:rPr>
          <w:t>Search in Google Scholar</w:t>
        </w:r>
      </w:hyperlink>
    </w:p>
    <w:p w14:paraId="5586971E"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proofErr w:type="spellStart"/>
      <w:r>
        <w:rPr>
          <w:rStyle w:val="reference-mixed-citation"/>
          <w:rFonts w:ascii="Merriweather" w:hAnsi="Merriweather"/>
          <w:color w:val="2B2B2E"/>
        </w:rPr>
        <w:t>Kroh</w:t>
      </w:r>
      <w:proofErr w:type="spellEnd"/>
      <w:r>
        <w:rPr>
          <w:rStyle w:val="reference-mixed-citation"/>
          <w:rFonts w:ascii="Merriweather" w:hAnsi="Merriweather"/>
          <w:color w:val="2B2B2E"/>
        </w:rPr>
        <w:t xml:space="preserve">, M., R. </w:t>
      </w:r>
      <w:proofErr w:type="spellStart"/>
      <w:r>
        <w:rPr>
          <w:rStyle w:val="reference-mixed-citation"/>
          <w:rFonts w:ascii="Merriweather" w:hAnsi="Merriweather"/>
          <w:color w:val="2B2B2E"/>
        </w:rPr>
        <w:t>Pischner</w:t>
      </w:r>
      <w:proofErr w:type="spellEnd"/>
      <w:r>
        <w:rPr>
          <w:rStyle w:val="reference-mixed-citation"/>
          <w:rFonts w:ascii="Merriweather" w:hAnsi="Merriweather"/>
          <w:color w:val="2B2B2E"/>
        </w:rPr>
        <w:t xml:space="preserve">, M. </w:t>
      </w:r>
      <w:proofErr w:type="spellStart"/>
      <w:r>
        <w:rPr>
          <w:rStyle w:val="reference-mixed-citation"/>
          <w:rFonts w:ascii="Merriweather" w:hAnsi="Merriweather"/>
          <w:color w:val="2B2B2E"/>
        </w:rPr>
        <w:t>Spiess</w:t>
      </w:r>
      <w:proofErr w:type="spellEnd"/>
      <w:r>
        <w:rPr>
          <w:rStyle w:val="reference-mixed-citation"/>
          <w:rFonts w:ascii="Merriweather" w:hAnsi="Merriweather"/>
          <w:color w:val="2B2B2E"/>
        </w:rPr>
        <w:t xml:space="preserve">, G. Wagner (2008), On the Treatment of Non-Original Sample Members in the German Household Panel Study (SOEP): </w:t>
      </w:r>
      <w:r>
        <w:rPr>
          <w:rStyle w:val="reference-mixed-citation"/>
          <w:rFonts w:ascii="Merriweather" w:hAnsi="Merriweather"/>
          <w:color w:val="2B2B2E"/>
        </w:rPr>
        <w:lastRenderedPageBreak/>
        <w:t xml:space="preserve">Tracing, Weighting, and Frequencies. </w:t>
      </w:r>
      <w:proofErr w:type="spellStart"/>
      <w:r>
        <w:rPr>
          <w:rStyle w:val="reference-mixed-citation"/>
          <w:rFonts w:ascii="Merriweather" w:hAnsi="Merriweather"/>
          <w:color w:val="2B2B2E"/>
        </w:rPr>
        <w:t>Methoden</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Daten</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Analysen</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Zeitschrift</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Für</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Empirische</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Sozialforschung</w:t>
      </w:r>
      <w:proofErr w:type="spellEnd"/>
      <w:r>
        <w:rPr>
          <w:rStyle w:val="reference-mixed-citation"/>
          <w:rFonts w:ascii="Merriweather" w:hAnsi="Merriweather"/>
          <w:color w:val="2B2B2E"/>
        </w:rPr>
        <w:t xml:space="preserve"> 2: 179–198.</w:t>
      </w:r>
      <w:r>
        <w:rPr>
          <w:rFonts w:ascii="Merriweather" w:hAnsi="Merriweather"/>
          <w:color w:val="2B2B2E"/>
        </w:rPr>
        <w:t> </w:t>
      </w:r>
      <w:hyperlink r:id="rId74" w:tgtFrame="_blank" w:history="1">
        <w:r>
          <w:rPr>
            <w:rStyle w:val="Hyperlink"/>
            <w:rFonts w:ascii="Merriweather" w:hAnsi="Merriweather"/>
            <w:color w:val="007596"/>
          </w:rPr>
          <w:t>Search in Google Scholar</w:t>
        </w:r>
      </w:hyperlink>
    </w:p>
    <w:p w14:paraId="27602D85"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proofErr w:type="spellStart"/>
      <w:r>
        <w:rPr>
          <w:rStyle w:val="reference-mixed-citation"/>
          <w:rFonts w:ascii="Merriweather" w:hAnsi="Merriweather"/>
          <w:color w:val="2B2B2E"/>
        </w:rPr>
        <w:t>Kroh</w:t>
      </w:r>
      <w:proofErr w:type="spellEnd"/>
      <w:r>
        <w:rPr>
          <w:rStyle w:val="reference-mixed-citation"/>
          <w:rFonts w:ascii="Merriweather" w:hAnsi="Merriweather"/>
          <w:color w:val="2B2B2E"/>
        </w:rPr>
        <w:t xml:space="preserve">, M., R. Siegers, S. </w:t>
      </w:r>
      <w:proofErr w:type="spellStart"/>
      <w:r>
        <w:rPr>
          <w:rStyle w:val="reference-mixed-citation"/>
          <w:rFonts w:ascii="Merriweather" w:hAnsi="Merriweather"/>
          <w:color w:val="2B2B2E"/>
        </w:rPr>
        <w:t>Kühne</w:t>
      </w:r>
      <w:proofErr w:type="spellEnd"/>
      <w:r>
        <w:rPr>
          <w:rStyle w:val="reference-mixed-citation"/>
          <w:rFonts w:ascii="Merriweather" w:hAnsi="Merriweather"/>
          <w:color w:val="2B2B2E"/>
        </w:rPr>
        <w:t xml:space="preserve"> (2015), </w:t>
      </w:r>
      <w:proofErr w:type="spellStart"/>
      <w:r>
        <w:rPr>
          <w:rStyle w:val="reference-mixed-citation"/>
          <w:rFonts w:ascii="Merriweather" w:hAnsi="Merriweather"/>
          <w:color w:val="2B2B2E"/>
        </w:rPr>
        <w:t>Gewichtung</w:t>
      </w:r>
      <w:proofErr w:type="spellEnd"/>
      <w:r>
        <w:rPr>
          <w:rStyle w:val="reference-mixed-citation"/>
          <w:rFonts w:ascii="Merriweather" w:hAnsi="Merriweather"/>
          <w:color w:val="2B2B2E"/>
        </w:rPr>
        <w:t xml:space="preserve"> und Integration von </w:t>
      </w:r>
      <w:proofErr w:type="spellStart"/>
      <w:r>
        <w:rPr>
          <w:rStyle w:val="reference-mixed-citation"/>
          <w:rFonts w:ascii="Merriweather" w:hAnsi="Merriweather"/>
          <w:color w:val="2B2B2E"/>
        </w:rPr>
        <w:t>Auffrischungsstichproben</w:t>
      </w:r>
      <w:proofErr w:type="spellEnd"/>
      <w:r>
        <w:rPr>
          <w:rStyle w:val="reference-mixed-citation"/>
          <w:rFonts w:ascii="Merriweather" w:hAnsi="Merriweather"/>
          <w:color w:val="2B2B2E"/>
        </w:rPr>
        <w:t xml:space="preserve"> am </w:t>
      </w:r>
      <w:proofErr w:type="spellStart"/>
      <w:r>
        <w:rPr>
          <w:rStyle w:val="reference-mixed-citation"/>
          <w:rFonts w:ascii="Merriweather" w:hAnsi="Merriweather"/>
          <w:color w:val="2B2B2E"/>
        </w:rPr>
        <w:t>Beispiel</w:t>
      </w:r>
      <w:proofErr w:type="spellEnd"/>
      <w:r>
        <w:rPr>
          <w:rStyle w:val="reference-mixed-citation"/>
          <w:rFonts w:ascii="Merriweather" w:hAnsi="Merriweather"/>
          <w:color w:val="2B2B2E"/>
        </w:rPr>
        <w:t xml:space="preserve"> des </w:t>
      </w:r>
      <w:proofErr w:type="spellStart"/>
      <w:r>
        <w:rPr>
          <w:rStyle w:val="reference-mixed-citation"/>
          <w:rFonts w:ascii="Merriweather" w:hAnsi="Merriweather"/>
          <w:color w:val="2B2B2E"/>
        </w:rPr>
        <w:t>Sozio-oekonomischen</w:t>
      </w:r>
      <w:proofErr w:type="spellEnd"/>
      <w:r>
        <w:rPr>
          <w:rStyle w:val="reference-mixed-citation"/>
          <w:rFonts w:ascii="Merriweather" w:hAnsi="Merriweather"/>
          <w:color w:val="2B2B2E"/>
        </w:rPr>
        <w:t xml:space="preserve"> Panels (SOEP) in: J. Schupp, C. Wolf (</w:t>
      </w:r>
      <w:proofErr w:type="spellStart"/>
      <w:r>
        <w:rPr>
          <w:rStyle w:val="reference-mixed-citation"/>
          <w:rFonts w:ascii="Merriweather" w:hAnsi="Merriweather"/>
          <w:color w:val="2B2B2E"/>
        </w:rPr>
        <w:t>Hrsg</w:t>
      </w:r>
      <w:proofErr w:type="spellEnd"/>
      <w:r>
        <w:rPr>
          <w:rStyle w:val="reference-mixed-citation"/>
          <w:rFonts w:ascii="Merriweather" w:hAnsi="Merriweather"/>
          <w:color w:val="2B2B2E"/>
        </w:rPr>
        <w:t xml:space="preserve">.), Nonresponse Bias: </w:t>
      </w:r>
      <w:proofErr w:type="spellStart"/>
      <w:r>
        <w:rPr>
          <w:rStyle w:val="reference-mixed-citation"/>
          <w:rFonts w:ascii="Merriweather" w:hAnsi="Merriweather"/>
          <w:color w:val="2B2B2E"/>
        </w:rPr>
        <w:t>Qualitätssicherung</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sozialwissenschaftlicher</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Umfragen</w:t>
      </w:r>
      <w:proofErr w:type="spellEnd"/>
      <w:r>
        <w:rPr>
          <w:rStyle w:val="reference-mixed-citation"/>
          <w:rFonts w:ascii="Merriweather" w:hAnsi="Merriweather"/>
          <w:color w:val="2B2B2E"/>
        </w:rPr>
        <w:t>. Wiesbaden, Springer VS Verlag.</w:t>
      </w:r>
      <w:r>
        <w:rPr>
          <w:rFonts w:ascii="Merriweather" w:hAnsi="Merriweather"/>
          <w:color w:val="2B2B2E"/>
        </w:rPr>
        <w:t> </w:t>
      </w:r>
      <w:hyperlink r:id="rId75" w:tgtFrame="_blank" w:history="1">
        <w:r>
          <w:rPr>
            <w:rStyle w:val="Hyperlink"/>
            <w:rFonts w:ascii="Merriweather" w:hAnsi="Merriweather"/>
            <w:color w:val="007596"/>
          </w:rPr>
          <w:t>Search in Google Scholar</w:t>
        </w:r>
      </w:hyperlink>
    </w:p>
    <w:p w14:paraId="2FBF2188"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proofErr w:type="spellStart"/>
      <w:r>
        <w:rPr>
          <w:rStyle w:val="reference-mixed-citation"/>
          <w:rFonts w:ascii="Merriweather" w:hAnsi="Merriweather"/>
          <w:color w:val="2B2B2E"/>
        </w:rPr>
        <w:t>Kroh</w:t>
      </w:r>
      <w:proofErr w:type="spellEnd"/>
      <w:r>
        <w:rPr>
          <w:rStyle w:val="reference-mixed-citation"/>
          <w:rFonts w:ascii="Merriweather" w:hAnsi="Merriweather"/>
          <w:color w:val="2B2B2E"/>
        </w:rPr>
        <w:t xml:space="preserve">, M., S. </w:t>
      </w:r>
      <w:proofErr w:type="spellStart"/>
      <w:r>
        <w:rPr>
          <w:rStyle w:val="reference-mixed-citation"/>
          <w:rFonts w:ascii="Merriweather" w:hAnsi="Merriweather"/>
          <w:color w:val="2B2B2E"/>
        </w:rPr>
        <w:t>Kühne</w:t>
      </w:r>
      <w:proofErr w:type="spellEnd"/>
      <w:r>
        <w:rPr>
          <w:rStyle w:val="reference-mixed-citation"/>
          <w:rFonts w:ascii="Merriweather" w:hAnsi="Merriweather"/>
          <w:color w:val="2B2B2E"/>
        </w:rPr>
        <w:t xml:space="preserve">, R. Siegers, V. </w:t>
      </w:r>
      <w:proofErr w:type="spellStart"/>
      <w:r>
        <w:rPr>
          <w:rStyle w:val="reference-mixed-citation"/>
          <w:rFonts w:ascii="Merriweather" w:hAnsi="Merriweather"/>
          <w:color w:val="2B2B2E"/>
        </w:rPr>
        <w:t>Belcheva</w:t>
      </w:r>
      <w:proofErr w:type="spellEnd"/>
      <w:r>
        <w:rPr>
          <w:rStyle w:val="reference-mixed-citation"/>
          <w:rFonts w:ascii="Merriweather" w:hAnsi="Merriweather"/>
          <w:color w:val="2B2B2E"/>
        </w:rPr>
        <w:t xml:space="preserve"> (2018), SOEP-Core – Documentation of Sample Sizes and Panel Attrition (1984 until 2016). SOEP Survey Paper 480, Series C.</w:t>
      </w:r>
      <w:r>
        <w:rPr>
          <w:rFonts w:ascii="Merriweather" w:hAnsi="Merriweather"/>
          <w:color w:val="2B2B2E"/>
        </w:rPr>
        <w:t> </w:t>
      </w:r>
      <w:hyperlink r:id="rId76" w:tgtFrame="_blank" w:history="1">
        <w:r>
          <w:rPr>
            <w:rStyle w:val="Hyperlink"/>
            <w:rFonts w:ascii="Merriweather" w:hAnsi="Merriweather"/>
            <w:color w:val="007596"/>
          </w:rPr>
          <w:t>Search in Google Scholar</w:t>
        </w:r>
      </w:hyperlink>
    </w:p>
    <w:p w14:paraId="52762C8E"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r>
        <w:rPr>
          <w:rStyle w:val="reference-mixed-citation"/>
          <w:rFonts w:ascii="Merriweather" w:hAnsi="Merriweather"/>
          <w:color w:val="2B2B2E"/>
        </w:rPr>
        <w:t>OECD (2008), Growing unequal? Income distribution and poverty in OECD countries. Paris.</w:t>
      </w:r>
      <w:r>
        <w:rPr>
          <w:rFonts w:ascii="Merriweather" w:hAnsi="Merriweather"/>
          <w:color w:val="2B2B2E"/>
        </w:rPr>
        <w:t> </w:t>
      </w:r>
      <w:hyperlink r:id="rId77" w:tgtFrame="_blank" w:history="1">
        <w:r>
          <w:rPr>
            <w:rStyle w:val="Hyperlink"/>
            <w:rFonts w:ascii="Merriweather" w:hAnsi="Merriweather"/>
            <w:color w:val="007596"/>
          </w:rPr>
          <w:t>Search in Google Scholar</w:t>
        </w:r>
      </w:hyperlink>
    </w:p>
    <w:p w14:paraId="1A982EBC"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r>
        <w:rPr>
          <w:rStyle w:val="reference-mixed-citation"/>
          <w:rFonts w:ascii="Merriweather" w:hAnsi="Merriweather"/>
          <w:color w:val="2B2B2E"/>
        </w:rPr>
        <w:t>OECD (2011), Divided We Stand: Why Inequality Keeps Rising. Paris.</w:t>
      </w:r>
      <w:r>
        <w:rPr>
          <w:rFonts w:ascii="Merriweather" w:hAnsi="Merriweather"/>
          <w:color w:val="2B2B2E"/>
        </w:rPr>
        <w:t> </w:t>
      </w:r>
      <w:hyperlink r:id="rId78" w:tgtFrame="_blank" w:history="1">
        <w:r>
          <w:rPr>
            <w:rStyle w:val="Hyperlink"/>
            <w:rFonts w:ascii="Merriweather" w:hAnsi="Merriweather"/>
            <w:color w:val="007596"/>
          </w:rPr>
          <w:t>Search in Google Scholar</w:t>
        </w:r>
      </w:hyperlink>
    </w:p>
    <w:p w14:paraId="5B45B265"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r>
        <w:rPr>
          <w:rStyle w:val="reference-mixed-citation"/>
          <w:rFonts w:ascii="Merriweather" w:hAnsi="Merriweather"/>
          <w:color w:val="2B2B2E"/>
        </w:rPr>
        <w:t>OECD (2015), In It Together: Why Less Inequality Benefits All. Paris.</w:t>
      </w:r>
      <w:r>
        <w:rPr>
          <w:rFonts w:ascii="Merriweather" w:hAnsi="Merriweather"/>
          <w:color w:val="2B2B2E"/>
        </w:rPr>
        <w:t> </w:t>
      </w:r>
      <w:hyperlink r:id="rId79" w:tgtFrame="_blank" w:history="1">
        <w:r>
          <w:rPr>
            <w:rStyle w:val="Hyperlink"/>
            <w:rFonts w:ascii="Merriweather" w:hAnsi="Merriweather"/>
            <w:color w:val="007596"/>
          </w:rPr>
          <w:t>Search in Google Scholar</w:t>
        </w:r>
      </w:hyperlink>
    </w:p>
    <w:p w14:paraId="1BD9AD34"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proofErr w:type="spellStart"/>
      <w:r>
        <w:rPr>
          <w:rStyle w:val="reference-mixed-citation"/>
          <w:rFonts w:ascii="Merriweather" w:hAnsi="Merriweather"/>
          <w:color w:val="2B2B2E"/>
        </w:rPr>
        <w:t>Rammstedt</w:t>
      </w:r>
      <w:proofErr w:type="spellEnd"/>
      <w:r>
        <w:rPr>
          <w:rStyle w:val="reference-mixed-citation"/>
          <w:rFonts w:ascii="Merriweather" w:hAnsi="Merriweather"/>
          <w:color w:val="2B2B2E"/>
        </w:rPr>
        <w:t xml:space="preserve">, B., S. Martin, A. </w:t>
      </w:r>
      <w:proofErr w:type="spellStart"/>
      <w:r>
        <w:rPr>
          <w:rStyle w:val="reference-mixed-citation"/>
          <w:rFonts w:ascii="Merriweather" w:hAnsi="Merriweather"/>
          <w:color w:val="2B2B2E"/>
        </w:rPr>
        <w:t>Zabal</w:t>
      </w:r>
      <w:proofErr w:type="spellEnd"/>
      <w:r>
        <w:rPr>
          <w:rStyle w:val="reference-mixed-citation"/>
          <w:rFonts w:ascii="Merriweather" w:hAnsi="Merriweather"/>
          <w:color w:val="2B2B2E"/>
        </w:rPr>
        <w:t>, C. Carstensen, J. Schupp (2017), The PIAAC Longitudinal Study in Germany: rationale and design. Large-Scale Assessments in Education 5: 4.</w:t>
      </w:r>
      <w:r>
        <w:rPr>
          <w:rFonts w:ascii="Merriweather" w:hAnsi="Merriweather"/>
          <w:color w:val="2B2B2E"/>
        </w:rPr>
        <w:t> </w:t>
      </w:r>
      <w:hyperlink r:id="rId80" w:tgtFrame="_blank" w:history="1">
        <w:r>
          <w:rPr>
            <w:rStyle w:val="Hyperlink"/>
            <w:rFonts w:ascii="Merriweather" w:hAnsi="Merriweather"/>
            <w:color w:val="007596"/>
          </w:rPr>
          <w:t>Search in Google Scholar</w:t>
        </w:r>
      </w:hyperlink>
    </w:p>
    <w:p w14:paraId="08D65592"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proofErr w:type="spellStart"/>
      <w:r>
        <w:rPr>
          <w:rStyle w:val="reference-mixed-citation"/>
          <w:rFonts w:ascii="Merriweather" w:hAnsi="Merriweather"/>
          <w:color w:val="2B2B2E"/>
        </w:rPr>
        <w:t>Rendtel</w:t>
      </w:r>
      <w:proofErr w:type="spellEnd"/>
      <w:r>
        <w:rPr>
          <w:rStyle w:val="reference-mixed-citation"/>
          <w:rFonts w:ascii="Merriweather" w:hAnsi="Merriweather"/>
          <w:color w:val="2B2B2E"/>
        </w:rPr>
        <w:t xml:space="preserve">, U. (1995), </w:t>
      </w:r>
      <w:proofErr w:type="spellStart"/>
      <w:r>
        <w:rPr>
          <w:rStyle w:val="reference-mixed-citation"/>
          <w:rFonts w:ascii="Merriweather" w:hAnsi="Merriweather"/>
          <w:color w:val="2B2B2E"/>
        </w:rPr>
        <w:t>Lebenslagen</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im</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Wandel</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Panelausfälle</w:t>
      </w:r>
      <w:proofErr w:type="spellEnd"/>
      <w:r>
        <w:rPr>
          <w:rStyle w:val="reference-mixed-citation"/>
          <w:rFonts w:ascii="Merriweather" w:hAnsi="Merriweather"/>
          <w:color w:val="2B2B2E"/>
        </w:rPr>
        <w:t xml:space="preserve"> und </w:t>
      </w:r>
      <w:proofErr w:type="spellStart"/>
      <w:r>
        <w:rPr>
          <w:rStyle w:val="reference-mixed-citation"/>
          <w:rFonts w:ascii="Merriweather" w:hAnsi="Merriweather"/>
          <w:color w:val="2B2B2E"/>
        </w:rPr>
        <w:t>Panelrepräsentativität</w:t>
      </w:r>
      <w:proofErr w:type="spellEnd"/>
      <w:r>
        <w:rPr>
          <w:rStyle w:val="reference-mixed-citation"/>
          <w:rFonts w:ascii="Merriweather" w:hAnsi="Merriweather"/>
          <w:color w:val="2B2B2E"/>
        </w:rPr>
        <w:t>. Campus Verlag, Frankfurt/New York.</w:t>
      </w:r>
      <w:r>
        <w:rPr>
          <w:rFonts w:ascii="Merriweather" w:hAnsi="Merriweather"/>
          <w:color w:val="2B2B2E"/>
        </w:rPr>
        <w:t> </w:t>
      </w:r>
      <w:hyperlink r:id="rId81" w:tgtFrame="_blank" w:history="1">
        <w:r>
          <w:rPr>
            <w:rStyle w:val="Hyperlink"/>
            <w:rFonts w:ascii="Merriweather" w:hAnsi="Merriweather"/>
            <w:color w:val="007596"/>
          </w:rPr>
          <w:t>Search in Google Scholar</w:t>
        </w:r>
      </w:hyperlink>
    </w:p>
    <w:p w14:paraId="219D85ED"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r>
        <w:rPr>
          <w:rStyle w:val="reference-mixed-citation"/>
          <w:rFonts w:ascii="Merriweather" w:hAnsi="Merriweather"/>
          <w:color w:val="2B2B2E"/>
        </w:rPr>
        <w:t xml:space="preserve">Richter, D., J. Rohrer, M. </w:t>
      </w:r>
      <w:proofErr w:type="spellStart"/>
      <w:r>
        <w:rPr>
          <w:rStyle w:val="reference-mixed-citation"/>
          <w:rFonts w:ascii="Merriweather" w:hAnsi="Merriweather"/>
          <w:color w:val="2B2B2E"/>
        </w:rPr>
        <w:t>Metzing</w:t>
      </w:r>
      <w:proofErr w:type="spellEnd"/>
      <w:r>
        <w:rPr>
          <w:rStyle w:val="reference-mixed-citation"/>
          <w:rFonts w:ascii="Merriweather" w:hAnsi="Merriweather"/>
          <w:color w:val="2B2B2E"/>
        </w:rPr>
        <w:t xml:space="preserve">, W. </w:t>
      </w:r>
      <w:proofErr w:type="spellStart"/>
      <w:r>
        <w:rPr>
          <w:rStyle w:val="reference-mixed-citation"/>
          <w:rFonts w:ascii="Merriweather" w:hAnsi="Merriweather"/>
          <w:color w:val="2B2B2E"/>
        </w:rPr>
        <w:t>Nestler</w:t>
      </w:r>
      <w:proofErr w:type="spellEnd"/>
      <w:r>
        <w:rPr>
          <w:rStyle w:val="reference-mixed-citation"/>
          <w:rFonts w:ascii="Merriweather" w:hAnsi="Merriweather"/>
          <w:color w:val="2B2B2E"/>
        </w:rPr>
        <w:t xml:space="preserve">, M. </w:t>
      </w:r>
      <w:proofErr w:type="spellStart"/>
      <w:r>
        <w:rPr>
          <w:rStyle w:val="reference-mixed-citation"/>
          <w:rFonts w:ascii="Merriweather" w:hAnsi="Merriweather"/>
          <w:color w:val="2B2B2E"/>
        </w:rPr>
        <w:t>Weinhardt</w:t>
      </w:r>
      <w:proofErr w:type="spellEnd"/>
      <w:r>
        <w:rPr>
          <w:rStyle w:val="reference-mixed-citation"/>
          <w:rFonts w:ascii="Merriweather" w:hAnsi="Merriweather"/>
          <w:color w:val="2B2B2E"/>
        </w:rPr>
        <w:t>, J. Schupp (2017), SOEP Scales Manual. SOEP Survey Papers 423, Series C.</w:t>
      </w:r>
      <w:r>
        <w:rPr>
          <w:rFonts w:ascii="Merriweather" w:hAnsi="Merriweather"/>
          <w:color w:val="2B2B2E"/>
        </w:rPr>
        <w:t> </w:t>
      </w:r>
      <w:hyperlink r:id="rId82" w:tgtFrame="_blank" w:history="1">
        <w:r>
          <w:rPr>
            <w:rStyle w:val="Hyperlink"/>
            <w:rFonts w:ascii="Merriweather" w:hAnsi="Merriweather"/>
            <w:color w:val="007596"/>
          </w:rPr>
          <w:t>Search in Google Scholar</w:t>
        </w:r>
      </w:hyperlink>
    </w:p>
    <w:p w14:paraId="33279E4E"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r>
        <w:rPr>
          <w:rStyle w:val="reference-mixed-citation"/>
          <w:rFonts w:ascii="Merriweather" w:hAnsi="Merriweather"/>
          <w:color w:val="2B2B2E"/>
        </w:rPr>
        <w:lastRenderedPageBreak/>
        <w:t xml:space="preserve">Richter, D., J. Schupp (2015), The SOEP Innovation Sample (SOEP IS). </w:t>
      </w:r>
      <w:proofErr w:type="spellStart"/>
      <w:r>
        <w:rPr>
          <w:rStyle w:val="reference-mixed-citation"/>
          <w:rFonts w:ascii="Merriweather" w:hAnsi="Merriweather"/>
          <w:color w:val="2B2B2E"/>
        </w:rPr>
        <w:t>Schmollers</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Jahrbuch</w:t>
      </w:r>
      <w:proofErr w:type="spellEnd"/>
      <w:r>
        <w:rPr>
          <w:rStyle w:val="reference-mixed-citation"/>
          <w:rFonts w:ascii="Merriweather" w:hAnsi="Merriweather"/>
          <w:color w:val="2B2B2E"/>
        </w:rPr>
        <w:t xml:space="preserve"> 135(3): 389–399.</w:t>
      </w:r>
      <w:r>
        <w:rPr>
          <w:rFonts w:ascii="Merriweather" w:hAnsi="Merriweather"/>
          <w:color w:val="2B2B2E"/>
        </w:rPr>
        <w:t> </w:t>
      </w:r>
      <w:hyperlink r:id="rId83" w:tgtFrame="_blank" w:history="1">
        <w:r>
          <w:rPr>
            <w:rStyle w:val="Hyperlink"/>
            <w:rFonts w:ascii="Merriweather" w:hAnsi="Merriweather"/>
            <w:color w:val="007596"/>
          </w:rPr>
          <w:t>Search in Google Scholar</w:t>
        </w:r>
      </w:hyperlink>
    </w:p>
    <w:p w14:paraId="11F0DB93"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proofErr w:type="spellStart"/>
      <w:r>
        <w:rPr>
          <w:rStyle w:val="reference-mixed-citation"/>
          <w:rFonts w:ascii="Merriweather" w:hAnsi="Merriweather"/>
          <w:color w:val="2B2B2E"/>
        </w:rPr>
        <w:t>Schonlau</w:t>
      </w:r>
      <w:proofErr w:type="spellEnd"/>
      <w:r>
        <w:rPr>
          <w:rStyle w:val="reference-mixed-citation"/>
          <w:rFonts w:ascii="Merriweather" w:hAnsi="Merriweather"/>
          <w:color w:val="2B2B2E"/>
        </w:rPr>
        <w:t xml:space="preserve">, M., M. </w:t>
      </w:r>
      <w:proofErr w:type="spellStart"/>
      <w:r>
        <w:rPr>
          <w:rStyle w:val="reference-mixed-citation"/>
          <w:rFonts w:ascii="Merriweather" w:hAnsi="Merriweather"/>
          <w:color w:val="2B2B2E"/>
        </w:rPr>
        <w:t>Kroh</w:t>
      </w:r>
      <w:proofErr w:type="spellEnd"/>
      <w:r>
        <w:rPr>
          <w:rStyle w:val="reference-mixed-citation"/>
          <w:rFonts w:ascii="Merriweather" w:hAnsi="Merriweather"/>
          <w:color w:val="2B2B2E"/>
        </w:rPr>
        <w:t>, N. Watson (2013), The Implementation of Cross-Sectional Weights in Household Panel Surveys. Statistics Surveys 7: 37–57.</w:t>
      </w:r>
      <w:r>
        <w:rPr>
          <w:rFonts w:ascii="Merriweather" w:hAnsi="Merriweather"/>
          <w:color w:val="2B2B2E"/>
        </w:rPr>
        <w:t> </w:t>
      </w:r>
      <w:hyperlink r:id="rId84" w:tgtFrame="_blank" w:history="1">
        <w:r>
          <w:rPr>
            <w:rStyle w:val="Hyperlink"/>
            <w:rFonts w:ascii="Merriweather" w:hAnsi="Merriweather"/>
            <w:color w:val="007596"/>
          </w:rPr>
          <w:t>Search in Google Scholar</w:t>
        </w:r>
      </w:hyperlink>
    </w:p>
    <w:p w14:paraId="60244395"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proofErr w:type="spellStart"/>
      <w:r>
        <w:rPr>
          <w:rStyle w:val="reference-mixed-citation"/>
          <w:rFonts w:ascii="Merriweather" w:hAnsi="Merriweather"/>
          <w:color w:val="2B2B2E"/>
        </w:rPr>
        <w:t>Schonlau</w:t>
      </w:r>
      <w:proofErr w:type="spellEnd"/>
      <w:r>
        <w:rPr>
          <w:rStyle w:val="reference-mixed-citation"/>
          <w:rFonts w:ascii="Merriweather" w:hAnsi="Merriweather"/>
          <w:color w:val="2B2B2E"/>
        </w:rPr>
        <w:t xml:space="preserve">, M., N. Watson, M. </w:t>
      </w:r>
      <w:proofErr w:type="spellStart"/>
      <w:r>
        <w:rPr>
          <w:rStyle w:val="reference-mixed-citation"/>
          <w:rFonts w:ascii="Merriweather" w:hAnsi="Merriweather"/>
          <w:color w:val="2B2B2E"/>
        </w:rPr>
        <w:t>Kroh</w:t>
      </w:r>
      <w:proofErr w:type="spellEnd"/>
      <w:r>
        <w:rPr>
          <w:rStyle w:val="reference-mixed-citation"/>
          <w:rFonts w:ascii="Merriweather" w:hAnsi="Merriweather"/>
          <w:color w:val="2B2B2E"/>
        </w:rPr>
        <w:t xml:space="preserve"> (2011), Household Survey Panels: How Much Do following Rules Affect Sample Size? Survey Research Methods 5: 53–61.</w:t>
      </w:r>
      <w:r>
        <w:rPr>
          <w:rFonts w:ascii="Merriweather" w:hAnsi="Merriweather"/>
          <w:color w:val="2B2B2E"/>
        </w:rPr>
        <w:t> </w:t>
      </w:r>
      <w:hyperlink r:id="rId85" w:tgtFrame="_blank" w:history="1">
        <w:r>
          <w:rPr>
            <w:rStyle w:val="Hyperlink"/>
            <w:rFonts w:ascii="Merriweather" w:hAnsi="Merriweather"/>
            <w:color w:val="007596"/>
          </w:rPr>
          <w:t>Search in Google Scholar</w:t>
        </w:r>
      </w:hyperlink>
    </w:p>
    <w:p w14:paraId="6A419945"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proofErr w:type="spellStart"/>
      <w:r>
        <w:rPr>
          <w:rStyle w:val="reference-mixed-citation"/>
          <w:rFonts w:ascii="Merriweather" w:hAnsi="Merriweather"/>
          <w:color w:val="2B2B2E"/>
        </w:rPr>
        <w:t>Schröder</w:t>
      </w:r>
      <w:proofErr w:type="spellEnd"/>
      <w:r>
        <w:rPr>
          <w:rStyle w:val="reference-mixed-citation"/>
          <w:rFonts w:ascii="Merriweather" w:hAnsi="Merriweather"/>
          <w:color w:val="2B2B2E"/>
        </w:rPr>
        <w:t xml:space="preserve">, M., R. Siegers, C.K. </w:t>
      </w:r>
      <w:proofErr w:type="spellStart"/>
      <w:r>
        <w:rPr>
          <w:rStyle w:val="reference-mixed-citation"/>
          <w:rFonts w:ascii="Merriweather" w:hAnsi="Merriweather"/>
          <w:color w:val="2B2B2E"/>
        </w:rPr>
        <w:t>Spieß</w:t>
      </w:r>
      <w:proofErr w:type="spellEnd"/>
      <w:r>
        <w:rPr>
          <w:rStyle w:val="reference-mixed-citation"/>
          <w:rFonts w:ascii="Merriweather" w:hAnsi="Merriweather"/>
          <w:color w:val="2B2B2E"/>
        </w:rPr>
        <w:t xml:space="preserve"> (2013), “</w:t>
      </w:r>
      <w:proofErr w:type="spellStart"/>
      <w:r>
        <w:rPr>
          <w:rStyle w:val="reference-mixed-citation"/>
          <w:rFonts w:ascii="Merriweather" w:hAnsi="Merriweather"/>
          <w:color w:val="2B2B2E"/>
        </w:rPr>
        <w:t>Familien</w:t>
      </w:r>
      <w:proofErr w:type="spellEnd"/>
      <w:r>
        <w:rPr>
          <w:rStyle w:val="reference-mixed-citation"/>
          <w:rFonts w:ascii="Merriweather" w:hAnsi="Merriweather"/>
          <w:color w:val="2B2B2E"/>
        </w:rPr>
        <w:t xml:space="preserve"> in Deutschland” – </w:t>
      </w:r>
      <w:proofErr w:type="spellStart"/>
      <w:r>
        <w:rPr>
          <w:rStyle w:val="reference-mixed-citation"/>
          <w:rFonts w:ascii="Merriweather" w:hAnsi="Merriweather"/>
          <w:color w:val="2B2B2E"/>
        </w:rPr>
        <w:t>FiD</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Schmollers</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Jahrbuch</w:t>
      </w:r>
      <w:proofErr w:type="spellEnd"/>
      <w:r>
        <w:rPr>
          <w:rStyle w:val="reference-mixed-citation"/>
          <w:rFonts w:ascii="Merriweather" w:hAnsi="Merriweather"/>
          <w:color w:val="2B2B2E"/>
        </w:rPr>
        <w:t xml:space="preserve"> 133(4): 595–606.</w:t>
      </w:r>
      <w:r>
        <w:rPr>
          <w:rFonts w:ascii="Merriweather" w:hAnsi="Merriweather"/>
          <w:color w:val="2B2B2E"/>
        </w:rPr>
        <w:t> </w:t>
      </w:r>
      <w:hyperlink r:id="rId86" w:tgtFrame="_blank" w:history="1">
        <w:r>
          <w:rPr>
            <w:rStyle w:val="Hyperlink"/>
            <w:rFonts w:ascii="Merriweather" w:hAnsi="Merriweather"/>
            <w:color w:val="007596"/>
          </w:rPr>
          <w:t>Search in Google Scholar</w:t>
        </w:r>
      </w:hyperlink>
    </w:p>
    <w:p w14:paraId="71A1ECB7"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r>
        <w:rPr>
          <w:rStyle w:val="reference-mixed-citation"/>
          <w:rFonts w:ascii="Merriweather" w:hAnsi="Merriweather"/>
          <w:color w:val="2B2B2E"/>
        </w:rPr>
        <w:t xml:space="preserve">Schupp, J. (2015), Forty Years of Social Reporting and Quality of Life </w:t>
      </w:r>
      <w:proofErr w:type="spellStart"/>
      <w:r>
        <w:rPr>
          <w:rStyle w:val="reference-mixed-citation"/>
          <w:rFonts w:ascii="Merriweather" w:hAnsi="Merriweather"/>
          <w:color w:val="2B2B2E"/>
        </w:rPr>
        <w:t>Reserach</w:t>
      </w:r>
      <w:proofErr w:type="spellEnd"/>
      <w:r>
        <w:rPr>
          <w:rStyle w:val="reference-mixed-citation"/>
          <w:rFonts w:ascii="Merriweather" w:hAnsi="Merriweather"/>
          <w:color w:val="2B2B2E"/>
        </w:rPr>
        <w:t xml:space="preserve"> in Germany. 107–126 in: G. </w:t>
      </w:r>
      <w:proofErr w:type="spellStart"/>
      <w:r>
        <w:rPr>
          <w:rStyle w:val="reference-mixed-citation"/>
          <w:rFonts w:ascii="Merriweather" w:hAnsi="Merriweather"/>
          <w:color w:val="2B2B2E"/>
        </w:rPr>
        <w:t>Trommsdorff</w:t>
      </w:r>
      <w:proofErr w:type="spellEnd"/>
      <w:r>
        <w:rPr>
          <w:rStyle w:val="reference-mixed-citation"/>
          <w:rFonts w:ascii="Merriweather" w:hAnsi="Merriweather"/>
          <w:color w:val="2B2B2E"/>
        </w:rPr>
        <w:t xml:space="preserve">, W.R. </w:t>
      </w:r>
      <w:proofErr w:type="spellStart"/>
      <w:r>
        <w:rPr>
          <w:rStyle w:val="reference-mixed-citation"/>
          <w:rFonts w:ascii="Merriweather" w:hAnsi="Merriweather"/>
          <w:color w:val="2B2B2E"/>
        </w:rPr>
        <w:t>Assmann</w:t>
      </w:r>
      <w:proofErr w:type="spellEnd"/>
      <w:r>
        <w:rPr>
          <w:rStyle w:val="reference-mixed-citation"/>
          <w:rFonts w:ascii="Merriweather" w:hAnsi="Merriweather"/>
          <w:color w:val="2B2B2E"/>
        </w:rPr>
        <w:t xml:space="preserve"> (Eds.), A Look Back and Prospects for the Future, </w:t>
      </w:r>
      <w:proofErr w:type="spellStart"/>
      <w:r>
        <w:rPr>
          <w:rStyle w:val="reference-mixed-citation"/>
          <w:rFonts w:ascii="Merriweather" w:hAnsi="Merriweather"/>
          <w:color w:val="2B2B2E"/>
        </w:rPr>
        <w:t>Forschung</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fördern</w:t>
      </w:r>
      <w:proofErr w:type="spellEnd"/>
      <w:r>
        <w:rPr>
          <w:rStyle w:val="reference-mixed-citation"/>
          <w:rFonts w:ascii="Merriweather" w:hAnsi="Merriweather"/>
          <w:color w:val="2B2B2E"/>
        </w:rPr>
        <w:t xml:space="preserve">. Am </w:t>
      </w:r>
      <w:proofErr w:type="spellStart"/>
      <w:r>
        <w:rPr>
          <w:rStyle w:val="reference-mixed-citation"/>
          <w:rFonts w:ascii="Merriweather" w:hAnsi="Merriweather"/>
          <w:color w:val="2B2B2E"/>
        </w:rPr>
        <w:t>Beispiel</w:t>
      </w:r>
      <w:proofErr w:type="spellEnd"/>
      <w:r>
        <w:rPr>
          <w:rStyle w:val="reference-mixed-citation"/>
          <w:rFonts w:ascii="Merriweather" w:hAnsi="Merriweather"/>
          <w:color w:val="2B2B2E"/>
        </w:rPr>
        <w:t xml:space="preserve"> von </w:t>
      </w:r>
      <w:proofErr w:type="spellStart"/>
      <w:r>
        <w:rPr>
          <w:rStyle w:val="reference-mixed-citation"/>
          <w:rFonts w:ascii="Merriweather" w:hAnsi="Merriweather"/>
          <w:color w:val="2B2B2E"/>
        </w:rPr>
        <w:t>Lebensqualität</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im</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Kulturkontext</w:t>
      </w:r>
      <w:proofErr w:type="spellEnd"/>
      <w:r>
        <w:rPr>
          <w:rStyle w:val="reference-mixed-citation"/>
          <w:rFonts w:ascii="Merriweather" w:hAnsi="Merriweather"/>
          <w:color w:val="2B2B2E"/>
        </w:rPr>
        <w:t>. Konstanz und München, UVK.</w:t>
      </w:r>
      <w:r>
        <w:rPr>
          <w:rFonts w:ascii="Merriweather" w:hAnsi="Merriweather"/>
          <w:color w:val="2B2B2E"/>
        </w:rPr>
        <w:t> </w:t>
      </w:r>
      <w:hyperlink r:id="rId87" w:tgtFrame="_blank" w:history="1">
        <w:r>
          <w:rPr>
            <w:rStyle w:val="Hyperlink"/>
            <w:rFonts w:ascii="Merriweather" w:hAnsi="Merriweather"/>
            <w:color w:val="007596"/>
          </w:rPr>
          <w:t>Search in Google Scholar</w:t>
        </w:r>
      </w:hyperlink>
    </w:p>
    <w:p w14:paraId="6C0323F6"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proofErr w:type="spellStart"/>
      <w:r>
        <w:rPr>
          <w:rStyle w:val="reference-mixed-citation"/>
          <w:rFonts w:ascii="Merriweather" w:hAnsi="Merriweather"/>
          <w:color w:val="2B2B2E"/>
        </w:rPr>
        <w:t>Siedler</w:t>
      </w:r>
      <w:proofErr w:type="spellEnd"/>
      <w:r>
        <w:rPr>
          <w:rStyle w:val="reference-mixed-citation"/>
          <w:rFonts w:ascii="Merriweather" w:hAnsi="Merriweather"/>
          <w:color w:val="2B2B2E"/>
        </w:rPr>
        <w:t xml:space="preserve">, T., J. Schupp, C.K. </w:t>
      </w:r>
      <w:proofErr w:type="spellStart"/>
      <w:r>
        <w:rPr>
          <w:rStyle w:val="reference-mixed-citation"/>
          <w:rFonts w:ascii="Merriweather" w:hAnsi="Merriweather"/>
          <w:color w:val="2B2B2E"/>
        </w:rPr>
        <w:t>Spieß</w:t>
      </w:r>
      <w:proofErr w:type="spellEnd"/>
      <w:r>
        <w:rPr>
          <w:rStyle w:val="reference-mixed-citation"/>
          <w:rFonts w:ascii="Merriweather" w:hAnsi="Merriweather"/>
          <w:color w:val="2B2B2E"/>
        </w:rPr>
        <w:t xml:space="preserve">, G.G. Wagner (2009), The German Socio-Economic Panel (SOEP) as Reference Data Set. </w:t>
      </w:r>
      <w:proofErr w:type="spellStart"/>
      <w:r>
        <w:rPr>
          <w:rStyle w:val="reference-mixed-citation"/>
          <w:rFonts w:ascii="Merriweather" w:hAnsi="Merriweather"/>
          <w:color w:val="2B2B2E"/>
        </w:rPr>
        <w:t>Schmollers</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Jahrbuch</w:t>
      </w:r>
      <w:proofErr w:type="spellEnd"/>
      <w:r>
        <w:rPr>
          <w:rStyle w:val="reference-mixed-citation"/>
          <w:rFonts w:ascii="Merriweather" w:hAnsi="Merriweather"/>
          <w:color w:val="2B2B2E"/>
        </w:rPr>
        <w:t xml:space="preserve"> 129(2): 367–374.</w:t>
      </w:r>
      <w:r>
        <w:rPr>
          <w:rFonts w:ascii="Merriweather" w:hAnsi="Merriweather"/>
          <w:color w:val="2B2B2E"/>
        </w:rPr>
        <w:t> </w:t>
      </w:r>
      <w:hyperlink r:id="rId88" w:tgtFrame="_blank" w:history="1">
        <w:r>
          <w:rPr>
            <w:rStyle w:val="Hyperlink"/>
            <w:rFonts w:ascii="Merriweather" w:hAnsi="Merriweather"/>
            <w:color w:val="007596"/>
          </w:rPr>
          <w:t>Search in Google Scholar</w:t>
        </w:r>
      </w:hyperlink>
    </w:p>
    <w:p w14:paraId="4F877B65"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proofErr w:type="spellStart"/>
      <w:r>
        <w:rPr>
          <w:rStyle w:val="reference-mixed-citation"/>
          <w:rFonts w:ascii="Merriweather" w:hAnsi="Merriweather"/>
          <w:color w:val="2B2B2E"/>
        </w:rPr>
        <w:t>Spieß</w:t>
      </w:r>
      <w:proofErr w:type="spellEnd"/>
      <w:r>
        <w:rPr>
          <w:rStyle w:val="reference-mixed-citation"/>
          <w:rFonts w:ascii="Merriweather" w:hAnsi="Merriweather"/>
          <w:color w:val="2B2B2E"/>
        </w:rPr>
        <w:t xml:space="preserve">, C.K., Schober, P.S., Stahl, J.F. (2018), Early Childhood Education and Care Quality in the Socio-Economic Panel (SOEP) – the K2ID-SOEP Study. Journal of Economics and Statistics (online first), </w:t>
      </w:r>
      <w:proofErr w:type="spellStart"/>
      <w:r>
        <w:rPr>
          <w:rStyle w:val="reference-mixed-citation"/>
          <w:rFonts w:ascii="Merriweather" w:hAnsi="Merriweather"/>
          <w:color w:val="2B2B2E"/>
        </w:rPr>
        <w:t>doi</w:t>
      </w:r>
      <w:proofErr w:type="spellEnd"/>
      <w:r>
        <w:rPr>
          <w:rStyle w:val="reference-mixed-citation"/>
          <w:rFonts w:ascii="Merriweather" w:hAnsi="Merriweather"/>
          <w:color w:val="2B2B2E"/>
        </w:rPr>
        <w:t>: </w:t>
      </w:r>
      <w:hyperlink r:id="rId89" w:tgtFrame="_blank" w:history="1">
        <w:r>
          <w:rPr>
            <w:rStyle w:val="Hyperlink"/>
            <w:rFonts w:ascii="Merriweather" w:hAnsi="Merriweather"/>
            <w:color w:val="007596"/>
          </w:rPr>
          <w:t>https://doi.org/10.1515/jbnst-2018-0001</w:t>
        </w:r>
      </w:hyperlink>
      <w:r>
        <w:rPr>
          <w:rStyle w:val="reference-mixed-citation"/>
          <w:rFonts w:ascii="Merriweather" w:hAnsi="Merriweather"/>
          <w:color w:val="2B2B2E"/>
        </w:rPr>
        <w:t>.</w:t>
      </w:r>
      <w:r>
        <w:rPr>
          <w:rFonts w:ascii="Merriweather" w:hAnsi="Merriweather"/>
          <w:color w:val="2B2B2E"/>
        </w:rPr>
        <w:t> </w:t>
      </w:r>
      <w:hyperlink r:id="rId90" w:tgtFrame="_blank" w:history="1">
        <w:r>
          <w:rPr>
            <w:rStyle w:val="Hyperlink"/>
            <w:rFonts w:ascii="Merriweather" w:hAnsi="Merriweather"/>
            <w:color w:val="007596"/>
          </w:rPr>
          <w:t>Search in Google Scholar</w:t>
        </w:r>
      </w:hyperlink>
    </w:p>
    <w:p w14:paraId="1B95A23E" w14:textId="77777777" w:rsidR="005B6B5D" w:rsidRDefault="005B6B5D" w:rsidP="005B6B5D">
      <w:pPr>
        <w:pStyle w:val="reference"/>
        <w:shd w:val="clear" w:color="auto" w:fill="FFFFFF"/>
        <w:spacing w:before="240" w:beforeAutospacing="0" w:after="240" w:afterAutospacing="0" w:line="432" w:lineRule="atLeast"/>
        <w:rPr>
          <w:rFonts w:ascii="Merriweather" w:hAnsi="Merriweather"/>
          <w:color w:val="2B2B2E"/>
        </w:rPr>
      </w:pPr>
      <w:r>
        <w:rPr>
          <w:rStyle w:val="reference-mixed-citation"/>
          <w:rFonts w:ascii="Merriweather" w:hAnsi="Merriweather"/>
          <w:color w:val="2B2B2E"/>
        </w:rPr>
        <w:t xml:space="preserve">Wagner, G.G., J.R. Frick, J. Schupp (2007), The German Socio-Economic Panel Study (SOEP) – Scope, Evolution and Enhancements, </w:t>
      </w:r>
      <w:proofErr w:type="spellStart"/>
      <w:r>
        <w:rPr>
          <w:rStyle w:val="reference-mixed-citation"/>
          <w:rFonts w:ascii="Merriweather" w:hAnsi="Merriweather"/>
          <w:color w:val="2B2B2E"/>
        </w:rPr>
        <w:t>Schmollers</w:t>
      </w:r>
      <w:proofErr w:type="spellEnd"/>
      <w:r>
        <w:rPr>
          <w:rStyle w:val="reference-mixed-citation"/>
          <w:rFonts w:ascii="Merriweather" w:hAnsi="Merriweather"/>
          <w:color w:val="2B2B2E"/>
        </w:rPr>
        <w:t xml:space="preserve"> </w:t>
      </w:r>
      <w:proofErr w:type="spellStart"/>
      <w:r>
        <w:rPr>
          <w:rStyle w:val="reference-mixed-citation"/>
          <w:rFonts w:ascii="Merriweather" w:hAnsi="Merriweather"/>
          <w:color w:val="2B2B2E"/>
        </w:rPr>
        <w:t>Jahrbuch</w:t>
      </w:r>
      <w:proofErr w:type="spellEnd"/>
      <w:r>
        <w:rPr>
          <w:rStyle w:val="reference-mixed-citation"/>
          <w:rFonts w:ascii="Merriweather" w:hAnsi="Merriweather"/>
          <w:color w:val="2B2B2E"/>
        </w:rPr>
        <w:t xml:space="preserve">. </w:t>
      </w:r>
      <w:r>
        <w:rPr>
          <w:rStyle w:val="reference-mixed-citation"/>
          <w:rFonts w:ascii="Merriweather" w:hAnsi="Merriweather"/>
          <w:color w:val="2B2B2E"/>
        </w:rPr>
        <w:lastRenderedPageBreak/>
        <w:t>Journal of Applied Social Science Studies 127(1): 139–169.</w:t>
      </w:r>
      <w:r>
        <w:rPr>
          <w:rFonts w:ascii="Merriweather" w:hAnsi="Merriweather"/>
          <w:color w:val="2B2B2E"/>
        </w:rPr>
        <w:t> </w:t>
      </w:r>
      <w:hyperlink r:id="rId91" w:tgtFrame="_blank" w:history="1">
        <w:r>
          <w:rPr>
            <w:rStyle w:val="Hyperlink"/>
            <w:rFonts w:ascii="Merriweather" w:hAnsi="Merriweather"/>
            <w:color w:val="004F66"/>
          </w:rPr>
          <w:t>Search in Google Schola</w:t>
        </w:r>
      </w:hyperlink>
    </w:p>
    <w:p w14:paraId="0CF81150" w14:textId="77777777" w:rsidR="005B6B5D" w:rsidRDefault="005B6B5D">
      <w:pPr>
        <w:ind w:left="10" w:right="10"/>
      </w:pPr>
    </w:p>
    <w:p w14:paraId="02DA9703" w14:textId="16E011AE" w:rsidR="005B6B5D" w:rsidRDefault="005B6B5D">
      <w:pPr>
        <w:ind w:left="10" w:right="10"/>
      </w:pPr>
    </w:p>
    <w:p w14:paraId="2D12ED8C" w14:textId="4A2FDA37" w:rsidR="005B6B5D" w:rsidRDefault="005B6B5D">
      <w:pPr>
        <w:ind w:left="10" w:right="10"/>
      </w:pPr>
    </w:p>
    <w:p w14:paraId="28D35F53" w14:textId="4FFCC9D8" w:rsidR="005B6B5D" w:rsidRDefault="005B6B5D">
      <w:pPr>
        <w:ind w:left="10" w:right="10"/>
      </w:pPr>
    </w:p>
    <w:p w14:paraId="2FD84361" w14:textId="169DA6E6" w:rsidR="005B6B5D" w:rsidRDefault="005B6B5D">
      <w:pPr>
        <w:ind w:left="10" w:right="10"/>
      </w:pPr>
    </w:p>
    <w:p w14:paraId="3918840C" w14:textId="7C8E8690" w:rsidR="005B6B5D" w:rsidRDefault="005B6B5D">
      <w:pPr>
        <w:ind w:left="10" w:right="10"/>
      </w:pPr>
    </w:p>
    <w:p w14:paraId="02CD4A16" w14:textId="189FE691" w:rsidR="005B6B5D" w:rsidRDefault="005B6B5D">
      <w:pPr>
        <w:ind w:left="10" w:right="10"/>
      </w:pPr>
    </w:p>
    <w:p w14:paraId="495D0179" w14:textId="100E63AA" w:rsidR="005B6B5D" w:rsidRDefault="005B6B5D">
      <w:pPr>
        <w:ind w:left="10" w:right="10"/>
      </w:pPr>
    </w:p>
    <w:p w14:paraId="13122908" w14:textId="3ABCDB31" w:rsidR="005B6B5D" w:rsidRDefault="005B6B5D">
      <w:pPr>
        <w:ind w:left="10" w:right="10"/>
      </w:pPr>
    </w:p>
    <w:p w14:paraId="7A31C4FB" w14:textId="625EDDBF" w:rsidR="005B6B5D" w:rsidRDefault="005B6B5D">
      <w:pPr>
        <w:ind w:left="10" w:right="10"/>
      </w:pPr>
    </w:p>
    <w:p w14:paraId="6C6DDF4C" w14:textId="4E1C4A90" w:rsidR="005B6B5D" w:rsidRDefault="005B6B5D">
      <w:pPr>
        <w:ind w:left="10" w:right="10"/>
      </w:pPr>
    </w:p>
    <w:p w14:paraId="2E655C24" w14:textId="018CA527" w:rsidR="005B6B5D" w:rsidRDefault="005B6B5D">
      <w:pPr>
        <w:ind w:left="10" w:right="10"/>
      </w:pPr>
    </w:p>
    <w:p w14:paraId="0BA87501" w14:textId="589D64CE" w:rsidR="005B6B5D" w:rsidRDefault="005B6B5D">
      <w:pPr>
        <w:ind w:left="10" w:right="10"/>
      </w:pPr>
    </w:p>
    <w:p w14:paraId="29311615" w14:textId="5B28DA53" w:rsidR="005B6B5D" w:rsidRDefault="005B6B5D">
      <w:pPr>
        <w:ind w:left="10" w:right="10"/>
      </w:pPr>
    </w:p>
    <w:p w14:paraId="494C92EB" w14:textId="19AD2960" w:rsidR="005B6B5D" w:rsidRDefault="005B6B5D">
      <w:pPr>
        <w:ind w:left="10" w:right="10"/>
      </w:pPr>
    </w:p>
    <w:p w14:paraId="2318FFD9" w14:textId="111BF59C" w:rsidR="005B6B5D" w:rsidRDefault="005B6B5D">
      <w:pPr>
        <w:ind w:left="10" w:right="10"/>
      </w:pPr>
    </w:p>
    <w:p w14:paraId="78AA29F9" w14:textId="33194086" w:rsidR="005B6B5D" w:rsidRDefault="005B6B5D">
      <w:pPr>
        <w:ind w:left="10" w:right="10"/>
      </w:pPr>
    </w:p>
    <w:p w14:paraId="6ACD3350" w14:textId="77777777" w:rsidR="005B6B5D" w:rsidRDefault="005B6B5D">
      <w:pPr>
        <w:ind w:left="10" w:right="10"/>
      </w:pPr>
    </w:p>
    <w:sectPr w:rsidR="005B6B5D">
      <w:headerReference w:type="default" r:id="rId92"/>
      <w:pgSz w:w="12240" w:h="15840"/>
      <w:pgMar w:top="1470" w:right="1445" w:bottom="149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6044F" w14:textId="77777777" w:rsidR="001A19F7" w:rsidRDefault="001A19F7" w:rsidP="007B1100">
      <w:pPr>
        <w:spacing w:after="0" w:line="240" w:lineRule="auto"/>
      </w:pPr>
      <w:r>
        <w:separator/>
      </w:r>
    </w:p>
  </w:endnote>
  <w:endnote w:type="continuationSeparator" w:id="0">
    <w:p w14:paraId="0B86BB11" w14:textId="77777777" w:rsidR="001A19F7" w:rsidRDefault="001A19F7" w:rsidP="007B1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MS PMincho">
    <w:charset w:val="80"/>
    <w:family w:val="roman"/>
    <w:pitch w:val="variable"/>
    <w:sig w:usb0="E00002FF" w:usb1="6AC7FDFB" w:usb2="08000012" w:usb3="00000000" w:csb0="0002009F" w:csb1="00000000"/>
  </w:font>
  <w:font w:name="Amasis MT Pro Black">
    <w:charset w:val="00"/>
    <w:family w:val="roman"/>
    <w:pitch w:val="variable"/>
    <w:sig w:usb0="A00000AF" w:usb1="4000205B" w:usb2="00000000" w:usb3="00000000" w:csb0="00000093" w:csb1="00000000"/>
  </w:font>
  <w:font w:name="Nunito Sans">
    <w:charset w:val="00"/>
    <w:family w:val="auto"/>
    <w:pitch w:val="variable"/>
    <w:sig w:usb0="A00002FF" w:usb1="5000204B" w:usb2="00000000" w:usb3="00000000" w:csb0="00000197" w:csb1="00000000"/>
  </w:font>
  <w:font w:name="Montserrat">
    <w:charset w:val="00"/>
    <w:family w:val="auto"/>
    <w:pitch w:val="variable"/>
    <w:sig w:usb0="2000020F" w:usb1="00000003" w:usb2="00000000" w:usb3="00000000" w:csb0="00000197" w:csb1="00000000"/>
  </w:font>
  <w:font w:name="Merriweather">
    <w:charset w:val="00"/>
    <w:family w:val="auto"/>
    <w:pitch w:val="variable"/>
    <w:sig w:usb0="20000207" w:usb1="00000002"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69EEF" w14:textId="77777777" w:rsidR="001A19F7" w:rsidRDefault="001A19F7" w:rsidP="007B1100">
      <w:pPr>
        <w:spacing w:after="0" w:line="240" w:lineRule="auto"/>
      </w:pPr>
      <w:r>
        <w:separator/>
      </w:r>
    </w:p>
  </w:footnote>
  <w:footnote w:type="continuationSeparator" w:id="0">
    <w:p w14:paraId="726903A2" w14:textId="77777777" w:rsidR="001A19F7" w:rsidRDefault="001A19F7" w:rsidP="007B11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D527F" w14:textId="77777777" w:rsidR="007B1100" w:rsidRPr="007B1100" w:rsidRDefault="007B110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4638D"/>
    <w:multiLevelType w:val="hybridMultilevel"/>
    <w:tmpl w:val="FFFFFFFF"/>
    <w:lvl w:ilvl="0" w:tplc="A32C74A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86022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50890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0EC53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E48B1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2C810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127A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F895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4EBB5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7005FF"/>
    <w:multiLevelType w:val="hybridMultilevel"/>
    <w:tmpl w:val="FFFFFFFF"/>
    <w:lvl w:ilvl="0" w:tplc="50B4873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8CFE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3CEAC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CE53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CA546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964F7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B4CBF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6AE15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DC0E1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06F60A4"/>
    <w:multiLevelType w:val="multilevel"/>
    <w:tmpl w:val="9E3CF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B2451E"/>
    <w:multiLevelType w:val="hybridMultilevel"/>
    <w:tmpl w:val="FFFFFFFF"/>
    <w:lvl w:ilvl="0" w:tplc="BA4C9E90">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903908">
      <w:start w:val="1"/>
      <w:numFmt w:val="bullet"/>
      <w:lvlText w:val="o"/>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B23DB6">
      <w:start w:val="1"/>
      <w:numFmt w:val="bullet"/>
      <w:lvlText w:val="▪"/>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DE8A4A">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907B32">
      <w:start w:val="1"/>
      <w:numFmt w:val="bullet"/>
      <w:lvlText w:val="o"/>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DC10C2">
      <w:start w:val="1"/>
      <w:numFmt w:val="bullet"/>
      <w:lvlText w:val="▪"/>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3E4770">
      <w:start w:val="1"/>
      <w:numFmt w:val="bullet"/>
      <w:lvlText w:val="•"/>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0A68C4">
      <w:start w:val="1"/>
      <w:numFmt w:val="bullet"/>
      <w:lvlText w:val="o"/>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C08DAA">
      <w:start w:val="1"/>
      <w:numFmt w:val="bullet"/>
      <w:lvlText w:val="▪"/>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DB429AA"/>
    <w:multiLevelType w:val="multilevel"/>
    <w:tmpl w:val="0CBA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42781C"/>
    <w:multiLevelType w:val="hybridMultilevel"/>
    <w:tmpl w:val="FFFFFFFF"/>
    <w:lvl w:ilvl="0" w:tplc="386E2450">
      <w:start w:val="1"/>
      <w:numFmt w:val="bullet"/>
      <w:lvlText w:val="●"/>
      <w:lvlJc w:val="left"/>
      <w:pPr>
        <w:ind w:left="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5026CA">
      <w:start w:val="1"/>
      <w:numFmt w:val="bullet"/>
      <w:lvlText w:val="o"/>
      <w:lvlJc w:val="left"/>
      <w:pPr>
        <w:ind w:left="12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B98EA62">
      <w:start w:val="1"/>
      <w:numFmt w:val="bullet"/>
      <w:lvlText w:val="▪"/>
      <w:lvlJc w:val="left"/>
      <w:pPr>
        <w:ind w:left="20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24CBB62">
      <w:start w:val="1"/>
      <w:numFmt w:val="bullet"/>
      <w:lvlText w:val="•"/>
      <w:lvlJc w:val="left"/>
      <w:pPr>
        <w:ind w:left="27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8060F4">
      <w:start w:val="1"/>
      <w:numFmt w:val="bullet"/>
      <w:lvlText w:val="o"/>
      <w:lvlJc w:val="left"/>
      <w:pPr>
        <w:ind w:left="3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3D2A736">
      <w:start w:val="1"/>
      <w:numFmt w:val="bullet"/>
      <w:lvlText w:val="▪"/>
      <w:lvlJc w:val="left"/>
      <w:pPr>
        <w:ind w:left="41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AE89370">
      <w:start w:val="1"/>
      <w:numFmt w:val="bullet"/>
      <w:lvlText w:val="•"/>
      <w:lvlJc w:val="left"/>
      <w:pPr>
        <w:ind w:left="48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C06620">
      <w:start w:val="1"/>
      <w:numFmt w:val="bullet"/>
      <w:lvlText w:val="o"/>
      <w:lvlJc w:val="left"/>
      <w:pPr>
        <w:ind w:left="56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4F2F606">
      <w:start w:val="1"/>
      <w:numFmt w:val="bullet"/>
      <w:lvlText w:val="▪"/>
      <w:lvlJc w:val="left"/>
      <w:pPr>
        <w:ind w:left="63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74E0093"/>
    <w:multiLevelType w:val="hybridMultilevel"/>
    <w:tmpl w:val="FFFFFFFF"/>
    <w:lvl w:ilvl="0" w:tplc="7ED65990">
      <w:start w:val="1"/>
      <w:numFmt w:val="upperRoman"/>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E5E91A4">
      <w:start w:val="1"/>
      <w:numFmt w:val="lowerLetter"/>
      <w:lvlText w:val="%2"/>
      <w:lvlJc w:val="left"/>
      <w:pPr>
        <w:ind w:left="11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D1EB188">
      <w:start w:val="1"/>
      <w:numFmt w:val="lowerRoman"/>
      <w:lvlText w:val="%3"/>
      <w:lvlJc w:val="left"/>
      <w:pPr>
        <w:ind w:left="18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A50C7AC">
      <w:start w:val="1"/>
      <w:numFmt w:val="decimal"/>
      <w:lvlText w:val="%4"/>
      <w:lvlJc w:val="left"/>
      <w:pPr>
        <w:ind w:left="26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9C8AB48">
      <w:start w:val="1"/>
      <w:numFmt w:val="lowerLetter"/>
      <w:lvlText w:val="%5"/>
      <w:lvlJc w:val="left"/>
      <w:pPr>
        <w:ind w:left="33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926DC5C">
      <w:start w:val="1"/>
      <w:numFmt w:val="lowerRoman"/>
      <w:lvlText w:val="%6"/>
      <w:lvlJc w:val="left"/>
      <w:pPr>
        <w:ind w:left="40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74A3DC0">
      <w:start w:val="1"/>
      <w:numFmt w:val="decimal"/>
      <w:lvlText w:val="%7"/>
      <w:lvlJc w:val="left"/>
      <w:pPr>
        <w:ind w:left="47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5BC353C">
      <w:start w:val="1"/>
      <w:numFmt w:val="lowerLetter"/>
      <w:lvlText w:val="%8"/>
      <w:lvlJc w:val="left"/>
      <w:pPr>
        <w:ind w:left="54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4EA5EDA">
      <w:start w:val="1"/>
      <w:numFmt w:val="lowerRoman"/>
      <w:lvlText w:val="%9"/>
      <w:lvlJc w:val="left"/>
      <w:pPr>
        <w:ind w:left="62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CBA1EAD"/>
    <w:multiLevelType w:val="multilevel"/>
    <w:tmpl w:val="1B68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823912"/>
    <w:multiLevelType w:val="hybridMultilevel"/>
    <w:tmpl w:val="FFFFFFFF"/>
    <w:lvl w:ilvl="0" w:tplc="4AB69C68">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B0312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2C094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9C189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9ED8C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740D8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7ADC8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2EEAE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4625A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8D1475E"/>
    <w:multiLevelType w:val="hybridMultilevel"/>
    <w:tmpl w:val="FFFFFFFF"/>
    <w:lvl w:ilvl="0" w:tplc="5FA2282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78EE1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88B4D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E6D77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747AA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36C4B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BC7B7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1CE7A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48B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CA819E2"/>
    <w:multiLevelType w:val="hybridMultilevel"/>
    <w:tmpl w:val="E25A33A6"/>
    <w:lvl w:ilvl="0" w:tplc="98989502">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8"/>
  </w:num>
  <w:num w:numId="3">
    <w:abstractNumId w:val="3"/>
  </w:num>
  <w:num w:numId="4">
    <w:abstractNumId w:val="0"/>
  </w:num>
  <w:num w:numId="5">
    <w:abstractNumId w:val="5"/>
  </w:num>
  <w:num w:numId="6">
    <w:abstractNumId w:val="9"/>
  </w:num>
  <w:num w:numId="7">
    <w:abstractNumId w:val="6"/>
  </w:num>
  <w:num w:numId="8">
    <w:abstractNumId w:val="7"/>
  </w:num>
  <w:num w:numId="9">
    <w:abstractNumId w:val="10"/>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AAD"/>
    <w:rsid w:val="00037841"/>
    <w:rsid w:val="000E0BFC"/>
    <w:rsid w:val="000E2D92"/>
    <w:rsid w:val="00102F71"/>
    <w:rsid w:val="0019505B"/>
    <w:rsid w:val="001A19F7"/>
    <w:rsid w:val="001B6FCE"/>
    <w:rsid w:val="001E4E68"/>
    <w:rsid w:val="00235BC8"/>
    <w:rsid w:val="002C5155"/>
    <w:rsid w:val="003013D8"/>
    <w:rsid w:val="00333D45"/>
    <w:rsid w:val="003C344E"/>
    <w:rsid w:val="003D3411"/>
    <w:rsid w:val="004719F5"/>
    <w:rsid w:val="004D4B59"/>
    <w:rsid w:val="00542C08"/>
    <w:rsid w:val="005B6B5D"/>
    <w:rsid w:val="005C7C0D"/>
    <w:rsid w:val="006B31EA"/>
    <w:rsid w:val="006C5C2A"/>
    <w:rsid w:val="006D5AFD"/>
    <w:rsid w:val="006F61FE"/>
    <w:rsid w:val="007B1100"/>
    <w:rsid w:val="007C4BC6"/>
    <w:rsid w:val="00833338"/>
    <w:rsid w:val="008C1C06"/>
    <w:rsid w:val="008F0487"/>
    <w:rsid w:val="008F322E"/>
    <w:rsid w:val="009218FE"/>
    <w:rsid w:val="00966F24"/>
    <w:rsid w:val="009A608A"/>
    <w:rsid w:val="009B3F69"/>
    <w:rsid w:val="00A274E3"/>
    <w:rsid w:val="00A40AAD"/>
    <w:rsid w:val="00AB31D4"/>
    <w:rsid w:val="00AF5D82"/>
    <w:rsid w:val="00B82A43"/>
    <w:rsid w:val="00BC7A63"/>
    <w:rsid w:val="00CD5EF8"/>
    <w:rsid w:val="00CF7AA3"/>
    <w:rsid w:val="00F1046E"/>
    <w:rsid w:val="00F1572E"/>
    <w:rsid w:val="00F43260"/>
    <w:rsid w:val="00F57F3B"/>
    <w:rsid w:val="00F777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A75C8"/>
  <w15:docId w15:val="{6CD0AD4E-9937-DF4C-9253-4C70FDC9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37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7"/>
      </w:numPr>
      <w:spacing w:after="333" w:line="267" w:lineRule="auto"/>
      <w:ind w:left="10" w:hanging="10"/>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semiHidden/>
    <w:unhideWhenUsed/>
    <w:qFormat/>
    <w:rsid w:val="002C51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6B5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5">
    <w:name w:val="heading 5"/>
    <w:basedOn w:val="Normal"/>
    <w:next w:val="Normal"/>
    <w:link w:val="Heading5Char"/>
    <w:uiPriority w:val="9"/>
    <w:semiHidden/>
    <w:unhideWhenUsed/>
    <w:qFormat/>
    <w:rsid w:val="0019505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Header">
    <w:name w:val="header"/>
    <w:basedOn w:val="Normal"/>
    <w:link w:val="HeaderChar"/>
    <w:uiPriority w:val="99"/>
    <w:unhideWhenUsed/>
    <w:rsid w:val="007B11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100"/>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7B11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100"/>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833338"/>
    <w:rPr>
      <w:color w:val="0563C1" w:themeColor="hyperlink"/>
      <w:u w:val="single"/>
    </w:rPr>
  </w:style>
  <w:style w:type="character" w:styleId="UnresolvedMention">
    <w:name w:val="Unresolved Mention"/>
    <w:basedOn w:val="DefaultParagraphFont"/>
    <w:uiPriority w:val="99"/>
    <w:semiHidden/>
    <w:unhideWhenUsed/>
    <w:rsid w:val="00833338"/>
    <w:rPr>
      <w:color w:val="605E5C"/>
      <w:shd w:val="clear" w:color="auto" w:fill="E1DFDD"/>
    </w:rPr>
  </w:style>
  <w:style w:type="character" w:customStyle="1" w:styleId="Heading5Char">
    <w:name w:val="Heading 5 Char"/>
    <w:basedOn w:val="DefaultParagraphFont"/>
    <w:link w:val="Heading5"/>
    <w:uiPriority w:val="9"/>
    <w:semiHidden/>
    <w:rsid w:val="0019505B"/>
    <w:rPr>
      <w:rFonts w:asciiTheme="majorHAnsi" w:eastAsiaTheme="majorEastAsia" w:hAnsiTheme="majorHAnsi" w:cstheme="majorBidi"/>
      <w:color w:val="2F5496" w:themeColor="accent1" w:themeShade="BF"/>
      <w:sz w:val="24"/>
    </w:rPr>
  </w:style>
  <w:style w:type="character" w:styleId="Strong">
    <w:name w:val="Strong"/>
    <w:basedOn w:val="DefaultParagraphFont"/>
    <w:uiPriority w:val="22"/>
    <w:qFormat/>
    <w:rsid w:val="0019505B"/>
    <w:rPr>
      <w:b/>
      <w:bCs/>
    </w:rPr>
  </w:style>
  <w:style w:type="paragraph" w:styleId="NormalWeb">
    <w:name w:val="Normal (Web)"/>
    <w:basedOn w:val="Normal"/>
    <w:uiPriority w:val="99"/>
    <w:unhideWhenUsed/>
    <w:rsid w:val="0019505B"/>
    <w:pPr>
      <w:spacing w:before="100" w:beforeAutospacing="1" w:after="100" w:afterAutospacing="1" w:line="240" w:lineRule="auto"/>
      <w:ind w:left="0" w:firstLine="0"/>
    </w:pPr>
    <w:rPr>
      <w:color w:val="auto"/>
      <w:szCs w:val="24"/>
      <w:lang w:eastAsia="en-IN"/>
    </w:rPr>
  </w:style>
  <w:style w:type="character" w:customStyle="1" w:styleId="Heading3Char">
    <w:name w:val="Heading 3 Char"/>
    <w:basedOn w:val="DefaultParagraphFont"/>
    <w:link w:val="Heading3"/>
    <w:uiPriority w:val="9"/>
    <w:semiHidden/>
    <w:rsid w:val="005B6B5D"/>
    <w:rPr>
      <w:rFonts w:asciiTheme="majorHAnsi" w:eastAsiaTheme="majorEastAsia" w:hAnsiTheme="majorHAnsi" w:cstheme="majorBidi"/>
      <w:color w:val="1F3763" w:themeColor="accent1" w:themeShade="7F"/>
      <w:sz w:val="24"/>
      <w:szCs w:val="24"/>
    </w:rPr>
  </w:style>
  <w:style w:type="paragraph" w:customStyle="1" w:styleId="reference">
    <w:name w:val="reference"/>
    <w:basedOn w:val="Normal"/>
    <w:rsid w:val="005B6B5D"/>
    <w:pPr>
      <w:spacing w:before="100" w:beforeAutospacing="1" w:after="100" w:afterAutospacing="1" w:line="240" w:lineRule="auto"/>
      <w:ind w:left="0" w:firstLine="0"/>
    </w:pPr>
    <w:rPr>
      <w:color w:val="auto"/>
      <w:szCs w:val="24"/>
      <w:lang w:eastAsia="en-IN"/>
    </w:rPr>
  </w:style>
  <w:style w:type="character" w:customStyle="1" w:styleId="reference-mixed-citation">
    <w:name w:val="reference-mixed-citation"/>
    <w:basedOn w:val="DefaultParagraphFont"/>
    <w:rsid w:val="005B6B5D"/>
  </w:style>
  <w:style w:type="character" w:customStyle="1" w:styleId="Heading2Char">
    <w:name w:val="Heading 2 Char"/>
    <w:basedOn w:val="DefaultParagraphFont"/>
    <w:link w:val="Heading2"/>
    <w:uiPriority w:val="9"/>
    <w:semiHidden/>
    <w:rsid w:val="002C5155"/>
    <w:rPr>
      <w:rFonts w:asciiTheme="majorHAnsi" w:eastAsiaTheme="majorEastAsia" w:hAnsiTheme="majorHAnsi" w:cstheme="majorBidi"/>
      <w:color w:val="2F5496" w:themeColor="accent1" w:themeShade="BF"/>
      <w:sz w:val="26"/>
      <w:szCs w:val="26"/>
    </w:rPr>
  </w:style>
  <w:style w:type="character" w:customStyle="1" w:styleId="label">
    <w:name w:val="label"/>
    <w:basedOn w:val="DefaultParagraphFont"/>
    <w:rsid w:val="00F43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200721">
      <w:bodyDiv w:val="1"/>
      <w:marLeft w:val="0"/>
      <w:marRight w:val="0"/>
      <w:marTop w:val="0"/>
      <w:marBottom w:val="0"/>
      <w:divBdr>
        <w:top w:val="none" w:sz="0" w:space="0" w:color="auto"/>
        <w:left w:val="none" w:sz="0" w:space="0" w:color="auto"/>
        <w:bottom w:val="none" w:sz="0" w:space="0" w:color="auto"/>
        <w:right w:val="none" w:sz="0" w:space="0" w:color="auto"/>
      </w:divBdr>
      <w:divsChild>
        <w:div w:id="25907690">
          <w:marLeft w:val="0"/>
          <w:marRight w:val="0"/>
          <w:marTop w:val="0"/>
          <w:marBottom w:val="0"/>
          <w:divBdr>
            <w:top w:val="none" w:sz="0" w:space="0" w:color="auto"/>
            <w:left w:val="none" w:sz="0" w:space="0" w:color="auto"/>
            <w:bottom w:val="none" w:sz="0" w:space="0" w:color="auto"/>
            <w:right w:val="none" w:sz="0" w:space="0" w:color="auto"/>
          </w:divBdr>
          <w:divsChild>
            <w:div w:id="882062319">
              <w:marLeft w:val="0"/>
              <w:marRight w:val="0"/>
              <w:marTop w:val="0"/>
              <w:marBottom w:val="0"/>
              <w:divBdr>
                <w:top w:val="none" w:sz="0" w:space="0" w:color="auto"/>
                <w:left w:val="none" w:sz="0" w:space="0" w:color="auto"/>
                <w:bottom w:val="none" w:sz="0" w:space="0" w:color="auto"/>
                <w:right w:val="none" w:sz="0" w:space="0" w:color="auto"/>
              </w:divBdr>
            </w:div>
            <w:div w:id="179471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7482">
      <w:bodyDiv w:val="1"/>
      <w:marLeft w:val="0"/>
      <w:marRight w:val="0"/>
      <w:marTop w:val="0"/>
      <w:marBottom w:val="0"/>
      <w:divBdr>
        <w:top w:val="none" w:sz="0" w:space="0" w:color="auto"/>
        <w:left w:val="none" w:sz="0" w:space="0" w:color="auto"/>
        <w:bottom w:val="none" w:sz="0" w:space="0" w:color="auto"/>
        <w:right w:val="none" w:sz="0" w:space="0" w:color="auto"/>
      </w:divBdr>
    </w:div>
    <w:div w:id="1037198152">
      <w:bodyDiv w:val="1"/>
      <w:marLeft w:val="0"/>
      <w:marRight w:val="0"/>
      <w:marTop w:val="0"/>
      <w:marBottom w:val="0"/>
      <w:divBdr>
        <w:top w:val="none" w:sz="0" w:space="0" w:color="auto"/>
        <w:left w:val="none" w:sz="0" w:space="0" w:color="auto"/>
        <w:bottom w:val="none" w:sz="0" w:space="0" w:color="auto"/>
        <w:right w:val="none" w:sz="0" w:space="0" w:color="auto"/>
      </w:divBdr>
      <w:divsChild>
        <w:div w:id="1310327636">
          <w:marLeft w:val="0"/>
          <w:marRight w:val="0"/>
          <w:marTop w:val="0"/>
          <w:marBottom w:val="0"/>
          <w:divBdr>
            <w:top w:val="none" w:sz="0" w:space="0" w:color="auto"/>
            <w:left w:val="none" w:sz="0" w:space="0" w:color="auto"/>
            <w:bottom w:val="none" w:sz="0" w:space="0" w:color="auto"/>
            <w:right w:val="none" w:sz="0" w:space="0" w:color="auto"/>
          </w:divBdr>
        </w:div>
        <w:div w:id="1173958792">
          <w:marLeft w:val="0"/>
          <w:marRight w:val="0"/>
          <w:marTop w:val="0"/>
          <w:marBottom w:val="0"/>
          <w:divBdr>
            <w:top w:val="none" w:sz="0" w:space="0" w:color="auto"/>
            <w:left w:val="none" w:sz="0" w:space="0" w:color="auto"/>
            <w:bottom w:val="none" w:sz="0" w:space="0" w:color="auto"/>
            <w:right w:val="none" w:sz="0" w:space="0" w:color="auto"/>
          </w:divBdr>
        </w:div>
        <w:div w:id="2033922607">
          <w:marLeft w:val="0"/>
          <w:marRight w:val="0"/>
          <w:marTop w:val="0"/>
          <w:marBottom w:val="0"/>
          <w:divBdr>
            <w:top w:val="none" w:sz="0" w:space="0" w:color="auto"/>
            <w:left w:val="none" w:sz="0" w:space="0" w:color="auto"/>
            <w:bottom w:val="none" w:sz="0" w:space="0" w:color="auto"/>
            <w:right w:val="none" w:sz="0" w:space="0" w:color="auto"/>
          </w:divBdr>
        </w:div>
        <w:div w:id="1101291768">
          <w:marLeft w:val="0"/>
          <w:marRight w:val="0"/>
          <w:marTop w:val="0"/>
          <w:marBottom w:val="0"/>
          <w:divBdr>
            <w:top w:val="none" w:sz="0" w:space="0" w:color="auto"/>
            <w:left w:val="none" w:sz="0" w:space="0" w:color="auto"/>
            <w:bottom w:val="none" w:sz="0" w:space="0" w:color="auto"/>
            <w:right w:val="none" w:sz="0" w:space="0" w:color="auto"/>
          </w:divBdr>
        </w:div>
      </w:divsChild>
    </w:div>
    <w:div w:id="1490361370">
      <w:bodyDiv w:val="1"/>
      <w:marLeft w:val="0"/>
      <w:marRight w:val="0"/>
      <w:marTop w:val="0"/>
      <w:marBottom w:val="0"/>
      <w:divBdr>
        <w:top w:val="none" w:sz="0" w:space="0" w:color="auto"/>
        <w:left w:val="none" w:sz="0" w:space="0" w:color="auto"/>
        <w:bottom w:val="none" w:sz="0" w:space="0" w:color="auto"/>
        <w:right w:val="none" w:sz="0" w:space="0" w:color="auto"/>
      </w:divBdr>
    </w:div>
    <w:div w:id="2075858791">
      <w:bodyDiv w:val="1"/>
      <w:marLeft w:val="0"/>
      <w:marRight w:val="0"/>
      <w:marTop w:val="0"/>
      <w:marBottom w:val="0"/>
      <w:divBdr>
        <w:top w:val="none" w:sz="0" w:space="0" w:color="auto"/>
        <w:left w:val="none" w:sz="0" w:space="0" w:color="auto"/>
        <w:bottom w:val="none" w:sz="0" w:space="0" w:color="auto"/>
        <w:right w:val="none" w:sz="0" w:space="0" w:color="auto"/>
      </w:divBdr>
      <w:divsChild>
        <w:div w:id="2104446525">
          <w:marLeft w:val="0"/>
          <w:marRight w:val="0"/>
          <w:marTop w:val="0"/>
          <w:marBottom w:val="0"/>
          <w:divBdr>
            <w:top w:val="none" w:sz="0" w:space="0" w:color="auto"/>
            <w:left w:val="none" w:sz="0" w:space="0" w:color="auto"/>
            <w:bottom w:val="none" w:sz="0" w:space="0" w:color="auto"/>
            <w:right w:val="none" w:sz="0" w:space="0" w:color="auto"/>
          </w:divBdr>
        </w:div>
        <w:div w:id="413863189">
          <w:marLeft w:val="0"/>
          <w:marRight w:val="0"/>
          <w:marTop w:val="0"/>
          <w:marBottom w:val="0"/>
          <w:divBdr>
            <w:top w:val="none" w:sz="0" w:space="0" w:color="auto"/>
            <w:left w:val="none" w:sz="0" w:space="0" w:color="auto"/>
            <w:bottom w:val="none" w:sz="0" w:space="0" w:color="auto"/>
            <w:right w:val="none" w:sz="0" w:space="0" w:color="auto"/>
          </w:divBdr>
        </w:div>
        <w:div w:id="1681853701">
          <w:marLeft w:val="0"/>
          <w:marRight w:val="0"/>
          <w:marTop w:val="0"/>
          <w:marBottom w:val="0"/>
          <w:divBdr>
            <w:top w:val="none" w:sz="0" w:space="0" w:color="auto"/>
            <w:left w:val="none" w:sz="0" w:space="0" w:color="auto"/>
            <w:bottom w:val="none" w:sz="0" w:space="0" w:color="auto"/>
            <w:right w:val="none" w:sz="0" w:space="0" w:color="auto"/>
          </w:divBdr>
        </w:div>
      </w:divsChild>
    </w:div>
    <w:div w:id="2076852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openxmlformats.org/officeDocument/2006/relationships/image" Target="media/image70.jpg"/><Relationship Id="rId42" Type="http://schemas.openxmlformats.org/officeDocument/2006/relationships/image" Target="media/image25.png"/><Relationship Id="rId47" Type="http://schemas.openxmlformats.org/officeDocument/2006/relationships/image" Target="media/image25.jpg"/><Relationship Id="rId63" Type="http://schemas.openxmlformats.org/officeDocument/2006/relationships/hyperlink" Target="http://www.inclusivegrowth.eu/visiting-grants" TargetMode="External"/><Relationship Id="rId68" Type="http://schemas.openxmlformats.org/officeDocument/2006/relationships/hyperlink" Target="http://www.nobelprize.org/mediaplayer/index.php?id=2585" TargetMode="External"/><Relationship Id="rId84" Type="http://schemas.openxmlformats.org/officeDocument/2006/relationships/hyperlink" Target="https://scholar.google.com/scholar?q=Schonlau,%20M.,%20M.%20Kroh,%20N.%20Watson%20(2013),%20The%20Implementation%20of%20Cross-Sectional%20Weights%20in%20Household%20Panel%20Surveys.%20Statistics%20Surveys%207:%2037%E2%80%9357.%20Schonlau%20M.%20Kroh%20M.%20Watson%20N.%202013%20The%20Implementation%20of%20Cross-Sectional%20Weights%20in%20Household%20Panel%20Surveys%20Statistics%20Surveys%207%2037%2057" TargetMode="External"/><Relationship Id="rId89" Type="http://schemas.openxmlformats.org/officeDocument/2006/relationships/hyperlink" Target="https://doi.org/10.1515/jbnst-2018-0001" TargetMode="External"/><Relationship Id="rId16" Type="http://schemas.openxmlformats.org/officeDocument/2006/relationships/image" Target="media/image5.jpg"/><Relationship Id="rId11" Type="http://schemas.openxmlformats.org/officeDocument/2006/relationships/image" Target="media/image2.jpg"/><Relationship Id="rId32" Type="http://schemas.openxmlformats.org/officeDocument/2006/relationships/image" Target="media/image17.jpg"/><Relationship Id="rId37" Type="http://schemas.openxmlformats.org/officeDocument/2006/relationships/image" Target="media/image22.jpg"/><Relationship Id="rId53" Type="http://schemas.openxmlformats.org/officeDocument/2006/relationships/image" Target="media/image30.jpg"/><Relationship Id="rId58" Type="http://schemas.openxmlformats.org/officeDocument/2006/relationships/hyperlink" Target="https://www.degruyter.com/document/doi/10.1515/jbnst-2018-0022/html" TargetMode="External"/><Relationship Id="rId74" Type="http://schemas.openxmlformats.org/officeDocument/2006/relationships/hyperlink" Target="https://scholar.google.com/scholar?q=Kroh,%20M.,%20R.%20Pischner,%20M.%20Spiess,%20G.%20Wagner%20(2008),%20On%20the%20Treatment%20of%20Non-Original%20Sample%20Members%20in%20the%20German%20Household%20Panel%20Study%20(SOEP):%20Tracing,%20Weighting,%20and%20Frequencies.%20Methoden,%20Daten,%20Analysen.%20Zeitschrift%20F%C3%BCr%20Empirische%20Sozialforschung%202:%20179%E2%80%93198.%20Kroh%20M.%20Pischner%20R.%20Spiess%20M.%20Wagner%20G.%202008%20On%20the%20Treatment%20of%20Non-Original%20Sample%20Members%20in%20the%20German%20Household%20Panel%20Study%20(SOEP):%20Tracing,%20Weighting,%20and%20Frequencies.%20Methoden,%20Daten,%20Analysen%20Zeitschrift%20F%C3%BCr%20Empirische%20Sozialforschung%202%20179%20198" TargetMode="External"/><Relationship Id="rId79" Type="http://schemas.openxmlformats.org/officeDocument/2006/relationships/hyperlink" Target="https://scholar.google.com/scholar?q=OECD%20(2015),%20In%20It%20Together:%20Why%20Less%20Inequality%20Benefits%20All.%20Paris.%20OECD%202015%20In%20It%20Together:%20Why%20Less%20Inequality%20Benefits%20All.%20Paris" TargetMode="External"/><Relationship Id="rId5" Type="http://schemas.openxmlformats.org/officeDocument/2006/relationships/footnotes" Target="footnotes.xml"/><Relationship Id="rId90" Type="http://schemas.openxmlformats.org/officeDocument/2006/relationships/hyperlink" Target="https://scholar.google.com/scholar?q=Spie%C3%9F,%20C.K.,%20Schober,%20P.S.,%20Stahl,%20J.F.%20(2018),%20Early%20Childhood%20Education%20and%20Care%20Quality%20in%20the%20Socio-Economic%20Panel%20(SOEP)%20%E2%80%93%20the%20K2ID-SOEP%20Study.%20Journal%20of%20Economics%20and%20Statistics%20(online%20first),%20doi:%20.%20Spie%C3%9F%20C.K.%20Schober%20P.S.%20Stahl%20J.F.%20Zoch%20G.%20Camehl%20G.F.%202018%20Early%20Childhood%20Education%20and%20Care%20Quality%20in%20the%20Socio-Economic%20Panel%20(SOEP)%20%E2%80%93%20the%20K2ID-SOEP%20Study.%20Journal%20of%20Economics%20and%20Statistics%20(online%20first),%20doi:" TargetMode="External"/><Relationship Id="rId22" Type="http://schemas.openxmlformats.org/officeDocument/2006/relationships/image" Target="media/image9.png"/><Relationship Id="rId27" Type="http://schemas.openxmlformats.org/officeDocument/2006/relationships/image" Target="media/image110.jpg"/><Relationship Id="rId43" Type="http://schemas.openxmlformats.org/officeDocument/2006/relationships/image" Target="media/image230.jpg"/><Relationship Id="rId48" Type="http://schemas.openxmlformats.org/officeDocument/2006/relationships/image" Target="media/image260.jpg"/><Relationship Id="rId64" Type="http://schemas.openxmlformats.org/officeDocument/2006/relationships/hyperlink" Target="http://www.diw.de/soepcampus" TargetMode="External"/><Relationship Id="rId69" Type="http://schemas.openxmlformats.org/officeDocument/2006/relationships/hyperlink" Target="https://scholar.google.com/scholar?q=Deaton,%20A.%20(2015),%20Nobel%20Prize%20Lecture%20by%20Angus%20Deaton.%20Available%20under:%20Deaton%20A.%202015%20Nobel%20Prize%20Lecture%20by%20Angus%20Deaton%20Available%20under:" TargetMode="External"/><Relationship Id="rId8" Type="http://schemas.openxmlformats.org/officeDocument/2006/relationships/hyperlink" Target="mailto:onlyteju5@gmail.com" TargetMode="External"/><Relationship Id="rId51" Type="http://schemas.openxmlformats.org/officeDocument/2006/relationships/image" Target="media/image270.jpg"/><Relationship Id="rId72" Type="http://schemas.openxmlformats.org/officeDocument/2006/relationships/hyperlink" Target="https://scholar.google.com/scholar?q=Federal%20Press%20Office%20(2016),%20Government%20Report%20on%20wellbeing%20in%20Germany.%20Berlin.%20Federal%20Press%20Office%202016%20Government%20Report%20on%20wellbeing%20in%20Germany.%20Berlin." TargetMode="External"/><Relationship Id="rId80" Type="http://schemas.openxmlformats.org/officeDocument/2006/relationships/hyperlink" Target="https://scholar.google.com/scholar?q=Rammstedt,%20B.,%20S.%20Martin,%20A.%20Zabal,%20C.%20Carstensen,%20J.%20Schupp%20(2017),%20The%20PIAAC%20Longitudinal%20Study%20in%20Germany:%20rationale%20and%20design.%20Large-Scale%20Assessments%20in%20Education%205:%204.%20Rammstedt%20B.%20Martin%20S.%20Zabal%20A.%20Carstensen%20C.%20Schupp%20J.%202017%20The%20PIAAC%20Longitudinal%20Study%20in%20Germany:%20rationale%20and%20design%20Large-Scale%20Assessments%20in%20Education%205%204" TargetMode="External"/><Relationship Id="rId85" Type="http://schemas.openxmlformats.org/officeDocument/2006/relationships/hyperlink" Target="https://scholar.google.com/scholar?q=Schonlau,%20M.,%20N.%20Watson,%20M.%20Kroh%20(2011),%20Household%20Survey%20Panels:%20How%20Much%20Do%20following%20Rules%20Affect%20Sample%20Size?%20Survey%20Research%20Methods%205:%2053%E2%80%9361.%20Schonlau%20M.%20Watson%20N.%20Kroh%20M.%202011%20Household%20Survey%20Panels:%20How%20Much%20Do%20following%20Rules%20Affect%20Sample%20Size?%20Survey%20Research%20Methods%205%2053%2061"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image" Target="media/image12.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27.jpg"/><Relationship Id="rId59" Type="http://schemas.openxmlformats.org/officeDocument/2006/relationships/hyperlink" Target="http://brise-bremen.de/wissenschaft/" TargetMode="External"/><Relationship Id="rId67" Type="http://schemas.openxmlformats.org/officeDocument/2006/relationships/hyperlink" Target="https://scholar.google.com/scholar?q=Bertram,%20L.,%20A.%20B%C3%B6ckenhoff,%20I.%20Demuth,%20S.%20D%C3%BCzel,%20R.%20Eckardt,%20S.-C.%20Li,%20U.%20Lindenberger,%20G.%20Pawelec,%20T.%20Siedler,%20G.G.%20Wagner,%20E.%20Steinhagen-Thiessen%20(2014),%20Cohort%20Profile:%20The%20Berlin%20Aging%20Study%20II%20(BASE-II).%20International%20Journal%20of%20Epidemiology%2043:%20703%E2%80%93712.%20Bertram%20L.%20B%C3%B6ckenhoff%20A.%20Demuth%20I.%20D%C3%BCzel%20S.%20Eckardt%20R.%20Li%20S.-C.%20Lindenberger%20U.%20Pawelec%20G.%20Siedler%20T.%20Wagner%20G.G.%20Steinhagen-Thiessen%20E.%202014%20Cohort%20Profile:%20The%20Berlin%20Aging%20Study%20II%20(BASE-II)%20International%20Journal%20of%20Epidemiology%2043%20703%20712" TargetMode="External"/><Relationship Id="rId20" Type="http://schemas.openxmlformats.org/officeDocument/2006/relationships/image" Target="media/image6.jpg"/><Relationship Id="rId41" Type="http://schemas.openxmlformats.org/officeDocument/2006/relationships/image" Target="media/image24.jpg"/><Relationship Id="rId54" Type="http://schemas.openxmlformats.org/officeDocument/2006/relationships/hyperlink" Target="https://www.diw.de/sixcms/detail.php?id=diw_01.c.814095.en" TargetMode="External"/><Relationship Id="rId62" Type="http://schemas.openxmlformats.org/officeDocument/2006/relationships/hyperlink" Target="https://www.diw.de/en/diw_02.c.222617.en/soep_in_residence.html" TargetMode="External"/><Relationship Id="rId70" Type="http://schemas.openxmlformats.org/officeDocument/2006/relationships/hyperlink" Target="https://scholar.google.com/scholar?q=Eisnecker,%20Ph.,%20K.%20Erhardt,%20M.%20Kroh,%20P.%20Tr%C3%BCbswetter%20(2017),%20The%20Request%20for%20Record%20Linkage%20in%20the%20IAB%20-SOEP%20Migration%20Sample.%20SOEP%20Survey%20Papers%20291,%20C.%20Eisnecker,%20Ph.%20K.%20Erhardt,%20M.%20Kroh,%20P.%20Tr%C3%BCbswetter%202017%20The%20Request%20for%20Record%20Linkage%20in%20the%20IAB%20-SOEP%20Migration%20Sample.%20SOEP%20Survey%20Papers%20291,%20C" TargetMode="External"/><Relationship Id="rId75" Type="http://schemas.openxmlformats.org/officeDocument/2006/relationships/hyperlink" Target="https://scholar.google.com/scholar?q=Kroh,%20M.,%20R.%20Siegers,%20S.%20K%C3%BChne%20(2015),%20Gewichtung%20und%20Integration%20von%20Auffrischungsstichproben%20am%20Beispiel%20des%20Sozio-oekonomischen%20Panels%20(SOEP)%20in:%20J.%20Schupp,%20C.%20Wolf%20(Hrsg.),%20Nonresponse%20Bias:%20Qualit%C3%A4tssicherung%20sozialwissenschaftlicher%20Umfragen.%20Wiesbaden,%20Springer%20VS%20Verlag.%20Kroh%20M.%20Siegers%20R.%20K%C3%BChne%20S.%202015%20Gewichtung%20und%20Integration%20von%20Auffrischungsstichproben%20am%20Beispiel%20des%20Sozio-oekonomischen%20Panels%20(SOEP)%20Schupp%20J.%20Wolf%20(Hrsg.)%20C.%20Nonresponse%20Bias:%20Qualit%C3%A4tssicherung%20sozialwissenschaftlicher%20Umfragen%20Wiesbaden%20Springer%20VS%20Verlag" TargetMode="External"/><Relationship Id="rId83" Type="http://schemas.openxmlformats.org/officeDocument/2006/relationships/hyperlink" Target="https://scholar.google.com/scholar?q=Richter,%20D.,%20J.%20Schupp%20(2015),%20The%20SOEP%20Innovation%20Sample%20(SOEP%20IS).%20Schmollers%20Jahrbuch%20135(3):%20389%E2%80%93399.%20Richter%20D.%20Schupp%20J.%202015%20The%20SOEP%20Innovation%20Sample%20(SOEP%20IS)%20Schmollers%20Jahrbuch%20135%203%20389%20399" TargetMode="External"/><Relationship Id="rId88" Type="http://schemas.openxmlformats.org/officeDocument/2006/relationships/hyperlink" Target="https://scholar.google.com/scholar?q=Siedler,%20T.,%20J.%20Schupp,%20C.K.%20Spie%C3%9F,%20G.G.%20Wagner%20(2009),%20The%20German%20Socio-Economic%20Panel%20(SOEP)%20as%20Reference%20Data%20Set.%20Schmollers%20Jahrbuch%20129(2):%20367%E2%80%93374.%20Siedler%20T.%20Schupp%20J.%20Spie%C3%9F%20C.K.%20Wagner%20G.G.%202009%20The%20German%20Socio-Economic%20Panel%20(SOEP)%20as%20Reference%20Data%20Set%20Schmollers%20Jahrbuch%20129%202%20367%20374" TargetMode="External"/><Relationship Id="rId91" Type="http://schemas.openxmlformats.org/officeDocument/2006/relationships/hyperlink" Target="https://scholar.google.com/scholar?q=Wagner,%20G.G.,%20J.R.%20Frick,%20J.%20Schupp%20(2007),%20The%20German%20Socio-Economic%20Panel%20Study%20(SOEP)%20%E2%80%93%20Scope,%20Evolution%20and%20Enhancements,%20Schmollers%20Jahrbuch.%20Journal%20of%20Applied%20Social%20Science%20Studies%20127(1):%20139%E2%80%93169.%20Wagner%20G.G.%20Frick%20J.R.%20Schupp%20J.%202007%20The%20German%20Socio-Economic%20Panel%20Study%20(SOEP)%20%E2%80%93%20Scope,%20Evolution%20and%20Enhancements,%20Schmollers%20Jahrbuch%20Journal%20of%20Applied%20Social%20Science%20Studies%20127%201%20139%2016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1.jpg"/><Relationship Id="rId23" Type="http://schemas.openxmlformats.org/officeDocument/2006/relationships/image" Target="media/image10.pn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image" Target="media/image28.jpg"/><Relationship Id="rId57" Type="http://schemas.openxmlformats.org/officeDocument/2006/relationships/hyperlink" Target="https://doi.org/10.5684/soep.v31" TargetMode="External"/><Relationship Id="rId10" Type="http://schemas.openxmlformats.org/officeDocument/2006/relationships/image" Target="media/image1.jpg"/><Relationship Id="rId31" Type="http://schemas.openxmlformats.org/officeDocument/2006/relationships/image" Target="media/image16.jpg"/><Relationship Id="rId44" Type="http://schemas.openxmlformats.org/officeDocument/2006/relationships/image" Target="media/image34.png"/><Relationship Id="rId52" Type="http://schemas.openxmlformats.org/officeDocument/2006/relationships/image" Target="media/image280.jpg"/><Relationship Id="rId60" Type="http://schemas.openxmlformats.org/officeDocument/2006/relationships/hyperlink" Target="http://www.diw.de/soep-contractmanagement" TargetMode="External"/><Relationship Id="rId65" Type="http://schemas.openxmlformats.org/officeDocument/2006/relationships/hyperlink" Target="https://www.degruyter.com/document/doi/10.1515/jbnst-2018-0022/html" TargetMode="External"/><Relationship Id="rId73" Type="http://schemas.openxmlformats.org/officeDocument/2006/relationships/hyperlink" Target="https://scholar.google.com/scholar?q=Goebel,%20J.,%20B.%20Pauer%20(2014),%20Datenschutzkonzept%20zur%20Nutzung%20von%20SOEPgeo%20im%20Forschungsdatenzentrum%20SOEP%20am%20DIW%20Berlin.%20Zeitschrift%20f%C3%BCr%20amtliche%20Statistik%20Berlin-Brandenburg%203:%2042%E2%80%9347.%20Goebel%20J.%20Pauer%20B.%202014%20Datenschutzkonzept%20zur%20Nutzung%20von%20SOEPgeo%20im%20Forschungsdatenzentrum%20SOEP%20am%20DIW%20Berlin%20Zeitschrift%20f%C3%BCr%20amtliche%20Statistik%20Berlin-Brandenburg%203%2042%2047" TargetMode="External"/><Relationship Id="rId78" Type="http://schemas.openxmlformats.org/officeDocument/2006/relationships/hyperlink" Target="https://scholar.google.com/scholar?q=OECD%20(2011),%20Divided%20We%20Stand:%20Why%20Inequality%20Keeps%20Rising.%20Paris.%20OECD%202011%20Divided%20We%20Stand:%20Why%20Inequality%20Keeps%20Rising.%20Paris" TargetMode="External"/><Relationship Id="rId81" Type="http://schemas.openxmlformats.org/officeDocument/2006/relationships/hyperlink" Target="https://scholar.google.com/scholar?q=Rendtel,%20U.%20(1995),%20Lebenslagen%20im%20Wandel:%20Panelausf%C3%A4lle%20und%20Panelrepr%C3%A4sentativit%C3%A4t.%20Campus%20Verlag,%20Frankfurt/New%20York.%20Rendtel%20U.%201995%20Lebenslagen%20im%20Wandel:%20Panelausf%C3%A4lle%20und%20Panelrepr%C3%A4sentativit%C3%A4t%20Campus%20Verlag,%20Frankfurt/New%20York" TargetMode="External"/><Relationship Id="rId86" Type="http://schemas.openxmlformats.org/officeDocument/2006/relationships/hyperlink" Target="https://scholar.google.com/scholar?q=Schr%C3%B6der,%20M.,%20R.%20Siegers,%20C.K.%20Spie%C3%9F%20(2013),%20%E2%80%9CFamilien%20in%20Deutschland%E2%80%9D%20%E2%80%93%20FiD.%20Schmollers%20Jahrbuch%20133(4):%20595%E2%80%93606.%20Schr%C3%B6der%20M.%20Siegers%20R.%20Spie%C3%9F%20C.K.%202013%20Familien%20in%20Deutschland%22%20%E2%80%93%20FiD.%20Schmollers%20Jahrbuch%20133(4):%20595%E2%80%93606"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dolaanand737@gmail.com" TargetMode="External"/><Relationship Id="rId13" Type="http://schemas.openxmlformats.org/officeDocument/2006/relationships/image" Target="media/image4.jpg"/><Relationship Id="rId18" Type="http://schemas.openxmlformats.org/officeDocument/2006/relationships/image" Target="media/image7.jpg"/><Relationship Id="rId39" Type="http://schemas.openxmlformats.org/officeDocument/2006/relationships/image" Target="media/image20.jpg"/><Relationship Id="rId34" Type="http://schemas.openxmlformats.org/officeDocument/2006/relationships/image" Target="media/image19.jpg"/><Relationship Id="rId50" Type="http://schemas.openxmlformats.org/officeDocument/2006/relationships/image" Target="media/image29.jpg"/><Relationship Id="rId55" Type="http://schemas.openxmlformats.org/officeDocument/2006/relationships/image" Target="media/image31.jpeg"/><Relationship Id="rId76" Type="http://schemas.openxmlformats.org/officeDocument/2006/relationships/hyperlink" Target="https://scholar.google.com/scholar?q=Kroh,%20M.,%20S.%20K%C3%BChne,%20R.%20Siegers,%20V.%20Belcheva%20(2018),%20SOEP-Core%20%E2%80%93%20Documentation%20of%20Sample%20Sizes%20and%20Panel%20Attrition%20(1984%20until%202016).%20SOEP%20Survey%20Paper%20480,%20Series%20C.%20Kroh%20M.%20K%C3%BChne%20R%20Siegers%20S.%20Belcheva%20V.%202018%20SOEP-Core%20%E2%80%93%20Documentation%20of%20Sample%20Sizes%20and%20Panel%20Attrition%20(1984%20until%202016).%20SOEP%20Survey%20Paper%20480,%20Series%20C" TargetMode="External"/><Relationship Id="rId7" Type="http://schemas.openxmlformats.org/officeDocument/2006/relationships/hyperlink" Target="mailto:sushmagh92@gmail.com" TargetMode="External"/><Relationship Id="rId71" Type="http://schemas.openxmlformats.org/officeDocument/2006/relationships/hyperlink" Target="https://scholar.google.com/scholar?q=Federal%20Ministry%20of%20Labour%20and%20Social%20Affairs%20(2017),%20The%20German%20Federal%20Government%E2%80%99s%205th%20Report%20on%20Poverty%20and%20Wealth.%20Bonn.%20Federal%20Ministry%20of%20Labour%20and%20Social%20Affairs%202017%20The%20German%20Federal%20Government%E2%80%99s%205th%20Report%20on%20Poverty%20and%20Wealth.%20Bonn" TargetMode="External"/><Relationship Id="rId92"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14.jpg"/><Relationship Id="rId24" Type="http://schemas.openxmlformats.org/officeDocument/2006/relationships/image" Target="media/image11.jpg"/><Relationship Id="rId40" Type="http://schemas.openxmlformats.org/officeDocument/2006/relationships/image" Target="media/image211.jpg"/><Relationship Id="rId45" Type="http://schemas.openxmlformats.org/officeDocument/2006/relationships/image" Target="media/image26.jpg"/><Relationship Id="rId66" Type="http://schemas.openxmlformats.org/officeDocument/2006/relationships/image" Target="media/image32.jpeg"/><Relationship Id="rId87" Type="http://schemas.openxmlformats.org/officeDocument/2006/relationships/hyperlink" Target="https://scholar.google.com/scholar?q=Schupp,%20J.%20(2015),%20Forty%20Years%20of%20Social%20Reporting%20and%20Quality%20of%20Life%20Reserach%20in%20Germany.%20107%E2%80%93126%20in:%20G.%20Trommsdorff,%20W.R.%20Assmann%20(Eds.),%20A%20Look%20Back%20and%20Prospects%20for%20the%20Future,%20Forschung%20f%C3%B6rdern.%20Am%20Beispiel%20von%20Lebensqualit%C3%A4t%20im%20Kulturkontext.%20Konstanz%20und%20M%C3%BCnchen,%20UVK.%20Schupp%20J.%202015%20Forty%20Years%20of%20Social%20Reporting%20and%20Quality%20of%20Life%20Reserach%20in%20Germany%20107%20126%20Trommsdorff%20G.%20Assmann%20W.R.%20A%20Look%20Back%20and%20Prospects%20for%20the%20Future%20Forschung%20f%C3%B6rdern.%20Am%20Beispiel%20von%20Lebensqualit%C3%A4t%20im%20Kulturkontext%20Konstanz%20und%20M%C3%BCnchen%20UVK" TargetMode="External"/><Relationship Id="rId61" Type="http://schemas.openxmlformats.org/officeDocument/2006/relationships/hyperlink" Target="https://paneldata.org/" TargetMode="External"/><Relationship Id="rId82" Type="http://schemas.openxmlformats.org/officeDocument/2006/relationships/hyperlink" Target="https://scholar.google.com/scholar?q=Richter,%20D.,%20J.%20Rohrer,%20M.%20Metzing,%20W.%20Nestler,%20M.%20Weinhardt,%20J.%20Schupp%20(2017),%20SOEP%20Scales%20Manual.%20SOEP%20Survey%20Papers%20423,%20Series%20C.%20Richter%20D.%20Rohrer%20J.%20Metzing%20M.%20Nestler%20W.%20Weinhardt%20M.%20Schupp%20J.%202017%20SOEP%20Scales%20Manual%20SOEP%20Survey%20Papers%20423,%20Series%20C" TargetMode="External"/><Relationship Id="rId19" Type="http://schemas.openxmlformats.org/officeDocument/2006/relationships/image" Target="media/image8.jpg"/><Relationship Id="rId14" Type="http://schemas.openxmlformats.org/officeDocument/2006/relationships/image" Target="media/image210.jpg"/><Relationship Id="rId30" Type="http://schemas.openxmlformats.org/officeDocument/2006/relationships/image" Target="media/image15.jpg"/><Relationship Id="rId35" Type="http://schemas.openxmlformats.org/officeDocument/2006/relationships/image" Target="media/image20.png"/><Relationship Id="rId56" Type="http://schemas.openxmlformats.org/officeDocument/2006/relationships/hyperlink" Target="https://www.degruyter.com/document/doi/10.1515/jbnst-2018-0022/html" TargetMode="External"/><Relationship Id="rId77" Type="http://schemas.openxmlformats.org/officeDocument/2006/relationships/hyperlink" Target="https://scholar.google.com/scholar?q=OECD%20(2008),%20Growing%20unequal?%20Income%20distribution%20and%20poverty%20in%20OECD%20countries.%20Paris.%20OECD%202008%20Growing%20unequal?%20Income%20distribution%20and%20poverty%20in%20OECD%20countries.%20Par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20</Pages>
  <Words>5099</Words>
  <Characters>29065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Statistics for Data Science (UE19CS203)</vt:lpstr>
    </vt:vector>
  </TitlesOfParts>
  <Company/>
  <LinksUpToDate>false</LinksUpToDate>
  <CharactersWithSpaces>34096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Statistics for Data Science (UE19CS203)</dc:title>
  <dc:subject/>
  <dc:creator/>
  <cp:keywords/>
  <cp:lastModifiedBy>Sushma Herakal</cp:lastModifiedBy>
  <cp:revision>38</cp:revision>
  <dcterms:created xsi:type="dcterms:W3CDTF">2021-10-17T11:28:00Z</dcterms:created>
  <dcterms:modified xsi:type="dcterms:W3CDTF">2021-10-17T12:03:00Z</dcterms:modified>
</cp:coreProperties>
</file>