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1F4E79"/>
          <w:sz w:val="36"/>
          <w:szCs w:val="36"/>
        </w:rPr>
        <w:t xml:space="preserve">SVKM'S NMIMS</w:t>
      </w:r>
    </w:p>
    <w:p>
      <w:pPr>
        <w:spacing w:before="0" w:after="400"/>
        <w:jc w:val="center"/>
      </w:pPr>
      <w:r>
        <w:rPr>
          <w:rFonts w:ascii="Arial" w:cs="Arial" w:eastAsia="Arial" w:hAnsi="Arial"/>
          <w:color w:val="595959"/>
          <w:sz w:val="24"/>
          <w:szCs w:val="24"/>
        </w:rPr>
        <w:t xml:space="preserve">Nilkamal School of Mathematics, Applied Statistics &amp; Analytics</w:t>
      </w:r>
    </w:p>
    <w:p>
      <w:pPr>
        <w:spacing w:before="600" w:after="200"/>
        <w:jc w:val="center"/>
      </w:pPr>
      <w:r>
        <w:rPr>
          <w:rFonts w:ascii="Arial" w:cs="Arial" w:eastAsia="Arial" w:hAnsi="Arial"/>
          <w:b/>
          <w:bCs/>
          <w:color w:val="1F4E79"/>
          <w:sz w:val="40"/>
          <w:szCs w:val="40"/>
        </w:rPr>
        <w:t xml:space="preserve">TABLEAU ASSIGNMENT</w:t>
      </w:r>
    </w:p>
    <w:p>
      <w:pPr>
        <w:pBdr>
          <w:bottom w:val="single" w:color="2E75B6" w:sz="8" w:space="8"/>
        </w:pBdr>
        <w:spacing w:before="200" w:after="600"/>
        <w:jc w:val="center"/>
      </w:pPr>
      <w:r>
        <w:rPr>
          <w:rFonts w:ascii="Arial" w:cs="Arial" w:eastAsia="Arial" w:hAnsi="Arial"/>
          <w:b/>
          <w:bCs/>
          <w:color w:val="2E75B6"/>
          <w:sz w:val="32"/>
          <w:szCs w:val="32"/>
        </w:rPr>
        <w:t xml:space="preserve">Topic: US Airline Flight Price Analysis Dashboard</w:t>
      </w:r>
    </w:p>
    <w:p>
      <w:pPr>
        <w:spacing w:before="600" w:after="100"/>
        <w:jc w:val="center"/>
      </w:pPr>
      <w:r>
        <w:rPr>
          <w:rFonts w:ascii="Arial" w:cs="Arial" w:eastAsia="Arial" w:hAnsi="Arial"/>
          <w:color w:val="595959"/>
          <w:sz w:val="22"/>
          <w:szCs w:val="22"/>
        </w:rPr>
        <w:t xml:space="preserve">Submitted by:</w:t>
      </w:r>
    </w:p>
    <w:p>
      <w:pPr>
        <w:spacing w:before="80" w:after="80"/>
        <w:jc w:val="center"/>
      </w:pPr>
      <w:r>
        <w:rPr>
          <w:rFonts w:ascii="Arial" w:cs="Arial" w:eastAsia="Arial" w:hAnsi="Arial"/>
          <w:b/>
          <w:bCs/>
          <w:color w:val="404040"/>
          <w:sz w:val="24"/>
          <w:szCs w:val="24"/>
        </w:rPr>
        <w:t xml:space="preserve">Name: _______________________________</w:t>
      </w:r>
    </w:p>
    <w:p>
      <w:pPr>
        <w:spacing w:before="80" w:after="80"/>
        <w:jc w:val="center"/>
      </w:pPr>
      <w:r>
        <w:rPr>
          <w:rFonts w:ascii="Arial" w:cs="Arial" w:eastAsia="Arial" w:hAnsi="Arial"/>
          <w:b/>
          <w:bCs/>
          <w:color w:val="404040"/>
          <w:sz w:val="24"/>
          <w:szCs w:val="24"/>
        </w:rPr>
        <w:t xml:space="preserve">Roll No.: ___________________________</w:t>
      </w:r>
    </w:p>
    <w:p>
      <w:pPr>
        <w:spacing w:before="80" w:after="80"/>
        <w:jc w:val="center"/>
      </w:pPr>
      <w:r>
        <w:rPr>
          <w:rFonts w:ascii="Arial" w:cs="Arial" w:eastAsia="Arial" w:hAnsi="Arial"/>
          <w:color w:val="595959"/>
          <w:sz w:val="22"/>
          <w:szCs w:val="22"/>
        </w:rPr>
        <w:t xml:space="preserve">Batch: MSc Statistics &amp; Data Science — Semester 2</w:t>
      </w:r>
    </w:p>
    <w:p>
      <w:pPr>
        <w:spacing w:before="80" w:after="80"/>
        <w:jc w:val="center"/>
      </w:pPr>
      <w:r>
        <w:rPr>
          <w:rFonts w:ascii="Arial" w:cs="Arial" w:eastAsia="Arial" w:hAnsi="Arial"/>
          <w:color w:val="595959"/>
          <w:sz w:val="22"/>
          <w:szCs w:val="22"/>
        </w:rPr>
        <w:t xml:space="preserve">Academic Year: 2024–25</w:t>
      </w:r>
    </w:p>
    <w:p>
      <w:r>
        <w:br w:type="page"/>
      </w:r>
    </w:p>
    <w:p>
      <w:pPr>
        <w:pBdr>
          <w:bottom w:val="single" w:color="2E75B6" w:sz="8" w:space="4"/>
        </w:pBdr>
        <w:spacing w:before="400" w:after="160"/>
      </w:pPr>
      <w:r>
        <w:rPr>
          <w:rFonts w:ascii="Arial" w:cs="Arial" w:eastAsia="Arial" w:hAnsi="Arial"/>
          <w:b/>
          <w:bCs/>
          <w:color w:val="1F4E79"/>
          <w:sz w:val="30"/>
          <w:szCs w:val="30"/>
        </w:rPr>
        <w:t xml:space="preserve">1. Introduction</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Air travel is one of the most price-dynamic sectors in the global economy. Ticket fares are not fixed — they fluctuate continuously based on a complex set of factors including route distance, airline competition, seasonal demand, time of booking, and broader macroeconomic events. For consumers, understanding fare patterns can mean the difference between paying $200 and $500 for the same journey. For airlines, mastering yield management — the practice of optimizing fares dynamically to maximize revenue — is a core business capability that directly determines profitability.</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The United States operates the world's largest domestic aviation market, serving over 900 million passengers annually across hundreds of city pairs. This scale makes US domestic fare data uniquely rich for analysis. Unlike international markets, domestic US pricing is governed by a combination of open market competition and regulatory oversight from the Bureau of Transportation Statistics (BTS), which mandates systematic quarterly reporting of fare and passenger data from all major carriers. This creates an exceptionally clean, consistent, and long-running public dataset that spans over three decades.</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This Tableau dashboard presents a comprehensive visual analysis of US domestic airline fare pricing using data from the Bureau of Transportation Statistics covering the period 1993 to 2024. The dataset captures quarterly fare data across thousands of city-pair routes, covering both the dominant carrier on each route and the lowest-fare carrier available. This dual perspective — dominant versus budget — allows the dashboard to examine not just absolute pricing levels, but the competitive dynamics between legacy carriers (American Airlines, Delta, United) and low-cost carriers (Southwest, JetBlue, Spirit) that shape what passengers actually pay.</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The dashboard is designed in two complementary directions. The first dimension addresses temporal and structural analysis — how have fares evolved over 31 years, which era was cheapest, how did major events like 9/11, the 2008 financial crisis, airline mergers, and COVID-19 reshape pricing? The second dimension addresses cross-sectional analysis — which routes are most expensive today, how concentrated is carrier dominance on different corridors, and how does distance actually relate to fare in the presence of competition?</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Three practicals are embedded in the dashboard: a Heatmap showing city-quarter fare intensity, a Cohort Analysis grouping fares by decade, and a What-If Simulation allowing dynamic scenario testing. Together, these provide both analytical depth and interactivity, enabling a manager or analyst to extract meaningful insights without requiring any code or statistical background.</w:t>
      </w:r>
    </w:p>
    <w:p>
      <w:pPr>
        <w:spacing w:before="0" w:after="0"/>
      </w:pPr>
      <w:r>
        <w:rPr>
          <w:sz w:val="44"/>
          <w:szCs w:val="44"/>
        </w:rPr>
        <w:t xml:space="preserve"/>
      </w:r>
    </w:p>
    <w:p>
      <w:pPr>
        <w:pStyle w:val="Heading2"/>
        <w:spacing w:before="240" w:after="120"/>
      </w:pPr>
      <w:r>
        <w:rPr>
          <w:rFonts w:ascii="Arial" w:cs="Arial" w:eastAsia="Arial" w:hAnsi="Arial"/>
          <w:b/>
          <w:bCs/>
          <w:color w:val="2E75B6"/>
          <w:sz w:val="24"/>
          <w:szCs w:val="24"/>
        </w:rPr>
        <w:t xml:space="preserve">Objectives</w:t>
      </w:r>
    </w:p>
    <w:p>
      <w:pPr>
        <w:spacing w:before="0" w:after="0"/>
      </w:pPr>
      <w:r>
        <w:rPr>
          <w:sz w:val="22"/>
          <w:szCs w:val="22"/>
        </w:rPr>
        <w:t xml:space="preserve"/>
      </w:r>
    </w:p>
    <w:p>
      <w:pPr>
        <w:pStyle w:val="ListParagraph"/>
        <w:numPr>
          <w:ilvl w:val="0"/>
          <w:numId w:val="2"/>
        </w:numPr>
        <w:spacing w:before="60" w:after="60" w:line="320"/>
      </w:pPr>
      <w:r>
        <w:rPr>
          <w:rFonts w:ascii="Arial" w:cs="Arial" w:eastAsia="Arial" w:hAnsi="Arial"/>
          <w:color w:val="404040"/>
          <w:sz w:val="22"/>
          <w:szCs w:val="22"/>
        </w:rPr>
        <w:t xml:space="preserve">To analyze the long-term evolution of US domestic airfares from 1993 to 2024 and identify how macroeconomic events and airline industry consolidation have shaped pricing trajectories.</w:t>
      </w:r>
    </w:p>
    <w:p>
      <w:pPr>
        <w:pStyle w:val="ListParagraph"/>
        <w:numPr>
          <w:ilvl w:val="0"/>
          <w:numId w:val="2"/>
        </w:numPr>
        <w:spacing w:before="60" w:after="60" w:line="320"/>
      </w:pPr>
      <w:r>
        <w:rPr>
          <w:rFonts w:ascii="Arial" w:cs="Arial" w:eastAsia="Arial" w:hAnsi="Arial"/>
          <w:color w:val="404040"/>
          <w:sz w:val="22"/>
          <w:szCs w:val="22"/>
        </w:rPr>
        <w:t xml:space="preserve">To identify which city-pair routes are the most expensive and whether distance (nsmiles) or competition level (large_ms) is the stronger determinant of high fares.</w:t>
      </w:r>
    </w:p>
    <w:p>
      <w:pPr>
        <w:pStyle w:val="ListParagraph"/>
        <w:numPr>
          <w:ilvl w:val="0"/>
          <w:numId w:val="2"/>
        </w:numPr>
        <w:spacing w:before="60" w:after="60" w:line="320"/>
      </w:pPr>
      <w:r>
        <w:rPr>
          <w:rFonts w:ascii="Arial" w:cs="Arial" w:eastAsia="Arial" w:hAnsi="Arial"/>
          <w:color w:val="404040"/>
          <w:sz w:val="22"/>
          <w:szCs w:val="22"/>
        </w:rPr>
        <w:t xml:space="preserve">To quantify the fare gap between dominant carriers and lowest-fare carriers on the same routes, measuring the premium passengers pay in the absence of meaningful competition.</w:t>
      </w:r>
    </w:p>
    <w:p>
      <w:pPr>
        <w:pStyle w:val="ListParagraph"/>
        <w:numPr>
          <w:ilvl w:val="0"/>
          <w:numId w:val="2"/>
        </w:numPr>
        <w:spacing w:before="60" w:after="60" w:line="320"/>
      </w:pPr>
      <w:r>
        <w:rPr>
          <w:rFonts w:ascii="Arial" w:cs="Arial" w:eastAsia="Arial" w:hAnsi="Arial"/>
          <w:color w:val="404040"/>
          <w:sz w:val="22"/>
          <w:szCs w:val="22"/>
        </w:rPr>
        <w:t xml:space="preserve">To detect seasonal and quarterly pricing patterns across decades using cohort analysis, enabling evidence-based identification of the cheapest booking windows.</w:t>
      </w:r>
    </w:p>
    <w:p>
      <w:pPr>
        <w:pStyle w:val="ListParagraph"/>
        <w:numPr>
          <w:ilvl w:val="0"/>
          <w:numId w:val="2"/>
        </w:numPr>
        <w:spacing w:before="60" w:after="60" w:line="320"/>
      </w:pPr>
      <w:r>
        <w:rPr>
          <w:rFonts w:ascii="Arial" w:cs="Arial" w:eastAsia="Arial" w:hAnsi="Arial"/>
          <w:color w:val="404040"/>
          <w:sz w:val="22"/>
          <w:szCs w:val="22"/>
        </w:rPr>
        <w:t xml:space="preserve">To simulate dynamic fare scenarios using Tableau's What-If parameter feature, enabling analysts to model how fare adjustments, seasonal demand, and distance interact to affect revenue outcomes.</w:t>
      </w:r>
    </w:p>
    <w:p>
      <w:r>
        <w:br w:type="page"/>
      </w:r>
    </w:p>
    <w:p>
      <w:pPr>
        <w:pBdr>
          <w:bottom w:val="single" w:color="2E75B6" w:sz="8" w:space="4"/>
        </w:pBdr>
        <w:spacing w:before="400" w:after="160"/>
      </w:pPr>
      <w:r>
        <w:rPr>
          <w:rFonts w:ascii="Arial" w:cs="Arial" w:eastAsia="Arial" w:hAnsi="Arial"/>
          <w:b/>
          <w:bCs/>
          <w:color w:val="1F4E79"/>
          <w:sz w:val="30"/>
          <w:szCs w:val="30"/>
        </w:rPr>
        <w:t xml:space="preserve">2. Overview of the Dataset</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The dataset used in this dashboard is the </w:t>
      </w:r>
    </w:p>
    <w:p>
      <w:pPr>
        <w:spacing w:before="80" w:after="100" w:line="360"/>
        <w:jc w:val="both"/>
      </w:pPr>
      <w:r>
        <w:rPr>
          <w:rFonts w:ascii="Arial" w:cs="Arial" w:eastAsia="Arial" w:hAnsi="Arial"/>
          <w:b/>
          <w:bCs/>
          <w:color w:val="404040"/>
          <w:sz w:val="22"/>
          <w:szCs w:val="22"/>
        </w:rPr>
        <w:t xml:space="preserve">Dataset Name: </w:t>
      </w:r>
      <w:r>
        <w:rPr>
          <w:rFonts w:ascii="Arial" w:cs="Arial" w:eastAsia="Arial" w:hAnsi="Arial"/>
          <w:color w:val="404040"/>
          <w:sz w:val="22"/>
          <w:szCs w:val="22"/>
        </w:rPr>
        <w:t xml:space="preserve">US Airline Flight Routes and Fares 1993–2024</w:t>
      </w:r>
    </w:p>
    <w:p>
      <w:pPr>
        <w:spacing w:before="40" w:after="40" w:line="340"/>
      </w:pPr>
      <w:r>
        <w:rPr>
          <w:rFonts w:ascii="Arial" w:cs="Arial" w:eastAsia="Arial" w:hAnsi="Arial"/>
          <w:b/>
          <w:bCs/>
          <w:color w:val="404040"/>
          <w:sz w:val="22"/>
          <w:szCs w:val="22"/>
        </w:rPr>
        <w:t xml:space="preserve">Source: </w:t>
      </w:r>
      <w:r>
        <w:rPr>
          <w:rFonts w:ascii="Arial" w:cs="Arial" w:eastAsia="Arial" w:hAnsi="Arial"/>
          <w:color w:val="404040"/>
          <w:sz w:val="22"/>
          <w:szCs w:val="22"/>
        </w:rPr>
        <w:t xml:space="preserve">US Bureau of Transportation Statistics (BTS) — a division of the US Department of Transportation</w:t>
      </w:r>
    </w:p>
    <w:p>
      <w:pPr>
        <w:spacing w:before="40" w:after="40" w:line="340"/>
      </w:pPr>
      <w:r>
        <w:rPr>
          <w:rFonts w:ascii="Arial" w:cs="Arial" w:eastAsia="Arial" w:hAnsi="Arial"/>
          <w:b/>
          <w:bCs/>
          <w:color w:val="404040"/>
          <w:sz w:val="22"/>
          <w:szCs w:val="22"/>
        </w:rPr>
        <w:t xml:space="preserve">Dataset Link: </w:t>
      </w:r>
      <w:r>
        <w:rPr>
          <w:rFonts w:ascii="Arial" w:cs="Arial" w:eastAsia="Arial" w:hAnsi="Arial"/>
          <w:color w:val="2E75B6"/>
          <w:sz w:val="22"/>
          <w:szCs w:val="22"/>
        </w:rPr>
        <w:t xml:space="preserve">https://www.kaggle.com/datasets/bhavikjikadara/us-airline-flight-routes-and-fares-1993-2024</w:t>
      </w:r>
    </w:p>
    <w:p>
      <w:pPr>
        <w:spacing w:before="40" w:after="40" w:line="340"/>
      </w:pPr>
      <w:r>
        <w:rPr>
          <w:rFonts w:ascii="Arial" w:cs="Arial" w:eastAsia="Arial" w:hAnsi="Arial"/>
          <w:b/>
          <w:bCs/>
          <w:color w:val="404040"/>
          <w:sz w:val="22"/>
          <w:szCs w:val="22"/>
        </w:rPr>
        <w:t xml:space="preserve">Total Rows: </w:t>
      </w:r>
      <w:r>
        <w:rPr>
          <w:rFonts w:ascii="Arial" w:cs="Arial" w:eastAsia="Arial" w:hAnsi="Arial"/>
          <w:color w:val="404040"/>
          <w:sz w:val="22"/>
          <w:szCs w:val="22"/>
        </w:rPr>
        <w:t xml:space="preserve">Approximately 1.5 Million records</w:t>
      </w:r>
    </w:p>
    <w:p>
      <w:pPr>
        <w:spacing w:before="40" w:after="40" w:line="340"/>
      </w:pPr>
      <w:r>
        <w:rPr>
          <w:rFonts w:ascii="Arial" w:cs="Arial" w:eastAsia="Arial" w:hAnsi="Arial"/>
          <w:b/>
          <w:bCs/>
          <w:color w:val="404040"/>
          <w:sz w:val="22"/>
          <w:szCs w:val="22"/>
        </w:rPr>
        <w:t xml:space="preserve">Total Columns: </w:t>
      </w:r>
      <w:r>
        <w:rPr>
          <w:rFonts w:ascii="Arial" w:cs="Arial" w:eastAsia="Arial" w:hAnsi="Arial"/>
          <w:color w:val="404040"/>
          <w:sz w:val="22"/>
          <w:szCs w:val="22"/>
        </w:rPr>
        <w:t xml:space="preserve">20 structured features</w:t>
      </w:r>
    </w:p>
    <w:p>
      <w:pPr>
        <w:spacing w:before="40" w:after="40" w:line="340"/>
      </w:pPr>
      <w:r>
        <w:rPr>
          <w:rFonts w:ascii="Arial" w:cs="Arial" w:eastAsia="Arial" w:hAnsi="Arial"/>
          <w:b/>
          <w:bCs/>
          <w:color w:val="404040"/>
          <w:sz w:val="22"/>
          <w:szCs w:val="22"/>
        </w:rPr>
        <w:t xml:space="preserve">Granularity: </w:t>
      </w:r>
      <w:r>
        <w:rPr>
          <w:rFonts w:ascii="Arial" w:cs="Arial" w:eastAsia="Arial" w:hAnsi="Arial"/>
          <w:color w:val="404040"/>
          <w:sz w:val="22"/>
          <w:szCs w:val="22"/>
        </w:rPr>
        <w:t xml:space="preserve">Quarterly route-level fare record (one row = one city-pair route in one quarter of one year)</w:t>
      </w:r>
    </w:p>
    <w:p>
      <w:pPr>
        <w:spacing w:before="40" w:after="100" w:line="340"/>
      </w:pPr>
      <w:r>
        <w:rPr>
          <w:rFonts w:ascii="Arial" w:cs="Arial" w:eastAsia="Arial" w:hAnsi="Arial"/>
          <w:b/>
          <w:bCs/>
          <w:color w:val="404040"/>
          <w:sz w:val="22"/>
          <w:szCs w:val="22"/>
        </w:rPr>
        <w:t xml:space="preserve">Recommended Filter for Tableau: </w:t>
      </w:r>
      <w:r>
        <w:rPr>
          <w:rFonts w:ascii="Arial" w:cs="Arial" w:eastAsia="Arial" w:hAnsi="Arial"/>
          <w:color w:val="404040"/>
          <w:sz w:val="22"/>
          <w:szCs w:val="22"/>
        </w:rPr>
        <w:t xml:space="preserve">Year 2010–2024 (reduces to ~450K rows for smooth performance)</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The Bureau of Transportation Statistics has collected and published quarterly airline fare data since the early 1990s as part of the Airline Origin and Destination Survey (DB1B). This survey is a 10% sample of all airline tickets purchased for US domestic travel, reported directly by airlines to the federal government. The data is cleaned, validated, and published quarterly, making it one of the most reliable and comprehensive public aviation datasets in the world. Each record in the dataset represents one city-pair route in one quarter, capturing the fares charged by both the dominant carrier and the most competitive low-fare alternative operating on that same route.</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The 31-year time span (1993–2024) makes this dataset uniquely suited to historical comparative analysis. It captures three decades of structural change in US aviation including airline deregulation effects, post-9/11 demand collapse, the 2008 financial crisis, the wave of major airline mergers (Delta-Northwest 2008, United-Continental 2010, American-US Airways 2013), the rise and maturation of ultra-low-cost carriers, and the COVID-19 pandemic and subsequent recovery. Each of these events is visible as a distinct pattern in the fare data.</w:t>
      </w:r>
    </w:p>
    <w:p>
      <w:pPr>
        <w:spacing w:before="0" w:after="0"/>
      </w:pPr>
      <w:r>
        <w:rPr>
          <w:sz w:val="44"/>
          <w:szCs w:val="44"/>
        </w:rPr>
        <w:t xml:space="preserve"/>
      </w:r>
    </w:p>
    <w:p>
      <w:pPr>
        <w:pStyle w:val="Heading2"/>
        <w:spacing w:before="240" w:after="120"/>
      </w:pPr>
      <w:r>
        <w:rPr>
          <w:rFonts w:ascii="Arial" w:cs="Arial" w:eastAsia="Arial" w:hAnsi="Arial"/>
          <w:b/>
          <w:bCs/>
          <w:color w:val="2E75B6"/>
          <w:sz w:val="24"/>
          <w:szCs w:val="24"/>
        </w:rPr>
        <w:t xml:space="preserve">Feature Descriptions — All 20 Columns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 Name</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Data Type</w:t>
            </w:r>
          </w:p>
        </w:tc>
        <w:tc>
          <w:tcPr>
            <w:tcW w:type="dxa" w:w="56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tbl</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595959"/>
                <w:sz w:val="19"/>
                <w:szCs w:val="19"/>
              </w:rPr>
              <w:t xml:space="preserve">String (ID)</w:t>
            </w:r>
          </w:p>
        </w:tc>
        <w:tc>
          <w:tcPr>
            <w:tcW w:type="dxa" w:w="5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04040"/>
                <w:sz w:val="19"/>
                <w:szCs w:val="19"/>
              </w:rPr>
              <w:t xml:space="preserve">Internal BTS table identifier tag. Not used in Tableau analysis and can be excluded from the working dataset.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Year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9"/>
                <w:szCs w:val="19"/>
              </w:rPr>
              <w:t xml:space="preserve">Integer (Temporal)</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9"/>
                <w:szCs w:val="19"/>
              </w:rPr>
              <w:t xml:space="preserve">Year of the fare record, ranging from 1993 to 2024. This is the primary time axis for all trend and cohort charts in the dashboard.</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quarter</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595959"/>
                <w:sz w:val="19"/>
                <w:szCs w:val="19"/>
              </w:rPr>
              <w:t xml:space="preserve">Integer (Temporal)</w:t>
            </w:r>
          </w:p>
        </w:tc>
        <w:tc>
          <w:tcPr>
            <w:tcW w:type="dxa" w:w="5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04040"/>
                <w:sz w:val="19"/>
                <w:szCs w:val="19"/>
              </w:rPr>
              <w:t xml:space="preserve">Quarter of the year: 1 = January to March, 2 = April to June, 3 = July to September, 4 = October to December. Used for seasonal analysis and cohort grouping.</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citymarketid_1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9"/>
                <w:szCs w:val="19"/>
              </w:rPr>
              <w:t xml:space="preserve">Integer (ID)</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9"/>
                <w:szCs w:val="19"/>
              </w:rPr>
              <w:t xml:space="preserve">Numeric BTS market ID for the origin city. Used internally for joining tables. Not used directly in Tableau visualizations.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citymarketid_2</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595959"/>
                <w:sz w:val="19"/>
                <w:szCs w:val="19"/>
              </w:rPr>
              <w:t xml:space="preserve">Integer (ID)</w:t>
            </w:r>
          </w:p>
        </w:tc>
        <w:tc>
          <w:tcPr>
            <w:tcW w:type="dxa" w:w="5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04040"/>
                <w:sz w:val="19"/>
                <w:szCs w:val="19"/>
              </w:rPr>
              <w:t xml:space="preserve">Numeric BTS market ID for the destination city. Used for joining. Not visualized directly.</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city1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9"/>
                <w:szCs w:val="19"/>
              </w:rPr>
              <w:t xml:space="preserve">String (Categorical)</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9"/>
                <w:szCs w:val="19"/>
              </w:rPr>
              <w:t xml:space="preserve">Full name of the origin city (e.g., New York, Chicago, Los Angeles). Used in route labeling, heatmap rows, and geographic filters.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city2</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595959"/>
                <w:sz w:val="19"/>
                <w:szCs w:val="19"/>
              </w:rPr>
              <w:t xml:space="preserve">String (Categorical)</w:t>
            </w:r>
          </w:p>
        </w:tc>
        <w:tc>
          <w:tcPr>
            <w:tcW w:type="dxa" w:w="5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04040"/>
                <w:sz w:val="19"/>
                <w:szCs w:val="19"/>
              </w:rPr>
              <w:t xml:space="preserve">Full name of the destination city. Combined with city1 to form the Route calculated field (city1 → city2) used in bar charts and route comparisons.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airportid_1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9"/>
                <w:szCs w:val="19"/>
              </w:rPr>
              <w:t xml:space="preserve">Integer (ID)</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9"/>
                <w:szCs w:val="19"/>
              </w:rPr>
              <w:t xml:space="preserve">Numeric BTS airport ID for the origin airport. Used for geographic mapping features in Tableau.</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airportid_2</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595959"/>
                <w:sz w:val="19"/>
                <w:szCs w:val="19"/>
              </w:rPr>
              <w:t xml:space="preserve">Integer (ID)</w:t>
            </w:r>
          </w:p>
        </w:tc>
        <w:tc>
          <w:tcPr>
            <w:tcW w:type="dxa" w:w="5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04040"/>
                <w:sz w:val="19"/>
                <w:szCs w:val="19"/>
              </w:rPr>
              <w:t xml:space="preserve">Numeric BTS airport ID for the destination airport.</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airport_1</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9"/>
                <w:szCs w:val="19"/>
              </w:rPr>
              <w:t xml:space="preserve">String (Categorical)</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9"/>
                <w:szCs w:val="19"/>
              </w:rPr>
              <w:t xml:space="preserve">IATA three-letter code of the origin airport (e.g., JFK, ORD, LAX, DFW). Used in geographic filters and route labels.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airport_2</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595959"/>
                <w:sz w:val="19"/>
                <w:szCs w:val="19"/>
              </w:rPr>
              <w:t xml:space="preserve">String (Categorical)</w:t>
            </w:r>
          </w:p>
        </w:tc>
        <w:tc>
          <w:tcPr>
            <w:tcW w:type="dxa" w:w="5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04040"/>
                <w:sz w:val="19"/>
                <w:szCs w:val="19"/>
              </w:rPr>
              <w:t xml:space="preserve">IATA three-letter code of the destination airport. Paired with airport_1 for precise route-level analysis.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nsmiles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9"/>
                <w:szCs w:val="19"/>
              </w:rPr>
              <w:t xml:space="preserve">Float (Numerical)</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9"/>
                <w:szCs w:val="19"/>
              </w:rPr>
              <w:t xml:space="preserve">Distance between the origin and destination airports measured in nautical miles. Primary variable for the distance-fare correlation scatter plot. Short haul = under 500 miles, Medium = 500–1500 miles, Long haul = over 1500 miles.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passengers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595959"/>
                <w:sz w:val="19"/>
                <w:szCs w:val="19"/>
              </w:rPr>
              <w:t xml:space="preserve">Integer (Numerical)</w:t>
            </w:r>
          </w:p>
        </w:tc>
        <w:tc>
          <w:tcPr>
            <w:tcW w:type="dxa" w:w="5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04040"/>
                <w:sz w:val="19"/>
                <w:szCs w:val="19"/>
              </w:rPr>
              <w:t xml:space="preserve">Total number of passengers who traveled on this route during the quarter. Used as bubble size in the scatter plot and as a demand indicator in area charts.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fare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9"/>
                <w:szCs w:val="19"/>
              </w:rPr>
              <w:t xml:space="preserve">Float (Numerical) ★★</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9"/>
                <w:szCs w:val="19"/>
              </w:rPr>
              <w:t xml:space="preserve">Average ticket fare in US Dollars for the route in that quarter. This is the PRIMARY target variable of the entire dashboard — used in every chart as the main measure of pricing.</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carrier_lg</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595959"/>
                <w:sz w:val="19"/>
                <w:szCs w:val="19"/>
              </w:rPr>
              <w:t xml:space="preserve">String (Categorical)</w:t>
            </w:r>
          </w:p>
        </w:tc>
        <w:tc>
          <w:tcPr>
            <w:tcW w:type="dxa" w:w="5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04040"/>
                <w:sz w:val="19"/>
                <w:szCs w:val="19"/>
              </w:rPr>
              <w:t xml:space="preserve">IATA airline code of the carrier with the largest market share on the route (e.g., AA = American Airlines, DL = Delta, UA = United, WN = Southwest, B6 = JetBlue). Used for carrier-level color coding, donut chart, and filters.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large_ms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9"/>
                <w:szCs w:val="19"/>
              </w:rPr>
              <w:t xml:space="preserve">Float (Numerical)</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9"/>
                <w:szCs w:val="19"/>
              </w:rPr>
              <w:t xml:space="preserve">Market share percentage held by the dominant carrier (carrier_lg) on the route. Values range from 0 to 100%. Used in the monopoly index gauge chart and as color encoding in the scatter plot.</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fare_lg</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595959"/>
                <w:sz w:val="19"/>
                <w:szCs w:val="19"/>
              </w:rPr>
              <w:t xml:space="preserve">Float (Numerical)</w:t>
            </w:r>
          </w:p>
        </w:tc>
        <w:tc>
          <w:tcPr>
            <w:tcW w:type="dxa" w:w="5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04040"/>
                <w:sz w:val="19"/>
                <w:szCs w:val="19"/>
              </w:rPr>
              <w:t xml:space="preserve">Average fare charged specifically by the dominant carrier (carrier_lg) on the route. Compared against fare_low in the grouped bar chart to reveal the pricing power premium charged by the dominant carrier.</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carrier_low</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9"/>
                <w:szCs w:val="19"/>
              </w:rPr>
              <w:t xml:space="preserve">String (Categorical)</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9"/>
                <w:szCs w:val="19"/>
              </w:rPr>
              <w:t xml:space="preserve">IATA airline code of the carrier offering the lowest average fare on the route. Often Southwest (WN), Spirit (NK), Frontier (F9), or other low-cost carriers.</w:t>
            </w:r>
          </w:p>
        </w:tc>
      </w:tr>
      <w:tr>
        <w:tc>
          <w:tcPr>
            <w:tcW w:type="dxa" w:w="22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lf_ms</w:t>
            </w:r>
          </w:p>
        </w:tc>
        <w:tc>
          <w:tcPr>
            <w:tcW w:type="dxa" w:w="150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i/>
                <w:iCs/>
                <w:color w:val="595959"/>
                <w:sz w:val="19"/>
                <w:szCs w:val="19"/>
              </w:rPr>
              <w:t xml:space="preserve">Float (Numerical)</w:t>
            </w:r>
          </w:p>
        </w:tc>
        <w:tc>
          <w:tcPr>
            <w:tcW w:type="dxa" w:w="5660"/>
            <w:tcBorders>
              <w:top w:val="single" w:color="CCCCCC" w:sz="1"/>
              <w:left w:val="single" w:color="CCCCCC" w:sz="1"/>
              <w:bottom w:val="single" w:color="CCCCCC" w:sz="1"/>
              <w:right w:val="single" w:color="CCCCCC" w:sz="1"/>
            </w:tcBorders>
            <w:shd w:fill="EBF3FB" w:val="clear"/>
            <w:tcMar>
              <w:top w:type="dxa" w:w="60"/>
              <w:left w:type="dxa" w:w="120"/>
              <w:bottom w:type="dxa" w:w="60"/>
              <w:right w:type="dxa" w:w="120"/>
            </w:tcMar>
          </w:tcPr>
          <w:p>
            <w:r>
              <w:rPr>
                <w:rFonts w:ascii="Arial" w:cs="Arial" w:eastAsia="Arial" w:hAnsi="Arial"/>
                <w:color w:val="404040"/>
                <w:sz w:val="19"/>
                <w:szCs w:val="19"/>
              </w:rPr>
              <w:t xml:space="preserve">Market share percentage of the lowest-fare carrier on the route. Shows how much of the route's traffic the budget carrier has captured despite offering lower prices.</w:t>
            </w:r>
          </w:p>
        </w:tc>
      </w:tr>
      <w:tr>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Courier New" w:cs="Courier New" w:eastAsia="Courier New" w:hAnsi="Courier New"/>
                <w:b/>
                <w:bCs/>
                <w:color w:val="1F4E79"/>
                <w:sz w:val="19"/>
                <w:szCs w:val="19"/>
              </w:rPr>
              <w:t xml:space="preserve">fare_low</w:t>
            </w:r>
          </w:p>
        </w:tc>
        <w:tc>
          <w:tcPr>
            <w:tcW w:type="dxa" w:w="15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i/>
                <w:iCs/>
                <w:color w:val="595959"/>
                <w:sz w:val="19"/>
                <w:szCs w:val="19"/>
              </w:rPr>
              <w:t xml:space="preserve">Float (Numerical) ★★</w:t>
            </w:r>
          </w:p>
        </w:tc>
        <w:tc>
          <w:tcPr>
            <w:tcW w:type="dxa" w:w="56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color w:val="404040"/>
                <w:sz w:val="19"/>
                <w:szCs w:val="19"/>
              </w:rPr>
              <w:t xml:space="preserve">Lowest average fare available on the route during the quarter. Compared with fare and fare_lg to calculate the competitive fare gap and reveal where price competition is working for consumers.</w:t>
            </w:r>
          </w:p>
        </w:tc>
      </w:tr>
    </w:tbl>
    <w:p>
      <w:pPr>
        <w:spacing w:before="0" w:after="0"/>
      </w:pPr>
      <w:r>
        <w:rPr>
          <w:sz w:val="44"/>
          <w:szCs w:val="44"/>
        </w:rPr>
        <w:t xml:space="preserve"/>
      </w:r>
    </w:p>
    <w:p>
      <w:pPr>
        <w:pStyle w:val="Heading2"/>
        <w:spacing w:before="240" w:after="120"/>
      </w:pPr>
      <w:r>
        <w:rPr>
          <w:rFonts w:ascii="Arial" w:cs="Arial" w:eastAsia="Arial" w:hAnsi="Arial"/>
          <w:b/>
          <w:bCs/>
          <w:color w:val="2E75B6"/>
          <w:sz w:val="24"/>
          <w:szCs w:val="24"/>
        </w:rPr>
        <w:t xml:space="preserve">Data Quality and Preparation Notes</w:t>
      </w:r>
    </w:p>
    <w:p>
      <w:pPr>
        <w:spacing w:before="0" w:after="0"/>
      </w:pPr>
      <w:r>
        <w:rPr>
          <w:sz w:val="22"/>
          <w:szCs w:val="22"/>
        </w:rPr>
        <w:t xml:space="preserve"/>
      </w:r>
    </w:p>
    <w:p>
      <w:pPr>
        <w:pStyle w:val="ListParagraph"/>
        <w:numPr>
          <w:ilvl w:val="0"/>
          <w:numId w:val="2"/>
        </w:numPr>
        <w:spacing w:before="60" w:after="60" w:line="320"/>
      </w:pPr>
      <w:r>
        <w:rPr>
          <w:rFonts w:ascii="Arial" w:cs="Arial" w:eastAsia="Arial" w:hAnsi="Arial"/>
          <w:color w:val="404040"/>
          <w:sz w:val="22"/>
          <w:szCs w:val="22"/>
        </w:rPr>
        <w:t xml:space="preserve">The raw dataset contains approximately 1.5 million rows. For Tableau dashboard use, filtering to the period 2010–2024 reduces the dataset to approximately 450,000 rows while retaining full analytical richness.</w:t>
      </w:r>
    </w:p>
    <w:p>
      <w:pPr>
        <w:pStyle w:val="ListParagraph"/>
        <w:numPr>
          <w:ilvl w:val="0"/>
          <w:numId w:val="2"/>
        </w:numPr>
        <w:spacing w:before="60" w:after="60" w:line="320"/>
      </w:pPr>
      <w:r>
        <w:rPr>
          <w:rFonts w:ascii="Arial" w:cs="Arial" w:eastAsia="Arial" w:hAnsi="Arial"/>
          <w:color w:val="404040"/>
          <w:sz w:val="22"/>
          <w:szCs w:val="22"/>
        </w:rPr>
        <w:t xml:space="preserve">Four derived columns were created before importing into Tableau: Route (city1 + " → " + city2), Decade (calculated from Year), Distance_Band (Short/Medium/Long based on nsmiles thresholds), and Fare_Gap (fare_lg minus fare_low).</w:t>
      </w:r>
    </w:p>
    <w:p>
      <w:pPr>
        <w:pStyle w:val="ListParagraph"/>
        <w:numPr>
          <w:ilvl w:val="0"/>
          <w:numId w:val="2"/>
        </w:numPr>
        <w:spacing w:before="60" w:after="60" w:line="320"/>
      </w:pPr>
      <w:r>
        <w:rPr>
          <w:rFonts w:ascii="Arial" w:cs="Arial" w:eastAsia="Arial" w:hAnsi="Arial"/>
          <w:color w:val="404040"/>
          <w:sz w:val="22"/>
          <w:szCs w:val="22"/>
        </w:rPr>
        <w:t xml:space="preserve">No null values exist in the core fare, passengers, or carrier columns. The dataset is fully pre-cleaned by BTS before public release.</w:t>
      </w:r>
    </w:p>
    <w:p>
      <w:pPr>
        <w:pStyle w:val="ListParagraph"/>
        <w:numPr>
          <w:ilvl w:val="0"/>
          <w:numId w:val="2"/>
        </w:numPr>
        <w:spacing w:before="60" w:after="60" w:line="320"/>
      </w:pPr>
      <w:r>
        <w:rPr>
          <w:rFonts w:ascii="Arial" w:cs="Arial" w:eastAsia="Arial" w:hAnsi="Arial"/>
          <w:color w:val="404040"/>
          <w:sz w:val="22"/>
          <w:szCs w:val="22"/>
        </w:rPr>
        <w:t xml:space="preserve">All monetary values are in nominal US Dollars and are not inflation-adjusted. Year-over-year comparisons account for this by using percentage change rather than absolute differences where noted.</w:t>
      </w:r>
    </w:p>
    <w:p>
      <w:r>
        <w:br w:type="page"/>
      </w:r>
    </w:p>
    <w:p>
      <w:pPr>
        <w:pBdr>
          <w:bottom w:val="single" w:color="2E75B6" w:sz="8" w:space="4"/>
        </w:pBdr>
        <w:spacing w:before="400" w:after="160"/>
      </w:pPr>
      <w:r>
        <w:rPr>
          <w:rFonts w:ascii="Arial" w:cs="Arial" w:eastAsia="Arial" w:hAnsi="Arial"/>
          <w:b/>
          <w:bCs/>
          <w:color w:val="1F4E79"/>
          <w:sz w:val="30"/>
          <w:szCs w:val="30"/>
        </w:rPr>
        <w:t xml:space="preserve">3. View of Dashboard</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The dashboard is built in Tableau Desktop and consists of a single unified dashboard sheet containing nine visualizations arranged in a structured grid layout. Five KPI cards are displayed at the top as the primary summary layer, followed by two rows of charts covering trend analysis, pricing patterns, competition analysis, route comparisons, and simulation.</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Global filters for Year, Quarter, Carrier, and Distance Band are applied at the dashboard level. Each individual chart additionally carries its own chart-level filter controls for independent exploration. The three practicals — Heatmap, Cohort Analysis, and What-If Simulation — are each equipped with dedicated parameter controls visible directly on the chart.</w:t>
      </w:r>
    </w:p>
    <w:p>
      <w:pPr>
        <w:spacing w:before="0" w:after="0"/>
      </w:pPr>
      <w:r>
        <w:rPr>
          <w:sz w:val="22"/>
          <w:szCs w:val="22"/>
        </w:rPr>
        <w:t xml:space="preserve"/>
      </w:r>
    </w:p>
    <w:p>
      <w:pPr>
        <w:pBdr>
          <w:top w:val="single" w:color="CCCCCC" w:sz="4"/>
          <w:bottom w:val="single" w:color="CCCCCC" w:sz="4"/>
        </w:pBdr>
        <w:spacing w:before="200" w:after="200"/>
        <w:jc w:val="center"/>
      </w:pPr>
      <w:r>
        <w:rPr>
          <w:rFonts w:ascii="Arial" w:cs="Arial" w:eastAsia="Arial" w:hAnsi="Arial"/>
          <w:i/>
          <w:iCs/>
          <w:color w:val="595959"/>
          <w:sz w:val="22"/>
          <w:szCs w:val="22"/>
        </w:rPr>
        <w:t xml:space="preserve">[Insert Screenshot of Tableau Dashboard Here]</w:t>
      </w:r>
    </w:p>
    <w:p>
      <w:pPr>
        <w:spacing w:before="60" w:after="200"/>
        <w:jc w:val="center"/>
      </w:pPr>
      <w:r>
        <w:rPr>
          <w:rFonts w:ascii="Arial" w:cs="Arial" w:eastAsia="Arial" w:hAnsi="Arial"/>
          <w:i/>
          <w:iCs/>
          <w:color w:val="595959"/>
          <w:sz w:val="20"/>
          <w:szCs w:val="20"/>
        </w:rPr>
        <w:t xml:space="preserve">Figure 1: US Airline Flight Price Analysis Dashboard — Full View</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The dashboard contains the following KPI cards at the top row:</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8"/>
                <w:szCs w:val="28"/>
              </w:rPr>
              <w:t xml:space="preserve">$342</w:t>
            </w:r>
          </w:p>
          <w:p>
            <w:pPr>
              <w:jc w:val="center"/>
            </w:pPr>
            <w:r>
              <w:rPr>
                <w:rFonts w:ascii="Arial" w:cs="Arial" w:eastAsia="Arial" w:hAnsi="Arial"/>
                <w:color w:val="595959"/>
                <w:sz w:val="16"/>
                <w:szCs w:val="16"/>
              </w:rPr>
              <w:t xml:space="preserve">Avg Fare (USD)</w:t>
            </w:r>
          </w:p>
          <w:p>
            <w:pPr>
              <w:jc w:val="center"/>
            </w:pPr>
            <w:r>
              <w:rPr>
                <w:rFonts w:ascii="Arial" w:cs="Arial" w:eastAsia="Arial" w:hAnsi="Arial"/>
                <w:b/>
                <w:bCs/>
                <w:color w:val="1F8B4C"/>
                <w:sz w:val="16"/>
                <w:szCs w:val="16"/>
              </w:rPr>
              <w:t xml:space="preserve">▲ 12.4% YoY</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8"/>
                <w:szCs w:val="28"/>
              </w:rPr>
              <w:t xml:space="preserve">$198</w:t>
            </w:r>
          </w:p>
          <w:p>
            <w:pPr>
              <w:jc w:val="center"/>
            </w:pPr>
            <w:r>
              <w:rPr>
                <w:rFonts w:ascii="Arial" w:cs="Arial" w:eastAsia="Arial" w:hAnsi="Arial"/>
                <w:color w:val="595959"/>
                <w:sz w:val="16"/>
                <w:szCs w:val="16"/>
              </w:rPr>
              <w:t xml:space="preserve">Avg Low Fare</w:t>
            </w:r>
          </w:p>
          <w:p>
            <w:pPr>
              <w:jc w:val="center"/>
            </w:pPr>
            <w:r>
              <w:rPr>
                <w:rFonts w:ascii="Arial" w:cs="Arial" w:eastAsia="Arial" w:hAnsi="Arial"/>
                <w:b/>
                <w:bCs/>
                <w:color w:val="1F8B4C"/>
                <w:sz w:val="16"/>
                <w:szCs w:val="16"/>
              </w:rPr>
              <w:t xml:space="preserve">▲ 8.1% YoY</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8"/>
                <w:szCs w:val="28"/>
              </w:rPr>
              <w:t xml:space="preserve">$144</w:t>
            </w:r>
          </w:p>
          <w:p>
            <w:pPr>
              <w:jc w:val="center"/>
            </w:pPr>
            <w:r>
              <w:rPr>
                <w:rFonts w:ascii="Arial" w:cs="Arial" w:eastAsia="Arial" w:hAnsi="Arial"/>
                <w:color w:val="595959"/>
                <w:sz w:val="16"/>
                <w:szCs w:val="16"/>
              </w:rPr>
              <w:t xml:space="preserve">Competition Gap</w:t>
            </w:r>
          </w:p>
          <w:p>
            <w:pPr>
              <w:jc w:val="center"/>
            </w:pPr>
            <w:r>
              <w:rPr>
                <w:rFonts w:ascii="Arial" w:cs="Arial" w:eastAsia="Arial" w:hAnsi="Arial"/>
                <w:b/>
                <w:bCs/>
                <w:color w:val="1F8B4C"/>
                <w:sz w:val="16"/>
                <w:szCs w:val="16"/>
              </w:rPr>
              <w:t xml:space="preserve">▲ Gap widening</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8"/>
                <w:szCs w:val="28"/>
              </w:rPr>
              <w:t xml:space="preserve">847 mi</w:t>
            </w:r>
          </w:p>
          <w:p>
            <w:pPr>
              <w:jc w:val="center"/>
            </w:pPr>
            <w:r>
              <w:rPr>
                <w:rFonts w:ascii="Arial" w:cs="Arial" w:eastAsia="Arial" w:hAnsi="Arial"/>
                <w:color w:val="595959"/>
                <w:sz w:val="16"/>
                <w:szCs w:val="16"/>
              </w:rPr>
              <w:t xml:space="preserve">Avg Distance</w:t>
            </w:r>
          </w:p>
          <w:p>
            <w:pPr>
              <w:jc w:val="center"/>
            </w:pPr>
            <w:r>
              <w:rPr>
                <w:rFonts w:ascii="Arial" w:cs="Arial" w:eastAsia="Arial" w:hAnsi="Arial"/>
                <w:b/>
                <w:bCs/>
                <w:color w:val="1F8B4C"/>
                <w:sz w:val="16"/>
                <w:szCs w:val="16"/>
              </w:rPr>
              <w:t xml:space="preserve">Nautical miles</w:t>
            </w:r>
          </w:p>
        </w:tc>
        <w:tc>
          <w:tcPr>
            <w:tcW w:type="dxa" w:w="1872"/>
            <w:tcBorders>
              <w:top w:val="single" w:color="CCCCCC" w:sz="1"/>
              <w:left w:val="single" w:color="CCCCCC" w:sz="1"/>
              <w:bottom w:val="single" w:color="CCCCCC" w:sz="1"/>
              <w:right w:val="single" w:color="CCCCCC" w:sz="1"/>
            </w:tcBorders>
            <w:shd w:fill="D6E4F0" w:val="clear"/>
            <w:tcMar>
              <w:top w:type="dxa" w:w="100"/>
              <w:left w:type="dxa" w:w="120"/>
              <w:bottom w:type="dxa" w:w="100"/>
              <w:right w:type="dxa" w:w="120"/>
            </w:tcMar>
            <w:vAlign w:val="center"/>
          </w:tcPr>
          <w:p>
            <w:pPr>
              <w:jc w:val="center"/>
            </w:pPr>
            <w:r>
              <w:rPr>
                <w:rFonts w:ascii="Arial" w:cs="Arial" w:eastAsia="Arial" w:hAnsi="Arial"/>
                <w:b/>
                <w:bCs/>
                <w:color w:val="1F4E79"/>
                <w:sz w:val="28"/>
                <w:szCs w:val="28"/>
              </w:rPr>
              <w:t xml:space="preserve">243K</w:t>
            </w:r>
          </w:p>
          <w:p>
            <w:pPr>
              <w:jc w:val="center"/>
            </w:pPr>
            <w:r>
              <w:rPr>
                <w:rFonts w:ascii="Arial" w:cs="Arial" w:eastAsia="Arial" w:hAnsi="Arial"/>
                <w:color w:val="595959"/>
                <w:sz w:val="16"/>
                <w:szCs w:val="16"/>
              </w:rPr>
              <w:t xml:space="preserve">Avg Passengers</w:t>
            </w:r>
          </w:p>
          <w:p>
            <w:pPr>
              <w:jc w:val="center"/>
            </w:pPr>
            <w:r>
              <w:rPr>
                <w:rFonts w:ascii="Arial" w:cs="Arial" w:eastAsia="Arial" w:hAnsi="Arial"/>
                <w:b/>
                <w:bCs/>
                <w:color w:val="1F8B4C"/>
                <w:sz w:val="16"/>
                <w:szCs w:val="16"/>
              </w:rPr>
              <w:t xml:space="preserve">▼ 3.2% post-COVID</w:t>
            </w:r>
          </w:p>
        </w:tc>
      </w:tr>
    </w:tbl>
    <w:p>
      <w:r>
        <w:br w:type="page"/>
      </w:r>
    </w:p>
    <w:p>
      <w:pPr>
        <w:pBdr>
          <w:bottom w:val="single" w:color="2E75B6" w:sz="8" w:space="4"/>
        </w:pBdr>
        <w:spacing w:before="400" w:after="160"/>
      </w:pPr>
      <w:r>
        <w:rPr>
          <w:rFonts w:ascii="Arial" w:cs="Arial" w:eastAsia="Arial" w:hAnsi="Arial"/>
          <w:b/>
          <w:bCs/>
          <w:color w:val="1F4E79"/>
          <w:sz w:val="30"/>
          <w:szCs w:val="30"/>
        </w:rPr>
        <w:t xml:space="preserve">4. Interpretation of Each Graph</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Each graph has been interpreted using the Standard 5-Point Framework: (1) What the graph shows, (2) Key pattern observed, (3) Insight, (4) Business implication, (5) Recommendation.</w:t>
      </w:r>
    </w:p>
    <w:p>
      <w:pPr>
        <w:spacing w:before="0" w:after="0"/>
      </w:pPr>
      <w:r>
        <w:rPr>
          <w:sz w:val="22"/>
          <w:szCs w:val="22"/>
        </w:rPr>
        <w:t xml:space="preserve"/>
      </w:r>
    </w:p>
    <w:p>
      <w:pPr>
        <w:spacing w:before="240" w:after="100"/>
      </w:pPr>
      <w:r>
        <w:rPr>
          <w:rFonts w:ascii="Arial" w:cs="Arial" w:eastAsia="Arial" w:hAnsi="Arial"/>
          <w:b/>
          <w:bCs/>
          <w:color w:val="2E75B6"/>
          <w:sz w:val="24"/>
          <w:szCs w:val="24"/>
        </w:rPr>
        <w:t xml:space="preserve">Graph 1: 31-Year Avg Fare Trend by Carrier  </w:t>
      </w:r>
      <w:r>
        <w:rPr>
          <w:rFonts w:ascii="Arial" w:cs="Arial" w:eastAsia="Arial" w:hAnsi="Arial"/>
          <w:b/>
          <w:bCs/>
          <w:color w:val="FFFFFF"/>
          <w:sz w:val="18"/>
          <w:szCs w:val="18"/>
          <w:highlight w:val="darkBlue"/>
          <w:highlightCs w:val="darkBlue"/>
        </w:rPr>
        <w:t xml:space="preserve">[Line Chart]</w:t>
      </w:r>
    </w:p>
    <w:p>
      <w:pPr>
        <w:spacing w:before="80" w:after="100" w:line="360"/>
        <w:jc w:val="both"/>
      </w:pPr>
      <w:r>
        <w:rPr>
          <w:rFonts w:ascii="Arial" w:cs="Arial" w:eastAsia="Arial" w:hAnsi="Arial"/>
          <w:color w:val="404040"/>
          <w:sz w:val="22"/>
          <w:szCs w:val="22"/>
        </w:rPr>
        <w:t xml:space="preserve">Tableau Setup: Columns = YEAR([Year]) | Rows = AVG([fare]) | Color = carrier_lg | Mark = Line | Reference lines added for 2001 (9/11), 2008 (recession), and 2020 (COVID-19). Filters: Carrier selector, Metric toggle (fare/fare_lg/fare_low).</w:t>
      </w:r>
    </w:p>
    <w:p>
      <w:pPr>
        <w:spacing w:before="0" w:after="0"/>
      </w:pPr>
      <w:r>
        <w:rPr>
          <w:sz w:val="22"/>
          <w:szCs w:val="22"/>
        </w:rPr>
        <w:t xml:space="preserve"/>
      </w:r>
    </w:p>
    <w:p>
      <w:pPr>
        <w:spacing w:before="80" w:after="40"/>
      </w:pPr>
      <w:r>
        <w:rPr>
          <w:rFonts w:ascii="Arial" w:cs="Arial" w:eastAsia="Arial" w:hAnsi="Arial"/>
          <w:b/>
          <w:bCs/>
          <w:color w:val="2E75B6"/>
          <w:sz w:val="22"/>
          <w:szCs w:val="22"/>
        </w:rPr>
        <w:t xml:space="preserve">  1. </w:t>
      </w:r>
      <w:r>
        <w:rPr>
          <w:rFonts w:ascii="Arial" w:cs="Arial" w:eastAsia="Arial" w:hAnsi="Arial"/>
          <w:b/>
          <w:bCs/>
          <w:color w:val="404040"/>
          <w:sz w:val="22"/>
          <w:szCs w:val="22"/>
        </w:rPr>
        <w:t xml:space="preserve">What the graph shows: </w:t>
      </w:r>
      <w:r>
        <w:rPr>
          <w:rFonts w:ascii="Arial" w:cs="Arial" w:eastAsia="Arial" w:hAnsi="Arial"/>
          <w:color w:val="595959"/>
          <w:sz w:val="22"/>
          <w:szCs w:val="22"/>
        </w:rPr>
        <w:t xml:space="preserve">A multi-line time series displaying how average fares for each of the five major US carriers — American (AA), Delta (DL), United (UA), Southwest (WN), and JetBlue (B6) — moved from 1993 to 2024. Each carrier is a distinct colored line, allowing simultaneous comparison of pricing trajectories across 31 years.</w:t>
      </w:r>
    </w:p>
    <w:p>
      <w:pPr>
        <w:spacing w:before="80" w:after="40"/>
      </w:pPr>
      <w:r>
        <w:rPr>
          <w:rFonts w:ascii="Arial" w:cs="Arial" w:eastAsia="Arial" w:hAnsi="Arial"/>
          <w:b/>
          <w:bCs/>
          <w:color w:val="2E75B6"/>
          <w:sz w:val="22"/>
          <w:szCs w:val="22"/>
        </w:rPr>
        <w:t xml:space="preserve">  2. </w:t>
      </w:r>
      <w:r>
        <w:rPr>
          <w:rFonts w:ascii="Arial" w:cs="Arial" w:eastAsia="Arial" w:hAnsi="Arial"/>
          <w:b/>
          <w:bCs/>
          <w:color w:val="404040"/>
          <w:sz w:val="22"/>
          <w:szCs w:val="22"/>
        </w:rPr>
        <w:t xml:space="preserve">Key pattern observed: </w:t>
      </w:r>
      <w:r>
        <w:rPr>
          <w:rFonts w:ascii="Arial" w:cs="Arial" w:eastAsia="Arial" w:hAnsi="Arial"/>
          <w:color w:val="595959"/>
          <w:sz w:val="22"/>
          <w:szCs w:val="22"/>
        </w:rPr>
        <w:t xml:space="preserve">All carrier lines show sharp downward dips at 2001 and 2020, corresponding to 9/11 and COVID-19 respectively. From 2013 onward, legacy carrier lines trend steeply upward following the completion of the major US airline mergers. Southwest maintains a consistently lower trajectory throughout the entire 31-year period.</w:t>
      </w:r>
    </w:p>
    <w:p>
      <w:pPr>
        <w:spacing w:before="80" w:after="40"/>
      </w:pPr>
      <w:r>
        <w:rPr>
          <w:rFonts w:ascii="Arial" w:cs="Arial" w:eastAsia="Arial" w:hAnsi="Arial"/>
          <w:b/>
          <w:bCs/>
          <w:color w:val="2E75B6"/>
          <w:sz w:val="22"/>
          <w:szCs w:val="22"/>
        </w:rPr>
        <w:t xml:space="preserve">  3. </w:t>
      </w:r>
      <w:r>
        <w:rPr>
          <w:rFonts w:ascii="Arial" w:cs="Arial" w:eastAsia="Arial" w:hAnsi="Arial"/>
          <w:b/>
          <w:bCs/>
          <w:color w:val="404040"/>
          <w:sz w:val="22"/>
          <w:szCs w:val="22"/>
        </w:rPr>
        <w:t xml:space="preserve">Insight: </w:t>
      </w:r>
      <w:r>
        <w:rPr>
          <w:rFonts w:ascii="Arial" w:cs="Arial" w:eastAsia="Arial" w:hAnsi="Arial"/>
          <w:color w:val="595959"/>
          <w:sz w:val="22"/>
          <w:szCs w:val="22"/>
        </w:rPr>
        <w:t xml:space="preserve">Post-merger consolidation among legacy carriers (AA, UA, DL) removed price competition and restored pricing power. The three mergers between 2008 and 2013 are the single most impactful structural event in the dataset, creating a permanent upward shift in legacy carrier fares that has not reversed even post-COVID.</w:t>
      </w:r>
    </w:p>
    <w:p>
      <w:pPr>
        <w:spacing w:before="80" w:after="40"/>
      </w:pPr>
      <w:r>
        <w:rPr>
          <w:rFonts w:ascii="Arial" w:cs="Arial" w:eastAsia="Arial" w:hAnsi="Arial"/>
          <w:b/>
          <w:bCs/>
          <w:color w:val="2E75B6"/>
          <w:sz w:val="22"/>
          <w:szCs w:val="22"/>
        </w:rPr>
        <w:t xml:space="preserve">  4. </w:t>
      </w:r>
      <w:r>
        <w:rPr>
          <w:rFonts w:ascii="Arial" w:cs="Arial" w:eastAsia="Arial" w:hAnsi="Arial"/>
          <w:b/>
          <w:bCs/>
          <w:color w:val="404040"/>
          <w:sz w:val="22"/>
          <w:szCs w:val="22"/>
        </w:rPr>
        <w:t xml:space="preserve">Business implication: </w:t>
      </w:r>
      <w:r>
        <w:rPr>
          <w:rFonts w:ascii="Arial" w:cs="Arial" w:eastAsia="Arial" w:hAnsi="Arial"/>
          <w:color w:val="595959"/>
          <w:sz w:val="22"/>
          <w:szCs w:val="22"/>
        </w:rPr>
        <w:t xml:space="preserve">Airlines operating on routes without low-cost carrier competition successfully converted post-merger market consolidation into sustained fare premiums. This implies that route-level competition — not fuel costs or operating expenses — is the primary determinant of fare levels in US domestic aviation.</w:t>
      </w:r>
    </w:p>
    <w:p>
      <w:pPr>
        <w:spacing w:before="80" w:after="40"/>
      </w:pPr>
      <w:r>
        <w:rPr>
          <w:rFonts w:ascii="Arial" w:cs="Arial" w:eastAsia="Arial" w:hAnsi="Arial"/>
          <w:b/>
          <w:bCs/>
          <w:color w:val="2E75B6"/>
          <w:sz w:val="22"/>
          <w:szCs w:val="22"/>
        </w:rPr>
        <w:t xml:space="preserve">  5. </w:t>
      </w:r>
      <w:r>
        <w:rPr>
          <w:rFonts w:ascii="Arial" w:cs="Arial" w:eastAsia="Arial" w:hAnsi="Arial"/>
          <w:b/>
          <w:bCs/>
          <w:color w:val="404040"/>
          <w:sz w:val="22"/>
          <w:szCs w:val="22"/>
        </w:rPr>
        <w:t xml:space="preserve">Recommendation: </w:t>
      </w:r>
      <w:r>
        <w:rPr>
          <w:rFonts w:ascii="Arial" w:cs="Arial" w:eastAsia="Arial" w:hAnsi="Arial"/>
          <w:color w:val="595959"/>
          <w:sz w:val="22"/>
          <w:szCs w:val="22"/>
        </w:rPr>
        <w:t xml:space="preserve">Regulators and the DOT should use this 31-year trend data as evidence that merger-driven consolidation has directly increased consumer fares. Consumers flying legacy carriers should specifically evaluate whether any low-cost carrier operates on their route, as the fare gap between legacy and budget on the same route frequently exceeds 30–40%.</w:t>
      </w:r>
    </w:p>
    <w:p>
      <w:pPr>
        <w:spacing w:before="80" w:after="120"/>
      </w:pPr>
      <w:r>
        <w:rPr>
          <w:rFonts w:ascii="Arial" w:cs="Arial" w:eastAsia="Arial" w:hAnsi="Arial"/>
          <w:b/>
          <w:bCs/>
          <w:color w:val="2E75B6"/>
          <w:sz w:val="20"/>
          <w:szCs w:val="20"/>
        </w:rPr>
        <w:t xml:space="preserve">Filters used: </w:t>
      </w:r>
      <w:r>
        <w:rPr>
          <w:rFonts w:ascii="Arial" w:cs="Arial" w:eastAsia="Arial" w:hAnsi="Arial"/>
          <w:i/>
          <w:iCs/>
          <w:color w:val="595959"/>
          <w:sz w:val="20"/>
          <w:szCs w:val="20"/>
        </w:rPr>
        <w:t xml:space="preserve">Carrier multi-select, Metric toggle (AVG fare / fare_lg / fare_low), Year range slider</w:t>
      </w:r>
    </w:p>
    <w:p>
      <w:pPr>
        <w:spacing w:before="0" w:after="0"/>
      </w:pPr>
      <w:r>
        <w:rPr>
          <w:sz w:val="22"/>
          <w:szCs w:val="22"/>
        </w:rPr>
        <w:t xml:space="preserve"/>
      </w:r>
    </w:p>
    <w:p>
      <w:pPr>
        <w:spacing w:before="240" w:after="100"/>
      </w:pPr>
      <w:r>
        <w:rPr>
          <w:rFonts w:ascii="Arial" w:cs="Arial" w:eastAsia="Arial" w:hAnsi="Arial"/>
          <w:b/>
          <w:bCs/>
          <w:color w:val="2E75B6"/>
          <w:sz w:val="24"/>
          <w:szCs w:val="24"/>
        </w:rPr>
        <w:t xml:space="preserve">Graph 2: City × Quarter Heatmap  </w:t>
      </w:r>
      <w:r>
        <w:rPr>
          <w:rFonts w:ascii="Arial" w:cs="Arial" w:eastAsia="Arial" w:hAnsi="Arial"/>
          <w:b/>
          <w:bCs/>
          <w:color w:val="FFFFFF"/>
          <w:sz w:val="18"/>
          <w:szCs w:val="18"/>
          <w:highlight w:val="darkBlue"/>
          <w:highlightCs w:val="darkBlue"/>
        </w:rPr>
        <w:t xml:space="preserve">[PRACTICAL ★]</w:t>
      </w:r>
    </w:p>
    <w:p>
      <w:pPr>
        <w:spacing w:before="80" w:after="100" w:line="360"/>
        <w:jc w:val="both"/>
      </w:pPr>
      <w:r>
        <w:rPr>
          <w:rFonts w:ascii="Arial" w:cs="Arial" w:eastAsia="Arial" w:hAnsi="Arial"/>
          <w:color w:val="404040"/>
          <w:sz w:val="22"/>
          <w:szCs w:val="22"/>
        </w:rPr>
        <w:t xml:space="preserve">Tableau Setup: Rows = city1 (Top 15 by fare) | Columns = quarter | Color = AVG([fare]) using blue-red diverging sequential palette — darker red = higher fare | Tooltip = city name, quarter, exact average fare | Filters = Year era dropdown, Metric toggle (fare vs passengers).</w:t>
      </w:r>
    </w:p>
    <w:p>
      <w:pPr>
        <w:spacing w:before="0" w:after="0"/>
      </w:pPr>
      <w:r>
        <w:rPr>
          <w:sz w:val="22"/>
          <w:szCs w:val="22"/>
        </w:rPr>
        <w:t xml:space="preserve"/>
      </w:r>
    </w:p>
    <w:p>
      <w:pPr>
        <w:spacing w:before="80" w:after="40"/>
      </w:pPr>
      <w:r>
        <w:rPr>
          <w:rFonts w:ascii="Arial" w:cs="Arial" w:eastAsia="Arial" w:hAnsi="Arial"/>
          <w:b/>
          <w:bCs/>
          <w:color w:val="2E75B6"/>
          <w:sz w:val="22"/>
          <w:szCs w:val="22"/>
        </w:rPr>
        <w:t xml:space="preserve">  1. </w:t>
      </w:r>
      <w:r>
        <w:rPr>
          <w:rFonts w:ascii="Arial" w:cs="Arial" w:eastAsia="Arial" w:hAnsi="Arial"/>
          <w:b/>
          <w:bCs/>
          <w:color w:val="404040"/>
          <w:sz w:val="22"/>
          <w:szCs w:val="22"/>
        </w:rPr>
        <w:t xml:space="preserve">What the graph shows: </w:t>
      </w:r>
      <w:r>
        <w:rPr>
          <w:rFonts w:ascii="Arial" w:cs="Arial" w:eastAsia="Arial" w:hAnsi="Arial"/>
          <w:color w:val="595959"/>
          <w:sz w:val="22"/>
          <w:szCs w:val="22"/>
        </w:rPr>
        <w:t xml:space="preserve">The heatmap displays the average airfare for the top 15 US origin cities across all four quarters of the year, with color intensity directly encoding price level. Each row is one origin city and each column is one quarter, allowing the viewer to identify price hotspots across both geography and time simultaneously.</w:t>
      </w:r>
    </w:p>
    <w:p>
      <w:pPr>
        <w:spacing w:before="80" w:after="40"/>
      </w:pPr>
      <w:r>
        <w:rPr>
          <w:rFonts w:ascii="Arial" w:cs="Arial" w:eastAsia="Arial" w:hAnsi="Arial"/>
          <w:b/>
          <w:bCs/>
          <w:color w:val="2E75B6"/>
          <w:sz w:val="22"/>
          <w:szCs w:val="22"/>
        </w:rPr>
        <w:t xml:space="preserve">  2. </w:t>
      </w:r>
      <w:r>
        <w:rPr>
          <w:rFonts w:ascii="Arial" w:cs="Arial" w:eastAsia="Arial" w:hAnsi="Arial"/>
          <w:b/>
          <w:bCs/>
          <w:color w:val="404040"/>
          <w:sz w:val="22"/>
          <w:szCs w:val="22"/>
        </w:rPr>
        <w:t xml:space="preserve">Key pattern observed: </w:t>
      </w:r>
      <w:r>
        <w:rPr>
          <w:rFonts w:ascii="Arial" w:cs="Arial" w:eastAsia="Arial" w:hAnsi="Arial"/>
          <w:color w:val="595959"/>
          <w:sz w:val="22"/>
          <w:szCs w:val="22"/>
        </w:rPr>
        <w:t xml:space="preserve">Q3 (July–September) cells are uniformly the darkest across all 15 cities, confirming peak summer demand as the strongest universal pricing pressure in US aviation. Q1 (January–March) cells are consistently the lightest, identifying the off-peak window where average fares are 15–22% lower than Q3 across all major origin cities.</w:t>
      </w:r>
    </w:p>
    <w:p>
      <w:pPr>
        <w:spacing w:before="80" w:after="40"/>
      </w:pPr>
      <w:r>
        <w:rPr>
          <w:rFonts w:ascii="Arial" w:cs="Arial" w:eastAsia="Arial" w:hAnsi="Arial"/>
          <w:b/>
          <w:bCs/>
          <w:color w:val="2E75B6"/>
          <w:sz w:val="22"/>
          <w:szCs w:val="22"/>
        </w:rPr>
        <w:t xml:space="preserve">  3. </w:t>
      </w:r>
      <w:r>
        <w:rPr>
          <w:rFonts w:ascii="Arial" w:cs="Arial" w:eastAsia="Arial" w:hAnsi="Arial"/>
          <w:b/>
          <w:bCs/>
          <w:color w:val="404040"/>
          <w:sz w:val="22"/>
          <w:szCs w:val="22"/>
        </w:rPr>
        <w:t xml:space="preserve">Insight: </w:t>
      </w:r>
      <w:r>
        <w:rPr>
          <w:rFonts w:ascii="Arial" w:cs="Arial" w:eastAsia="Arial" w:hAnsi="Arial"/>
          <w:color w:val="595959"/>
          <w:sz w:val="22"/>
          <w:szCs w:val="22"/>
        </w:rPr>
        <w:t xml:space="preserve">The heatmap reveals a structural asymmetry between hub and regional airports. Major hub cities (New York, Chicago, Los Angeles) show the widest color contrast between Q1 and Q3 — reflecting competitive price pressure during off-peak months. Smaller regional cities show uniformly darker cells even in Q1, as limited carrier competition prevents off-peak discounting.</w:t>
      </w:r>
    </w:p>
    <w:p>
      <w:pPr>
        <w:spacing w:before="80" w:after="40"/>
      </w:pPr>
      <w:r>
        <w:rPr>
          <w:rFonts w:ascii="Arial" w:cs="Arial" w:eastAsia="Arial" w:hAnsi="Arial"/>
          <w:b/>
          <w:bCs/>
          <w:color w:val="2E75B6"/>
          <w:sz w:val="22"/>
          <w:szCs w:val="22"/>
        </w:rPr>
        <w:t xml:space="preserve">  4. </w:t>
      </w:r>
      <w:r>
        <w:rPr>
          <w:rFonts w:ascii="Arial" w:cs="Arial" w:eastAsia="Arial" w:hAnsi="Arial"/>
          <w:b/>
          <w:bCs/>
          <w:color w:val="404040"/>
          <w:sz w:val="22"/>
          <w:szCs w:val="22"/>
        </w:rPr>
        <w:t xml:space="preserve">Business implication: </w:t>
      </w:r>
      <w:r>
        <w:rPr>
          <w:rFonts w:ascii="Arial" w:cs="Arial" w:eastAsia="Arial" w:hAnsi="Arial"/>
          <w:color w:val="595959"/>
          <w:sz w:val="22"/>
          <w:szCs w:val="22"/>
        </w:rPr>
        <w:t xml:space="preserve">For airline revenue managers, the heatmap confirms that Q3 pricing power is the highest-leverage window for yield optimization. For corporate travel procurement teams, the consistent Q1 light cells provide a reliable annual window to negotiate travel contracts or rebook at off-peak rates, with potential savings of 15–22% on air budgets.</w:t>
      </w:r>
    </w:p>
    <w:p>
      <w:pPr>
        <w:spacing w:before="80" w:after="40"/>
      </w:pPr>
      <w:r>
        <w:rPr>
          <w:rFonts w:ascii="Arial" w:cs="Arial" w:eastAsia="Arial" w:hAnsi="Arial"/>
          <w:b/>
          <w:bCs/>
          <w:color w:val="2E75B6"/>
          <w:sz w:val="22"/>
          <w:szCs w:val="22"/>
        </w:rPr>
        <w:t xml:space="preserve">  5. </w:t>
      </w:r>
      <w:r>
        <w:rPr>
          <w:rFonts w:ascii="Arial" w:cs="Arial" w:eastAsia="Arial" w:hAnsi="Arial"/>
          <w:b/>
          <w:bCs/>
          <w:color w:val="404040"/>
          <w:sz w:val="22"/>
          <w:szCs w:val="22"/>
        </w:rPr>
        <w:t xml:space="preserve">Recommendation: </w:t>
      </w:r>
      <w:r>
        <w:rPr>
          <w:rFonts w:ascii="Arial" w:cs="Arial" w:eastAsia="Arial" w:hAnsi="Arial"/>
          <w:color w:val="595959"/>
          <w:sz w:val="22"/>
          <w:szCs w:val="22"/>
        </w:rPr>
        <w:t xml:space="preserve">Travelers and corporate travel managers should prioritize January–March bookings for the cheapest US domestic fares. Airlines serving small regional airports with consistently dark cells across all quarters should be flagged for route competition review, as the data suggests limited competitive pressure is enabling year-round premium pricing regardless of actual demand levels.</w:t>
      </w:r>
    </w:p>
    <w:p>
      <w:pPr>
        <w:spacing w:before="80" w:after="120"/>
      </w:pPr>
      <w:r>
        <w:rPr>
          <w:rFonts w:ascii="Arial" w:cs="Arial" w:eastAsia="Arial" w:hAnsi="Arial"/>
          <w:b/>
          <w:bCs/>
          <w:color w:val="2E75B6"/>
          <w:sz w:val="20"/>
          <w:szCs w:val="20"/>
        </w:rPr>
        <w:t xml:space="preserve">Filters used: </w:t>
      </w:r>
      <w:r>
        <w:rPr>
          <w:rFonts w:ascii="Arial" w:cs="Arial" w:eastAsia="Arial" w:hAnsi="Arial"/>
          <w:i/>
          <w:iCs/>
          <w:color w:val="595959"/>
          <w:sz w:val="20"/>
          <w:szCs w:val="20"/>
        </w:rPr>
        <w:t xml:space="preserve">Year era (All/1990s/2000s/2010s/2020s), Metric toggle (Fare $ / Passengers), Carrier filter</w:t>
      </w:r>
    </w:p>
    <w:p>
      <w:pPr>
        <w:spacing w:before="0" w:after="0"/>
      </w:pPr>
      <w:r>
        <w:rPr>
          <w:sz w:val="22"/>
          <w:szCs w:val="22"/>
        </w:rPr>
        <w:t xml:space="preserve"/>
      </w:r>
    </w:p>
    <w:p>
      <w:pPr>
        <w:spacing w:before="240" w:after="100"/>
      </w:pPr>
      <w:r>
        <w:rPr>
          <w:rFonts w:ascii="Arial" w:cs="Arial" w:eastAsia="Arial" w:hAnsi="Arial"/>
          <w:b/>
          <w:bCs/>
          <w:color w:val="2E75B6"/>
          <w:sz w:val="24"/>
          <w:szCs w:val="24"/>
        </w:rPr>
        <w:t xml:space="preserve">Graph 3: Cohort Analysis — Decade Fare Pattern  </w:t>
      </w:r>
      <w:r>
        <w:rPr>
          <w:rFonts w:ascii="Arial" w:cs="Arial" w:eastAsia="Arial" w:hAnsi="Arial"/>
          <w:b/>
          <w:bCs/>
          <w:color w:val="FFFFFF"/>
          <w:sz w:val="18"/>
          <w:szCs w:val="18"/>
          <w:highlight w:val="darkBlue"/>
          <w:highlightCs w:val="darkBlue"/>
        </w:rPr>
        <w:t xml:space="preserve">[PRACTICAL ★]</w:t>
      </w:r>
    </w:p>
    <w:p>
      <w:pPr>
        <w:spacing w:before="80" w:after="100" w:line="360"/>
        <w:jc w:val="both"/>
      </w:pPr>
      <w:r>
        <w:rPr>
          <w:rFonts w:ascii="Arial" w:cs="Arial" w:eastAsia="Arial" w:hAnsi="Arial"/>
          <w:color w:val="404040"/>
          <w:sz w:val="22"/>
          <w:szCs w:val="22"/>
        </w:rPr>
        <w:t xml:space="preserve">Tableau Setup: Calculated field — Decade = IF [Year] &lt; 2000 THEN "1990s" ELSEIF [Year] &lt; 2010 THEN "2000s" ELSEIF [Year] &lt; 2020 THEN "2010s" ELSE "2020s" END | Columns = quarter | Rows = AVG([fare]) | Color = Decade | Mark = Line with points | Filters = Distance band, Carrier.</w:t>
      </w:r>
    </w:p>
    <w:p>
      <w:pPr>
        <w:spacing w:before="0" w:after="0"/>
      </w:pPr>
      <w:r>
        <w:rPr>
          <w:sz w:val="22"/>
          <w:szCs w:val="22"/>
        </w:rPr>
        <w:t xml:space="preserve"/>
      </w:r>
    </w:p>
    <w:p>
      <w:pPr>
        <w:spacing w:before="80" w:after="40"/>
      </w:pPr>
      <w:r>
        <w:rPr>
          <w:rFonts w:ascii="Arial" w:cs="Arial" w:eastAsia="Arial" w:hAnsi="Arial"/>
          <w:b/>
          <w:bCs/>
          <w:color w:val="2E75B6"/>
          <w:sz w:val="22"/>
          <w:szCs w:val="22"/>
        </w:rPr>
        <w:t xml:space="preserve">  1. </w:t>
      </w:r>
      <w:r>
        <w:rPr>
          <w:rFonts w:ascii="Arial" w:cs="Arial" w:eastAsia="Arial" w:hAnsi="Arial"/>
          <w:b/>
          <w:bCs/>
          <w:color w:val="404040"/>
          <w:sz w:val="22"/>
          <w:szCs w:val="22"/>
        </w:rPr>
        <w:t xml:space="preserve">What the graph shows: </w:t>
      </w:r>
      <w:r>
        <w:rPr>
          <w:rFonts w:ascii="Arial" w:cs="Arial" w:eastAsia="Arial" w:hAnsi="Arial"/>
          <w:color w:val="595959"/>
          <w:sz w:val="22"/>
          <w:szCs w:val="22"/>
        </w:rPr>
        <w:t xml:space="preserve">Each of the four lines represents one decade cohort — the 1990s, 2000s, 2010s, and 2020s — plotted across Q1 through Q4. The chart shows how the seasonal fare pattern has changed across four distinct generations of US aviation, allowing direct comparison of pricing levels and seasonal amplitude between decades.</w:t>
      </w:r>
    </w:p>
    <w:p>
      <w:pPr>
        <w:spacing w:before="80" w:after="40"/>
      </w:pPr>
      <w:r>
        <w:rPr>
          <w:rFonts w:ascii="Arial" w:cs="Arial" w:eastAsia="Arial" w:hAnsi="Arial"/>
          <w:b/>
          <w:bCs/>
          <w:color w:val="2E75B6"/>
          <w:sz w:val="22"/>
          <w:szCs w:val="22"/>
        </w:rPr>
        <w:t xml:space="preserve">  2. </w:t>
      </w:r>
      <w:r>
        <w:rPr>
          <w:rFonts w:ascii="Arial" w:cs="Arial" w:eastAsia="Arial" w:hAnsi="Arial"/>
          <w:b/>
          <w:bCs/>
          <w:color w:val="404040"/>
          <w:sz w:val="22"/>
          <w:szCs w:val="22"/>
        </w:rPr>
        <w:t xml:space="preserve">Key pattern observed: </w:t>
      </w:r>
      <w:r>
        <w:rPr>
          <w:rFonts w:ascii="Arial" w:cs="Arial" w:eastAsia="Arial" w:hAnsi="Arial"/>
          <w:color w:val="595959"/>
          <w:sz w:val="22"/>
          <w:szCs w:val="22"/>
        </w:rPr>
        <w:t xml:space="preserve">The 1990s cohort line sits at the top of the chart despite being the oldest — revealing that nominal fares in the 1990s were actually higher than the 2000s. The 2000s cohort sits at the bottom as the cheapest decade. The 2020s cohort shows uniquely flat Q1–Q2 values followed by the steepest Q3 spike of any decade, directly reflecting COVID suppression followed by pent-up travel demand.</w:t>
      </w:r>
    </w:p>
    <w:p>
      <w:pPr>
        <w:spacing w:before="80" w:after="40"/>
      </w:pPr>
      <w:r>
        <w:rPr>
          <w:rFonts w:ascii="Arial" w:cs="Arial" w:eastAsia="Arial" w:hAnsi="Arial"/>
          <w:b/>
          <w:bCs/>
          <w:color w:val="2E75B6"/>
          <w:sz w:val="22"/>
          <w:szCs w:val="22"/>
        </w:rPr>
        <w:t xml:space="preserve">  3. </w:t>
      </w:r>
      <w:r>
        <w:rPr>
          <w:rFonts w:ascii="Arial" w:cs="Arial" w:eastAsia="Arial" w:hAnsi="Arial"/>
          <w:b/>
          <w:bCs/>
          <w:color w:val="404040"/>
          <w:sz w:val="22"/>
          <w:szCs w:val="22"/>
        </w:rPr>
        <w:t xml:space="preserve">Insight: </w:t>
      </w:r>
      <w:r>
        <w:rPr>
          <w:rFonts w:ascii="Arial" w:cs="Arial" w:eastAsia="Arial" w:hAnsi="Arial"/>
          <w:color w:val="595959"/>
          <w:sz w:val="22"/>
          <w:szCs w:val="22"/>
        </w:rPr>
        <w:t xml:space="preserve">The downward shift from the 1990s to the 2000s cohort line represents the consumer benefit of airline deregulation, increased LCC entry, and post-9/11 demand collapse. The upward shift from the 2000s to the 2010s represents the reversal of these gains through airline mergers. The convergence of all four cohort lines at Q3 confirms that summer demand is the one universal pricing force that persists across every decade of US aviation history.</w:t>
      </w:r>
    </w:p>
    <w:p>
      <w:pPr>
        <w:spacing w:before="80" w:after="40"/>
      </w:pPr>
      <w:r>
        <w:rPr>
          <w:rFonts w:ascii="Arial" w:cs="Arial" w:eastAsia="Arial" w:hAnsi="Arial"/>
          <w:b/>
          <w:bCs/>
          <w:color w:val="2E75B6"/>
          <w:sz w:val="22"/>
          <w:szCs w:val="22"/>
        </w:rPr>
        <w:t xml:space="preserve">  4. </w:t>
      </w:r>
      <w:r>
        <w:rPr>
          <w:rFonts w:ascii="Arial" w:cs="Arial" w:eastAsia="Arial" w:hAnsi="Arial"/>
          <w:b/>
          <w:bCs/>
          <w:color w:val="404040"/>
          <w:sz w:val="22"/>
          <w:szCs w:val="22"/>
        </w:rPr>
        <w:t xml:space="preserve">Business implication: </w:t>
      </w:r>
      <w:r>
        <w:rPr>
          <w:rFonts w:ascii="Arial" w:cs="Arial" w:eastAsia="Arial" w:hAnsi="Arial"/>
          <w:color w:val="595959"/>
          <w:sz w:val="22"/>
          <w:szCs w:val="22"/>
        </w:rPr>
        <w:t xml:space="preserve">The 2020s cohort is structurally elevated above the 2010s, indicating that post-pandemic fare normalization has not yet occurred. Airlines have successfully converted post-COVID capacity reduction into a permanent fare floor that is higher than pre-pandemic levels. This finding is critical for corporate travel budget planning — travel budgets based on 2018–2019 fare benchmarks will systematically underfund actual 2024 travel costs.</w:t>
      </w:r>
    </w:p>
    <w:p>
      <w:pPr>
        <w:spacing w:before="80" w:after="40"/>
      </w:pPr>
      <w:r>
        <w:rPr>
          <w:rFonts w:ascii="Arial" w:cs="Arial" w:eastAsia="Arial" w:hAnsi="Arial"/>
          <w:b/>
          <w:bCs/>
          <w:color w:val="2E75B6"/>
          <w:sz w:val="22"/>
          <w:szCs w:val="22"/>
        </w:rPr>
        <w:t xml:space="preserve">  5. </w:t>
      </w:r>
      <w:r>
        <w:rPr>
          <w:rFonts w:ascii="Arial" w:cs="Arial" w:eastAsia="Arial" w:hAnsi="Arial"/>
          <w:b/>
          <w:bCs/>
          <w:color w:val="404040"/>
          <w:sz w:val="22"/>
          <w:szCs w:val="22"/>
        </w:rPr>
        <w:t xml:space="preserve">Recommendation: </w:t>
      </w:r>
      <w:r>
        <w:rPr>
          <w:rFonts w:ascii="Arial" w:cs="Arial" w:eastAsia="Arial" w:hAnsi="Arial"/>
          <w:color w:val="595959"/>
          <w:sz w:val="22"/>
          <w:szCs w:val="22"/>
        </w:rPr>
        <w:t xml:space="preserve">The cohort analysis directly identifies Q1 of any year as the cheapest booking window across all decades. Travel managers should use decade-cohort benchmarking when evaluating current fare levels — comparing 2024 fares against the 2010s cohort rather than nominal year-over-year changes provides a more accurate picture of structural fare inflation driven by industry consolidation.</w:t>
      </w:r>
    </w:p>
    <w:p>
      <w:pPr>
        <w:spacing w:before="80" w:after="120"/>
      </w:pPr>
      <w:r>
        <w:rPr>
          <w:rFonts w:ascii="Arial" w:cs="Arial" w:eastAsia="Arial" w:hAnsi="Arial"/>
          <w:b/>
          <w:bCs/>
          <w:color w:val="2E75B6"/>
          <w:sz w:val="20"/>
          <w:szCs w:val="20"/>
        </w:rPr>
        <w:t xml:space="preserve">Filters used: </w:t>
      </w:r>
      <w:r>
        <w:rPr>
          <w:rFonts w:ascii="Arial" w:cs="Arial" w:eastAsia="Arial" w:hAnsi="Arial"/>
          <w:i/>
          <w:iCs/>
          <w:color w:val="595959"/>
          <w:sz w:val="20"/>
          <w:szCs w:val="20"/>
        </w:rPr>
        <w:t xml:space="preserve">Distance band (All/Short/Medium/Long), Carrier (All/AA/DL/WN), Gap fill overlay toggle</w:t>
      </w:r>
    </w:p>
    <w:p>
      <w:pPr>
        <w:spacing w:before="0" w:after="0"/>
      </w:pPr>
      <w:r>
        <w:rPr>
          <w:sz w:val="22"/>
          <w:szCs w:val="22"/>
        </w:rPr>
        <w:t xml:space="preserve"/>
      </w:r>
    </w:p>
    <w:p>
      <w:pPr>
        <w:spacing w:before="240" w:after="100"/>
      </w:pPr>
      <w:r>
        <w:rPr>
          <w:rFonts w:ascii="Arial" w:cs="Arial" w:eastAsia="Arial" w:hAnsi="Arial"/>
          <w:b/>
          <w:bCs/>
          <w:color w:val="2E75B6"/>
          <w:sz w:val="24"/>
          <w:szCs w:val="24"/>
        </w:rPr>
        <w:t xml:space="preserve">Graph 4: What-If Fare Simulator  </w:t>
      </w:r>
      <w:r>
        <w:rPr>
          <w:rFonts w:ascii="Arial" w:cs="Arial" w:eastAsia="Arial" w:hAnsi="Arial"/>
          <w:b/>
          <w:bCs/>
          <w:color w:val="FFFFFF"/>
          <w:sz w:val="18"/>
          <w:szCs w:val="18"/>
          <w:highlight w:val="darkBlue"/>
          <w:highlightCs w:val="darkBlue"/>
        </w:rPr>
        <w:t xml:space="preserve">[PRACTICAL ★]</w:t>
      </w:r>
    </w:p>
    <w:p>
      <w:pPr>
        <w:spacing w:before="80" w:after="100" w:line="360"/>
        <w:jc w:val="both"/>
      </w:pPr>
      <w:r>
        <w:rPr>
          <w:rFonts w:ascii="Arial" w:cs="Arial" w:eastAsia="Arial" w:hAnsi="Arial"/>
          <w:color w:val="404040"/>
          <w:sz w:val="22"/>
          <w:szCs w:val="22"/>
        </w:rPr>
        <w:t xml:space="preserve">Tableau Setup: Create three parameters — [Fare_Adj] (float, range -30 to +50, step 1), [Season_Mult] (float, range 0.70 to 1.50, step 0.05), [Dist_Band] (string list: Short/Medium/Long). Calculated field: Simulated_Fare = AVG([fare]) × (1 + [Fare_Adj]/100) × [Season_Mult]. Bar chart: Columns = carrier_lg | Rows = Simulated_Fare | Stacked with Base Fare for comparison.</w:t>
      </w:r>
    </w:p>
    <w:p>
      <w:pPr>
        <w:spacing w:before="0" w:after="0"/>
      </w:pPr>
      <w:r>
        <w:rPr>
          <w:sz w:val="22"/>
          <w:szCs w:val="22"/>
        </w:rPr>
        <w:t xml:space="preserve"/>
      </w:r>
    </w:p>
    <w:p>
      <w:pPr>
        <w:spacing w:before="80" w:after="40"/>
      </w:pPr>
      <w:r>
        <w:rPr>
          <w:rFonts w:ascii="Arial" w:cs="Arial" w:eastAsia="Arial" w:hAnsi="Arial"/>
          <w:b/>
          <w:bCs/>
          <w:color w:val="2E75B6"/>
          <w:sz w:val="22"/>
          <w:szCs w:val="22"/>
        </w:rPr>
        <w:t xml:space="preserve">  1. </w:t>
      </w:r>
      <w:r>
        <w:rPr>
          <w:rFonts w:ascii="Arial" w:cs="Arial" w:eastAsia="Arial" w:hAnsi="Arial"/>
          <w:b/>
          <w:bCs/>
          <w:color w:val="404040"/>
          <w:sz w:val="22"/>
          <w:szCs w:val="22"/>
        </w:rPr>
        <w:t xml:space="preserve">What the graph shows: </w:t>
      </w:r>
      <w:r>
        <w:rPr>
          <w:rFonts w:ascii="Arial" w:cs="Arial" w:eastAsia="Arial" w:hAnsi="Arial"/>
          <w:color w:val="595959"/>
          <w:sz w:val="22"/>
          <w:szCs w:val="22"/>
        </w:rPr>
        <w:t xml:space="preserve">An interactive parameter-driven simulation showing how average carrier fares would change if three factors are adjusted simultaneously: a fare percentage change (modeling price increases or decreases), a seasonal demand multiplier (modeling peak vs off-peak conditions), and a distance band filter (modeling short, medium, or long-haul route selection). Two bars per carrier — the grey base fare and the colored simulated fare — allow direct visual comparison of the before/after scenario.</w:t>
      </w:r>
    </w:p>
    <w:p>
      <w:pPr>
        <w:spacing w:before="80" w:after="40"/>
      </w:pPr>
      <w:r>
        <w:rPr>
          <w:rFonts w:ascii="Arial" w:cs="Arial" w:eastAsia="Arial" w:hAnsi="Arial"/>
          <w:b/>
          <w:bCs/>
          <w:color w:val="2E75B6"/>
          <w:sz w:val="22"/>
          <w:szCs w:val="22"/>
        </w:rPr>
        <w:t xml:space="preserve">  2. </w:t>
      </w:r>
      <w:r>
        <w:rPr>
          <w:rFonts w:ascii="Arial" w:cs="Arial" w:eastAsia="Arial" w:hAnsi="Arial"/>
          <w:b/>
          <w:bCs/>
          <w:color w:val="404040"/>
          <w:sz w:val="22"/>
          <w:szCs w:val="22"/>
        </w:rPr>
        <w:t xml:space="preserve">Key pattern observed: </w:t>
      </w:r>
      <w:r>
        <w:rPr>
          <w:rFonts w:ascii="Arial" w:cs="Arial" w:eastAsia="Arial" w:hAnsi="Arial"/>
          <w:color w:val="595959"/>
          <w:sz w:val="22"/>
          <w:szCs w:val="22"/>
        </w:rPr>
        <w:t xml:space="preserve">When a +20% fare adjustment is applied with peak season (1.4×) and long-haul distance selected, legacy carrier simulated bars rise to $530–$545 while Southwest rises to only $375. This confirms that the same percentage increase generates a significantly larger absolute dollar uplift for legacy carriers due to their higher base fare, revealing the compounding revenue advantage of brand-premium positioning.</w:t>
      </w:r>
    </w:p>
    <w:p>
      <w:pPr>
        <w:spacing w:before="80" w:after="40"/>
      </w:pPr>
      <w:r>
        <w:rPr>
          <w:rFonts w:ascii="Arial" w:cs="Arial" w:eastAsia="Arial" w:hAnsi="Arial"/>
          <w:b/>
          <w:bCs/>
          <w:color w:val="2E75B6"/>
          <w:sz w:val="22"/>
          <w:szCs w:val="22"/>
        </w:rPr>
        <w:t xml:space="preserve">  3. </w:t>
      </w:r>
      <w:r>
        <w:rPr>
          <w:rFonts w:ascii="Arial" w:cs="Arial" w:eastAsia="Arial" w:hAnsi="Arial"/>
          <w:b/>
          <w:bCs/>
          <w:color w:val="404040"/>
          <w:sz w:val="22"/>
          <w:szCs w:val="22"/>
        </w:rPr>
        <w:t xml:space="preserve">Insight: </w:t>
      </w:r>
      <w:r>
        <w:rPr>
          <w:rFonts w:ascii="Arial" w:cs="Arial" w:eastAsia="Arial" w:hAnsi="Arial"/>
          <w:color w:val="595959"/>
          <w:sz w:val="22"/>
          <w:szCs w:val="22"/>
        </w:rPr>
        <w:t xml:space="preserve">The What-If simulation reveals risk asymmetry between carrier types. A -15% fare reduction (modeling a fare war or economic downturn) drops Southwest below $265 but only drops legacy carriers to $375–$380. This means budget carriers are more financially exposed to fare competition in absolute terms, as a 15% reduction erodes a much larger proportion of their thinner margin structure.</w:t>
      </w:r>
    </w:p>
    <w:p>
      <w:pPr>
        <w:spacing w:before="80" w:after="40"/>
      </w:pPr>
      <w:r>
        <w:rPr>
          <w:rFonts w:ascii="Arial" w:cs="Arial" w:eastAsia="Arial" w:hAnsi="Arial"/>
          <w:b/>
          <w:bCs/>
          <w:color w:val="2E75B6"/>
          <w:sz w:val="22"/>
          <w:szCs w:val="22"/>
        </w:rPr>
        <w:t xml:space="preserve">  4. </w:t>
      </w:r>
      <w:r>
        <w:rPr>
          <w:rFonts w:ascii="Arial" w:cs="Arial" w:eastAsia="Arial" w:hAnsi="Arial"/>
          <w:b/>
          <w:bCs/>
          <w:color w:val="404040"/>
          <w:sz w:val="22"/>
          <w:szCs w:val="22"/>
        </w:rPr>
        <w:t xml:space="preserve">Business implication: </w:t>
      </w:r>
      <w:r>
        <w:rPr>
          <w:rFonts w:ascii="Arial" w:cs="Arial" w:eastAsia="Arial" w:hAnsi="Arial"/>
          <w:color w:val="595959"/>
          <w:sz w:val="22"/>
          <w:szCs w:val="22"/>
        </w:rPr>
        <w:t xml:space="preserve">For airline revenue managers, the simulation confirms the optimal yield strategy: a +10% fare increase combined with a 1.2× seasonal multiplier on long-haul routes generates the highest simulated fare output without exceeding consumer price resistance thresholds established by competitive benchmarks. This combination effectively identifies the revenue-maximizing parameter configuration within the current market.</w:t>
      </w:r>
    </w:p>
    <w:p>
      <w:pPr>
        <w:spacing w:before="80" w:after="40"/>
      </w:pPr>
      <w:r>
        <w:rPr>
          <w:rFonts w:ascii="Arial" w:cs="Arial" w:eastAsia="Arial" w:hAnsi="Arial"/>
          <w:b/>
          <w:bCs/>
          <w:color w:val="2E75B6"/>
          <w:sz w:val="22"/>
          <w:szCs w:val="22"/>
        </w:rPr>
        <w:t xml:space="preserve">  5. </w:t>
      </w:r>
      <w:r>
        <w:rPr>
          <w:rFonts w:ascii="Arial" w:cs="Arial" w:eastAsia="Arial" w:hAnsi="Arial"/>
          <w:b/>
          <w:bCs/>
          <w:color w:val="404040"/>
          <w:sz w:val="22"/>
          <w:szCs w:val="22"/>
        </w:rPr>
        <w:t xml:space="preserve">Recommendation: </w:t>
      </w:r>
      <w:r>
        <w:rPr>
          <w:rFonts w:ascii="Arial" w:cs="Arial" w:eastAsia="Arial" w:hAnsi="Arial"/>
          <w:color w:val="595959"/>
          <w:sz w:val="22"/>
          <w:szCs w:val="22"/>
        </w:rPr>
        <w:t xml:space="preserve">Airlines should use the What-If framework to stress-test their pricing decisions before implementation. The simulation particularly supports the case for dynamic pricing on long-haul routes in Q3 — the combination of elevated distance multiplier and peak season multiplier creates the greatest absolute fare uplift, making summer long-haul routes the single highest-leverage pricing window in the entire US domestic network.</w:t>
      </w:r>
    </w:p>
    <w:p>
      <w:pPr>
        <w:spacing w:before="80" w:after="120"/>
      </w:pPr>
      <w:r>
        <w:rPr>
          <w:rFonts w:ascii="Arial" w:cs="Arial" w:eastAsia="Arial" w:hAnsi="Arial"/>
          <w:b/>
          <w:bCs/>
          <w:color w:val="2E75B6"/>
          <w:sz w:val="20"/>
          <w:szCs w:val="20"/>
        </w:rPr>
        <w:t xml:space="preserve">Filters used: </w:t>
      </w:r>
      <w:r>
        <w:rPr>
          <w:rFonts w:ascii="Arial" w:cs="Arial" w:eastAsia="Arial" w:hAnsi="Arial"/>
          <w:i/>
          <w:iCs/>
          <w:color w:val="595959"/>
          <w:sz w:val="20"/>
          <w:szCs w:val="20"/>
        </w:rPr>
        <w:t xml:space="preserve">Fare Adjustment % slider (-30% to +50%), Season Multiplier slider (0.70× to 1.50×), Distance Band selector (Short/Medium/Long), Base Year selector</w:t>
      </w:r>
    </w:p>
    <w:p>
      <w:pPr>
        <w:spacing w:before="0" w:after="0"/>
      </w:pPr>
      <w:r>
        <w:rPr>
          <w:sz w:val="22"/>
          <w:szCs w:val="22"/>
        </w:rPr>
        <w:t xml:space="preserve"/>
      </w:r>
    </w:p>
    <w:p>
      <w:pPr>
        <w:spacing w:before="240" w:after="100"/>
      </w:pPr>
      <w:r>
        <w:rPr>
          <w:rFonts w:ascii="Arial" w:cs="Arial" w:eastAsia="Arial" w:hAnsi="Arial"/>
          <w:b/>
          <w:bCs/>
          <w:color w:val="2E75B6"/>
          <w:sz w:val="24"/>
          <w:szCs w:val="24"/>
        </w:rPr>
        <w:t xml:space="preserve">Graph 5: Route Fare Comparison — Dominant vs Lowest Fare  </w:t>
      </w:r>
      <w:r>
        <w:rPr>
          <w:rFonts w:ascii="Arial" w:cs="Arial" w:eastAsia="Arial" w:hAnsi="Arial"/>
          <w:b/>
          <w:bCs/>
          <w:color w:val="FFFFFF"/>
          <w:sz w:val="18"/>
          <w:szCs w:val="18"/>
          <w:highlight w:val="darkBlue"/>
          <w:highlightCs w:val="darkBlue"/>
        </w:rPr>
        <w:t xml:space="preserve">[Grouped Bar Chart]</w:t>
      </w:r>
    </w:p>
    <w:p>
      <w:pPr>
        <w:spacing w:before="80" w:after="100" w:line="360"/>
        <w:jc w:val="both"/>
      </w:pPr>
      <w:r>
        <w:rPr>
          <w:rFonts w:ascii="Arial" w:cs="Arial" w:eastAsia="Arial" w:hAnsi="Arial"/>
          <w:color w:val="404040"/>
          <w:sz w:val="22"/>
          <w:szCs w:val="22"/>
        </w:rPr>
        <w:t xml:space="preserve">Tableau Setup: Calculated field Route = [city1] + " → " + [city2] | Rows = Route (Top N sorted) | Columns = AVG([fare_lg]) and AVG([fare_low]) displayed as side-by-side bars | Color = Blue for fare_lg, Green for fare_low | Sort by fare_lg descending | Filters = Sort order selector, Top N selector, Distance band.</w:t>
      </w:r>
    </w:p>
    <w:p>
      <w:pPr>
        <w:spacing w:before="0" w:after="0"/>
      </w:pPr>
      <w:r>
        <w:rPr>
          <w:sz w:val="22"/>
          <w:szCs w:val="22"/>
        </w:rPr>
        <w:t xml:space="preserve"/>
      </w:r>
    </w:p>
    <w:p>
      <w:pPr>
        <w:spacing w:before="80" w:after="40"/>
      </w:pPr>
      <w:r>
        <w:rPr>
          <w:rFonts w:ascii="Arial" w:cs="Arial" w:eastAsia="Arial" w:hAnsi="Arial"/>
          <w:b/>
          <w:bCs/>
          <w:color w:val="2E75B6"/>
          <w:sz w:val="22"/>
          <w:szCs w:val="22"/>
        </w:rPr>
        <w:t xml:space="preserve">  1. </w:t>
      </w:r>
      <w:r>
        <w:rPr>
          <w:rFonts w:ascii="Arial" w:cs="Arial" w:eastAsia="Arial" w:hAnsi="Arial"/>
          <w:b/>
          <w:bCs/>
          <w:color w:val="404040"/>
          <w:sz w:val="22"/>
          <w:szCs w:val="22"/>
        </w:rPr>
        <w:t xml:space="preserve">What the graph shows: </w:t>
      </w:r>
      <w:r>
        <w:rPr>
          <w:rFonts w:ascii="Arial" w:cs="Arial" w:eastAsia="Arial" w:hAnsi="Arial"/>
          <w:color w:val="595959"/>
          <w:sz w:val="22"/>
          <w:szCs w:val="22"/>
        </w:rPr>
        <w:t xml:space="preserve">A sorted horizontal grouped bar chart ranking the top US domestic routes by dominant carrier fare (blue) alongside the lowest fare available on the same route (green). The width of the gap between the two bars for each route directly visualizes the degree of competitive pressure — a narrow gap indicates strong competition, while a wide gap indicates limited competition and potential monopoly pricing.</w:t>
      </w:r>
    </w:p>
    <w:p>
      <w:pPr>
        <w:spacing w:before="80" w:after="40"/>
      </w:pPr>
      <w:r>
        <w:rPr>
          <w:rFonts w:ascii="Arial" w:cs="Arial" w:eastAsia="Arial" w:hAnsi="Arial"/>
          <w:b/>
          <w:bCs/>
          <w:color w:val="2E75B6"/>
          <w:sz w:val="22"/>
          <w:szCs w:val="22"/>
        </w:rPr>
        <w:t xml:space="preserve">  2. </w:t>
      </w:r>
      <w:r>
        <w:rPr>
          <w:rFonts w:ascii="Arial" w:cs="Arial" w:eastAsia="Arial" w:hAnsi="Arial"/>
          <w:b/>
          <w:bCs/>
          <w:color w:val="404040"/>
          <w:sz w:val="22"/>
          <w:szCs w:val="22"/>
        </w:rPr>
        <w:t xml:space="preserve">Key pattern observed: </w:t>
      </w:r>
      <w:r>
        <w:rPr>
          <w:rFonts w:ascii="Arial" w:cs="Arial" w:eastAsia="Arial" w:hAnsi="Arial"/>
          <w:color w:val="595959"/>
          <w:sz w:val="22"/>
          <w:szCs w:val="22"/>
        </w:rPr>
        <w:t xml:space="preserve">The top 5 routes by fare gap all show dominant carrier market shares above 65%, directly confirming that competition gap is a reliable proxy for route monopolization. Several short-distance routes appear in the expensive tier, proving that distance alone does not explain high fares — route monopoly is the dominant pricing factor when combined with limited carrier alternatives.</w:t>
      </w:r>
    </w:p>
    <w:p>
      <w:pPr>
        <w:spacing w:before="80" w:after="40"/>
      </w:pPr>
      <w:r>
        <w:rPr>
          <w:rFonts w:ascii="Arial" w:cs="Arial" w:eastAsia="Arial" w:hAnsi="Arial"/>
          <w:b/>
          <w:bCs/>
          <w:color w:val="2E75B6"/>
          <w:sz w:val="22"/>
          <w:szCs w:val="22"/>
        </w:rPr>
        <w:t xml:space="preserve">  3. </w:t>
      </w:r>
      <w:r>
        <w:rPr>
          <w:rFonts w:ascii="Arial" w:cs="Arial" w:eastAsia="Arial" w:hAnsi="Arial"/>
          <w:b/>
          <w:bCs/>
          <w:color w:val="404040"/>
          <w:sz w:val="22"/>
          <w:szCs w:val="22"/>
        </w:rPr>
        <w:t xml:space="preserve">Insight: </w:t>
      </w:r>
      <w:r>
        <w:rPr>
          <w:rFonts w:ascii="Arial" w:cs="Arial" w:eastAsia="Arial" w:hAnsi="Arial"/>
          <w:color w:val="595959"/>
          <w:sz w:val="22"/>
          <w:szCs w:val="22"/>
        </w:rPr>
        <w:t xml:space="preserve">Routes operated by Southwest as either the dominant or lowest-fare carrier consistently show the smallest bar spread in the chart — even when Southwest is not the cheapest absolute option, its presence forces all competing carriers to compress their fares on that corridor. This is the clearest visual evidence of the so-called "Southwest Effect" — the documented phenomenon of fare reduction on any route that Southwest enters.</w:t>
      </w:r>
    </w:p>
    <w:p>
      <w:pPr>
        <w:spacing w:before="80" w:after="40"/>
      </w:pPr>
      <w:r>
        <w:rPr>
          <w:rFonts w:ascii="Arial" w:cs="Arial" w:eastAsia="Arial" w:hAnsi="Arial"/>
          <w:b/>
          <w:bCs/>
          <w:color w:val="2E75B6"/>
          <w:sz w:val="22"/>
          <w:szCs w:val="22"/>
        </w:rPr>
        <w:t xml:space="preserve">  4. </w:t>
      </w:r>
      <w:r>
        <w:rPr>
          <w:rFonts w:ascii="Arial" w:cs="Arial" w:eastAsia="Arial" w:hAnsi="Arial"/>
          <w:b/>
          <w:bCs/>
          <w:color w:val="404040"/>
          <w:sz w:val="22"/>
          <w:szCs w:val="22"/>
        </w:rPr>
        <w:t xml:space="preserve">Business implication: </w:t>
      </w:r>
      <w:r>
        <w:rPr>
          <w:rFonts w:ascii="Arial" w:cs="Arial" w:eastAsia="Arial" w:hAnsi="Arial"/>
          <w:color w:val="595959"/>
          <w:sz w:val="22"/>
          <w:szCs w:val="22"/>
        </w:rPr>
        <w:t xml:space="preserve">Routes with a fare gap exceeding $150 and a single dominant carrier above 70% market share represent the highest-priority cases for entry by low-cost carriers. For the airlines themselves, these wide-gap routes are where premium pricing is currently sustainable, making them the most profitable corridors to defend against potential low-cost carrier entry through capacity expansion or selective fare matching.</w:t>
      </w:r>
    </w:p>
    <w:p>
      <w:pPr>
        <w:spacing w:before="80" w:after="40"/>
      </w:pPr>
      <w:r>
        <w:rPr>
          <w:rFonts w:ascii="Arial" w:cs="Arial" w:eastAsia="Arial" w:hAnsi="Arial"/>
          <w:b/>
          <w:bCs/>
          <w:color w:val="2E75B6"/>
          <w:sz w:val="22"/>
          <w:szCs w:val="22"/>
        </w:rPr>
        <w:t xml:space="preserve">  5. </w:t>
      </w:r>
      <w:r>
        <w:rPr>
          <w:rFonts w:ascii="Arial" w:cs="Arial" w:eastAsia="Arial" w:hAnsi="Arial"/>
          <w:b/>
          <w:bCs/>
          <w:color w:val="404040"/>
          <w:sz w:val="22"/>
          <w:szCs w:val="22"/>
        </w:rPr>
        <w:t xml:space="preserve">Recommendation: </w:t>
      </w:r>
      <w:r>
        <w:rPr>
          <w:rFonts w:ascii="Arial" w:cs="Arial" w:eastAsia="Arial" w:hAnsi="Arial"/>
          <w:color w:val="595959"/>
          <w:sz w:val="22"/>
          <w:szCs w:val="22"/>
        </w:rPr>
        <w:t xml:space="preserve">The Department of Transportation should monitor routes in the top tier of this chart for competitive adequacy. From a consumer perspective, travelers on any route where the gap between dominant and low fares exceeds $120 should specifically check whether a budget carrier alternative exists, as the chart shows these passengers are paying a substantial monopoly premium that could be avoided with alternative routing or carrier selection.</w:t>
      </w:r>
    </w:p>
    <w:p>
      <w:pPr>
        <w:spacing w:before="80" w:after="120"/>
      </w:pPr>
      <w:r>
        <w:rPr>
          <w:rFonts w:ascii="Arial" w:cs="Arial" w:eastAsia="Arial" w:hAnsi="Arial"/>
          <w:b/>
          <w:bCs/>
          <w:color w:val="2E75B6"/>
          <w:sz w:val="20"/>
          <w:szCs w:val="20"/>
        </w:rPr>
        <w:t xml:space="preserve">Filters used: </w:t>
      </w:r>
      <w:r>
        <w:rPr>
          <w:rFonts w:ascii="Arial" w:cs="Arial" w:eastAsia="Arial" w:hAnsi="Arial"/>
          <w:i/>
          <w:iCs/>
          <w:color w:val="595959"/>
          <w:sz w:val="20"/>
          <w:szCs w:val="20"/>
        </w:rPr>
        <w:t xml:space="preserve">Sort by (Highest fare / Biggest gap / Lowest fare), Top N (8/10/12), Distance band (All/Short/Medium/Long)</w:t>
      </w:r>
    </w:p>
    <w:p>
      <w:pPr>
        <w:spacing w:before="0" w:after="0"/>
      </w:pPr>
      <w:r>
        <w:rPr>
          <w:sz w:val="22"/>
          <w:szCs w:val="22"/>
        </w:rPr>
        <w:t xml:space="preserve"/>
      </w:r>
    </w:p>
    <w:p>
      <w:pPr>
        <w:spacing w:before="240" w:after="100"/>
      </w:pPr>
      <w:r>
        <w:rPr>
          <w:rFonts w:ascii="Arial" w:cs="Arial" w:eastAsia="Arial" w:hAnsi="Arial"/>
          <w:b/>
          <w:bCs/>
          <w:color w:val="2E75B6"/>
          <w:sz w:val="24"/>
          <w:szCs w:val="24"/>
        </w:rPr>
        <w:t xml:space="preserve">Graph 6: Distance vs Fare Scatter Plot  </w:t>
      </w:r>
      <w:r>
        <w:rPr>
          <w:rFonts w:ascii="Arial" w:cs="Arial" w:eastAsia="Arial" w:hAnsi="Arial"/>
          <w:b/>
          <w:bCs/>
          <w:color w:val="FFFFFF"/>
          <w:sz w:val="18"/>
          <w:szCs w:val="18"/>
          <w:highlight w:val="darkBlue"/>
          <w:highlightCs w:val="darkBlue"/>
        </w:rPr>
        <w:t xml:space="preserve">[Scatter / Bubble Chart]</w:t>
      </w:r>
    </w:p>
    <w:p>
      <w:pPr>
        <w:spacing w:before="80" w:after="100" w:line="360"/>
        <w:jc w:val="both"/>
      </w:pPr>
      <w:r>
        <w:rPr>
          <w:rFonts w:ascii="Arial" w:cs="Arial" w:eastAsia="Arial" w:hAnsi="Arial"/>
          <w:color w:val="404040"/>
          <w:sz w:val="22"/>
          <w:szCs w:val="22"/>
        </w:rPr>
        <w:t xml:space="preserve">Tableau Setup: Columns = AVG([nsmiles]) | Rows = AVG([fare]) | Size = SUM([passengers]) — larger bubbles = more passengers | Color = AVG([large_ms]) using sequential color scale — darker = higher market share / more monopolized | Add linear trend line per mark | Tooltip = city pair, distance, avg fare, market share.</w:t>
      </w:r>
    </w:p>
    <w:p>
      <w:pPr>
        <w:spacing w:before="0" w:after="0"/>
      </w:pPr>
      <w:r>
        <w:rPr>
          <w:sz w:val="22"/>
          <w:szCs w:val="22"/>
        </w:rPr>
        <w:t xml:space="preserve"/>
      </w:r>
    </w:p>
    <w:p>
      <w:pPr>
        <w:spacing w:before="80" w:after="40"/>
      </w:pPr>
      <w:r>
        <w:rPr>
          <w:rFonts w:ascii="Arial" w:cs="Arial" w:eastAsia="Arial" w:hAnsi="Arial"/>
          <w:b/>
          <w:bCs/>
          <w:color w:val="2E75B6"/>
          <w:sz w:val="22"/>
          <w:szCs w:val="22"/>
        </w:rPr>
        <w:t xml:space="preserve">  1. </w:t>
      </w:r>
      <w:r>
        <w:rPr>
          <w:rFonts w:ascii="Arial" w:cs="Arial" w:eastAsia="Arial" w:hAnsi="Arial"/>
          <w:b/>
          <w:bCs/>
          <w:color w:val="404040"/>
          <w:sz w:val="22"/>
          <w:szCs w:val="22"/>
        </w:rPr>
        <w:t xml:space="preserve">What the graph shows: </w:t>
      </w:r>
      <w:r>
        <w:rPr>
          <w:rFonts w:ascii="Arial" w:cs="Arial" w:eastAsia="Arial" w:hAnsi="Arial"/>
          <w:color w:val="595959"/>
          <w:sz w:val="22"/>
          <w:szCs w:val="22"/>
        </w:rPr>
        <w:t xml:space="preserve">Each bubble represents one city-pair route, plotted by its distance on the x-axis versus its average fare on the y-axis. Bubble size encodes passenger volume (larger = more traffic) while bubble color encodes the dominant carrier's market share (darker = more monopolized). A linear trend line is fitted to the data to show the distance-fare relationship.</w:t>
      </w:r>
    </w:p>
    <w:p>
      <w:pPr>
        <w:spacing w:before="80" w:after="40"/>
      </w:pPr>
      <w:r>
        <w:rPr>
          <w:rFonts w:ascii="Arial" w:cs="Arial" w:eastAsia="Arial" w:hAnsi="Arial"/>
          <w:b/>
          <w:bCs/>
          <w:color w:val="2E75B6"/>
          <w:sz w:val="22"/>
          <w:szCs w:val="22"/>
        </w:rPr>
        <w:t xml:space="preserve">  2. </w:t>
      </w:r>
      <w:r>
        <w:rPr>
          <w:rFonts w:ascii="Arial" w:cs="Arial" w:eastAsia="Arial" w:hAnsi="Arial"/>
          <w:b/>
          <w:bCs/>
          <w:color w:val="404040"/>
          <w:sz w:val="22"/>
          <w:szCs w:val="22"/>
        </w:rPr>
        <w:t xml:space="preserve">Key pattern observed: </w:t>
      </w:r>
      <w:r>
        <w:rPr>
          <w:rFonts w:ascii="Arial" w:cs="Arial" w:eastAsia="Arial" w:hAnsi="Arial"/>
          <w:color w:val="595959"/>
          <w:sz w:val="22"/>
          <w:szCs w:val="22"/>
        </w:rPr>
        <w:t xml:space="preserve">The trend line shows a positive relationship between distance and fare, but with very wide scatter around the line — the R-squared value is low, indicating that distance explains less than 40% of fare variation across routes. The wide scatter confirms that competition level, carrier brand, and route monopoly structure account for the majority of unexplained fare differences.</w:t>
      </w:r>
    </w:p>
    <w:p>
      <w:pPr>
        <w:spacing w:before="80" w:after="40"/>
      </w:pPr>
      <w:r>
        <w:rPr>
          <w:rFonts w:ascii="Arial" w:cs="Arial" w:eastAsia="Arial" w:hAnsi="Arial"/>
          <w:b/>
          <w:bCs/>
          <w:color w:val="2E75B6"/>
          <w:sz w:val="22"/>
          <w:szCs w:val="22"/>
        </w:rPr>
        <w:t xml:space="preserve">  3. </w:t>
      </w:r>
      <w:r>
        <w:rPr>
          <w:rFonts w:ascii="Arial" w:cs="Arial" w:eastAsia="Arial" w:hAnsi="Arial"/>
          <w:b/>
          <w:bCs/>
          <w:color w:val="404040"/>
          <w:sz w:val="22"/>
          <w:szCs w:val="22"/>
        </w:rPr>
        <w:t xml:space="preserve">Insight: </w:t>
      </w:r>
      <w:r>
        <w:rPr>
          <w:rFonts w:ascii="Arial" w:cs="Arial" w:eastAsia="Arial" w:hAnsi="Arial"/>
          <w:color w:val="595959"/>
          <w:sz w:val="22"/>
          <w:szCs w:val="22"/>
        </w:rPr>
        <w:t xml:space="preserve">Dark-colored bubbles (high market share / monopoly routes) consistently cluster above the trend line for their distance range — routes dominated by one carrier systematically charge fares 20–35% above the distance-adjusted benchmark. Light-colored bubbles (competitive routes) cluster below the trend line, confirming that competition drives fares to or below the distance-expected level, directly benefiting passengers on these corridors.</w:t>
      </w:r>
    </w:p>
    <w:p>
      <w:pPr>
        <w:spacing w:before="80" w:after="40"/>
      </w:pPr>
      <w:r>
        <w:rPr>
          <w:rFonts w:ascii="Arial" w:cs="Arial" w:eastAsia="Arial" w:hAnsi="Arial"/>
          <w:b/>
          <w:bCs/>
          <w:color w:val="2E75B6"/>
          <w:sz w:val="22"/>
          <w:szCs w:val="22"/>
        </w:rPr>
        <w:t xml:space="preserve">  4. </w:t>
      </w:r>
      <w:r>
        <w:rPr>
          <w:rFonts w:ascii="Arial" w:cs="Arial" w:eastAsia="Arial" w:hAnsi="Arial"/>
          <w:b/>
          <w:bCs/>
          <w:color w:val="404040"/>
          <w:sz w:val="22"/>
          <w:szCs w:val="22"/>
        </w:rPr>
        <w:t xml:space="preserve">Business implication: </w:t>
      </w:r>
      <w:r>
        <w:rPr>
          <w:rFonts w:ascii="Arial" w:cs="Arial" w:eastAsia="Arial" w:hAnsi="Arial"/>
          <w:color w:val="595959"/>
          <w:sz w:val="22"/>
          <w:szCs w:val="22"/>
        </w:rPr>
        <w:t xml:space="preserve">The scatter plot visually identifies three distinct market segments: (1) the high-value zone — large bubbles in the lower-right quadrant representing long-distance, heavily-trafficked, competitive routes where aggressive carrier competition produces consumer benefit; (2) the premium zone — dark small bubbles in the upper-left showing short monopoly routes where airlines extract disproportionate fares; and (3) the expected zone — medium-colored bubbles near the trend line representing normal distance-correlated pricing.</w:t>
      </w:r>
    </w:p>
    <w:p>
      <w:pPr>
        <w:spacing w:before="80" w:after="40"/>
      </w:pPr>
      <w:r>
        <w:rPr>
          <w:rFonts w:ascii="Arial" w:cs="Arial" w:eastAsia="Arial" w:hAnsi="Arial"/>
          <w:b/>
          <w:bCs/>
          <w:color w:val="2E75B6"/>
          <w:sz w:val="22"/>
          <w:szCs w:val="22"/>
        </w:rPr>
        <w:t xml:space="preserve">  5. </w:t>
      </w:r>
      <w:r>
        <w:rPr>
          <w:rFonts w:ascii="Arial" w:cs="Arial" w:eastAsia="Arial" w:hAnsi="Arial"/>
          <w:b/>
          <w:bCs/>
          <w:color w:val="404040"/>
          <w:sz w:val="22"/>
          <w:szCs w:val="22"/>
        </w:rPr>
        <w:t xml:space="preserve">Recommendation: </w:t>
      </w:r>
      <w:r>
        <w:rPr>
          <w:rFonts w:ascii="Arial" w:cs="Arial" w:eastAsia="Arial" w:hAnsi="Arial"/>
          <w:color w:val="595959"/>
          <w:sz w:val="22"/>
          <w:szCs w:val="22"/>
        </w:rPr>
        <w:t xml:space="preserve">The small dark bubbles in the upper-left quadrant — short routes with high fares and high market concentration — are the most economically distorted routes in US domestic aviation. These represent the highest consumer welfare loss per seat and should be the primary target for both regulatory scrutiny and low-cost carrier market entry strategy. Airlines planning network expansion should specifically evaluate these high-fare, low-competition short routes as entry opportunities.</w:t>
      </w:r>
    </w:p>
    <w:p>
      <w:pPr>
        <w:spacing w:before="80" w:after="120"/>
      </w:pPr>
      <w:r>
        <w:rPr>
          <w:rFonts w:ascii="Arial" w:cs="Arial" w:eastAsia="Arial" w:hAnsi="Arial"/>
          <w:b/>
          <w:bCs/>
          <w:color w:val="2E75B6"/>
          <w:sz w:val="20"/>
          <w:szCs w:val="20"/>
        </w:rPr>
        <w:t xml:space="preserve">Filters used: </w:t>
      </w:r>
      <w:r>
        <w:rPr>
          <w:rFonts w:ascii="Arial" w:cs="Arial" w:eastAsia="Arial" w:hAnsi="Arial"/>
          <w:i/>
          <w:iCs/>
          <w:color w:val="595959"/>
          <w:sz w:val="20"/>
          <w:szCs w:val="20"/>
        </w:rPr>
        <w:t xml:space="preserve">Year era, Carrier highlight (All/monopoly/competitive), Distance band toggle</w:t>
      </w:r>
    </w:p>
    <w:p>
      <w:pPr>
        <w:spacing w:before="0" w:after="0"/>
      </w:pPr>
      <w:r>
        <w:rPr>
          <w:sz w:val="22"/>
          <w:szCs w:val="22"/>
        </w:rPr>
        <w:t xml:space="preserve"/>
      </w:r>
    </w:p>
    <w:p>
      <w:pPr>
        <w:spacing w:before="240" w:after="100"/>
      </w:pPr>
      <w:r>
        <w:rPr>
          <w:rFonts w:ascii="Arial" w:cs="Arial" w:eastAsia="Arial" w:hAnsi="Arial"/>
          <w:b/>
          <w:bCs/>
          <w:color w:val="2E75B6"/>
          <w:sz w:val="24"/>
          <w:szCs w:val="24"/>
        </w:rPr>
        <w:t xml:space="preserve">Graph 7: Carrier Market Share  </w:t>
      </w:r>
      <w:r>
        <w:rPr>
          <w:rFonts w:ascii="Arial" w:cs="Arial" w:eastAsia="Arial" w:hAnsi="Arial"/>
          <w:b/>
          <w:bCs/>
          <w:color w:val="FFFFFF"/>
          <w:sz w:val="18"/>
          <w:szCs w:val="18"/>
          <w:highlight w:val="darkBlue"/>
          <w:highlightCs w:val="darkBlue"/>
        </w:rPr>
        <w:t xml:space="preserve">[Donut Chart]</w:t>
      </w:r>
    </w:p>
    <w:p>
      <w:pPr>
        <w:spacing w:before="80" w:after="100" w:line="360"/>
        <w:jc w:val="both"/>
      </w:pPr>
      <w:r>
        <w:rPr>
          <w:rFonts w:ascii="Arial" w:cs="Arial" w:eastAsia="Arial" w:hAnsi="Arial"/>
          <w:color w:val="404040"/>
          <w:sz w:val="22"/>
          <w:szCs w:val="22"/>
        </w:rPr>
        <w:t xml:space="preserve">Tableau Setup: Mark type = Pie | Color = carrier_lg | Size = COUNT([routes]) or COUNTD([airport_1] + [airport_2]) | Pie converted to donut by overlaying white circle in center | Tooltip = carrier name, % share, number of routes dominated | Filter = Year era, Distance band.</w:t>
      </w:r>
    </w:p>
    <w:p>
      <w:pPr>
        <w:spacing w:before="0" w:after="0"/>
      </w:pPr>
      <w:r>
        <w:rPr>
          <w:sz w:val="22"/>
          <w:szCs w:val="22"/>
        </w:rPr>
        <w:t xml:space="preserve"/>
      </w:r>
    </w:p>
    <w:p>
      <w:pPr>
        <w:spacing w:before="80" w:after="40"/>
      </w:pPr>
      <w:r>
        <w:rPr>
          <w:rFonts w:ascii="Arial" w:cs="Arial" w:eastAsia="Arial" w:hAnsi="Arial"/>
          <w:b/>
          <w:bCs/>
          <w:color w:val="2E75B6"/>
          <w:sz w:val="22"/>
          <w:szCs w:val="22"/>
        </w:rPr>
        <w:t xml:space="preserve">  1. </w:t>
      </w:r>
      <w:r>
        <w:rPr>
          <w:rFonts w:ascii="Arial" w:cs="Arial" w:eastAsia="Arial" w:hAnsi="Arial"/>
          <w:b/>
          <w:bCs/>
          <w:color w:val="404040"/>
          <w:sz w:val="22"/>
          <w:szCs w:val="22"/>
        </w:rPr>
        <w:t xml:space="preserve">What the graph shows: </w:t>
      </w:r>
      <w:r>
        <w:rPr>
          <w:rFonts w:ascii="Arial" w:cs="Arial" w:eastAsia="Arial" w:hAnsi="Arial"/>
          <w:color w:val="595959"/>
          <w:sz w:val="22"/>
          <w:szCs w:val="22"/>
        </w:rPr>
        <w:t xml:space="preserve">A donut chart showing what percentage of all US domestic routes each major airline dominates as the carrier with the largest market share (carrier_lg). Each slice represents one carrier, sized proportionally to the number of routes where it holds the dominant market position.</w:t>
      </w:r>
    </w:p>
    <w:p>
      <w:pPr>
        <w:spacing w:before="80" w:after="40"/>
      </w:pPr>
      <w:r>
        <w:rPr>
          <w:rFonts w:ascii="Arial" w:cs="Arial" w:eastAsia="Arial" w:hAnsi="Arial"/>
          <w:b/>
          <w:bCs/>
          <w:color w:val="2E75B6"/>
          <w:sz w:val="22"/>
          <w:szCs w:val="22"/>
        </w:rPr>
        <w:t xml:space="preserve">  2. </w:t>
      </w:r>
      <w:r>
        <w:rPr>
          <w:rFonts w:ascii="Arial" w:cs="Arial" w:eastAsia="Arial" w:hAnsi="Arial"/>
          <w:b/>
          <w:bCs/>
          <w:color w:val="404040"/>
          <w:sz w:val="22"/>
          <w:szCs w:val="22"/>
        </w:rPr>
        <w:t xml:space="preserve">Key pattern observed: </w:t>
      </w:r>
      <w:r>
        <w:rPr>
          <w:rFonts w:ascii="Arial" w:cs="Arial" w:eastAsia="Arial" w:hAnsi="Arial"/>
          <w:color w:val="595959"/>
          <w:sz w:val="22"/>
          <w:szCs w:val="22"/>
        </w:rPr>
        <w:t xml:space="preserve">American Airlines (AA), Delta (DL), and United (UA) together account for approximately 78% of all dominant route positions, confirming that the legacy carrier oligopoly controls the structural backbone of US domestic aviation. Southwest (WN) holds approximately 14% of dominant positions, while JetBlue and other carriers collectively account for the remaining 8%.</w:t>
      </w:r>
    </w:p>
    <w:p>
      <w:pPr>
        <w:spacing w:before="80" w:after="40"/>
      </w:pPr>
      <w:r>
        <w:rPr>
          <w:rFonts w:ascii="Arial" w:cs="Arial" w:eastAsia="Arial" w:hAnsi="Arial"/>
          <w:b/>
          <w:bCs/>
          <w:color w:val="2E75B6"/>
          <w:sz w:val="22"/>
          <w:szCs w:val="22"/>
        </w:rPr>
        <w:t xml:space="preserve">  3. </w:t>
      </w:r>
      <w:r>
        <w:rPr>
          <w:rFonts w:ascii="Arial" w:cs="Arial" w:eastAsia="Arial" w:hAnsi="Arial"/>
          <w:b/>
          <w:bCs/>
          <w:color w:val="404040"/>
          <w:sz w:val="22"/>
          <w:szCs w:val="22"/>
        </w:rPr>
        <w:t xml:space="preserve">Insight: </w:t>
      </w:r>
      <w:r>
        <w:rPr>
          <w:rFonts w:ascii="Arial" w:cs="Arial" w:eastAsia="Arial" w:hAnsi="Arial"/>
          <w:color w:val="595959"/>
          <w:sz w:val="22"/>
          <w:szCs w:val="22"/>
        </w:rPr>
        <w:t xml:space="preserve">Southwest's 14% dominant route share significantly understates its competitive influence. Research shows Southwest operates as either the primary competitor or lowest-fare carrier on nearly 40% of US domestic routes — more than double its dominant route share. This reveals that market dominance as measured by carrier_lg systematically undercounts the competitive pressure exerted by aggressive LCCs on routes where they operate without being the largest carrier.</w:t>
      </w:r>
    </w:p>
    <w:p>
      <w:pPr>
        <w:spacing w:before="80" w:after="40"/>
      </w:pPr>
      <w:r>
        <w:rPr>
          <w:rFonts w:ascii="Arial" w:cs="Arial" w:eastAsia="Arial" w:hAnsi="Arial"/>
          <w:b/>
          <w:bCs/>
          <w:color w:val="2E75B6"/>
          <w:sz w:val="22"/>
          <w:szCs w:val="22"/>
        </w:rPr>
        <w:t xml:space="preserve">  4. </w:t>
      </w:r>
      <w:r>
        <w:rPr>
          <w:rFonts w:ascii="Arial" w:cs="Arial" w:eastAsia="Arial" w:hAnsi="Arial"/>
          <w:b/>
          <w:bCs/>
          <w:color w:val="404040"/>
          <w:sz w:val="22"/>
          <w:szCs w:val="22"/>
        </w:rPr>
        <w:t xml:space="preserve">Business implication: </w:t>
      </w:r>
      <w:r>
        <w:rPr>
          <w:rFonts w:ascii="Arial" w:cs="Arial" w:eastAsia="Arial" w:hAnsi="Arial"/>
          <w:color w:val="595959"/>
          <w:sz w:val="22"/>
          <w:szCs w:val="22"/>
        </w:rPr>
        <w:t xml:space="preserve">The donut chart filtered to the 1990s versus 2020s era shows a direct shift: AA's dominant share grew from 24% to 32% after the American-US Airways merger, confirming that consolidation directly and measurably increased the route-level market power of the merged entity. This is the clearest visualization in the dataset of how mergers translate into structural competitive advantage.</w:t>
      </w:r>
    </w:p>
    <w:p>
      <w:pPr>
        <w:spacing w:before="80" w:after="40"/>
      </w:pPr>
      <w:r>
        <w:rPr>
          <w:rFonts w:ascii="Arial" w:cs="Arial" w:eastAsia="Arial" w:hAnsi="Arial"/>
          <w:b/>
          <w:bCs/>
          <w:color w:val="2E75B6"/>
          <w:sz w:val="22"/>
          <w:szCs w:val="22"/>
        </w:rPr>
        <w:t xml:space="preserve">  5. </w:t>
      </w:r>
      <w:r>
        <w:rPr>
          <w:rFonts w:ascii="Arial" w:cs="Arial" w:eastAsia="Arial" w:hAnsi="Arial"/>
          <w:b/>
          <w:bCs/>
          <w:color w:val="404040"/>
          <w:sz w:val="22"/>
          <w:szCs w:val="22"/>
        </w:rPr>
        <w:t xml:space="preserve">Recommendation: </w:t>
      </w:r>
      <w:r>
        <w:rPr>
          <w:rFonts w:ascii="Arial" w:cs="Arial" w:eastAsia="Arial" w:hAnsi="Arial"/>
          <w:color w:val="595959"/>
          <w:sz w:val="22"/>
          <w:szCs w:val="22"/>
        </w:rPr>
        <w:t xml:space="preserve">Consumers booking on routes dominated by any of the three legacy carriers (the 78% of the donut) face a statistically higher probability of paying above-market fares. The practical recommendation is to specifically search Southwest, Spirit, or Frontier alternatives for any trip on a legacy-dominated route before purchasing — the gap between legacy dominant fares and low-cost alternatives on these routes frequently exceeds 25–35%.</w:t>
      </w:r>
    </w:p>
    <w:p>
      <w:pPr>
        <w:spacing w:before="80" w:after="120"/>
      </w:pPr>
      <w:r>
        <w:rPr>
          <w:rFonts w:ascii="Arial" w:cs="Arial" w:eastAsia="Arial" w:hAnsi="Arial"/>
          <w:b/>
          <w:bCs/>
          <w:color w:val="2E75B6"/>
          <w:sz w:val="20"/>
          <w:szCs w:val="20"/>
        </w:rPr>
        <w:t xml:space="preserve">Filters used: </w:t>
      </w:r>
      <w:r>
        <w:rPr>
          <w:rFonts w:ascii="Arial" w:cs="Arial" w:eastAsia="Arial" w:hAnsi="Arial"/>
          <w:i/>
          <w:iCs/>
          <w:color w:val="595959"/>
          <w:sz w:val="20"/>
          <w:szCs w:val="20"/>
        </w:rPr>
        <w:t xml:space="preserve">Year era (All/1990s/2010s/2020s), Distance band (All/Short/Long)</w:t>
      </w:r>
    </w:p>
    <w:p>
      <w:pPr>
        <w:spacing w:before="0" w:after="0"/>
      </w:pPr>
      <w:r>
        <w:rPr>
          <w:sz w:val="22"/>
          <w:szCs w:val="22"/>
        </w:rPr>
        <w:t xml:space="preserve"/>
      </w:r>
    </w:p>
    <w:p>
      <w:pPr>
        <w:spacing w:before="240" w:after="100"/>
      </w:pPr>
      <w:r>
        <w:rPr>
          <w:rFonts w:ascii="Arial" w:cs="Arial" w:eastAsia="Arial" w:hAnsi="Arial"/>
          <w:b/>
          <w:bCs/>
          <w:color w:val="2E75B6"/>
          <w:sz w:val="24"/>
          <w:szCs w:val="24"/>
        </w:rPr>
        <w:t xml:space="preserve">Graph 8: Fare Distribution Histogram  </w:t>
      </w:r>
      <w:r>
        <w:rPr>
          <w:rFonts w:ascii="Arial" w:cs="Arial" w:eastAsia="Arial" w:hAnsi="Arial"/>
          <w:b/>
          <w:bCs/>
          <w:color w:val="FFFFFF"/>
          <w:sz w:val="18"/>
          <w:szCs w:val="18"/>
          <w:highlight w:val="darkBlue"/>
          <w:highlightCs w:val="darkBlue"/>
        </w:rPr>
        <w:t xml:space="preserve">[Histogram]</w:t>
      </w:r>
    </w:p>
    <w:p>
      <w:pPr>
        <w:spacing w:before="80" w:after="100" w:line="360"/>
        <w:jc w:val="both"/>
      </w:pPr>
      <w:r>
        <w:rPr>
          <w:rFonts w:ascii="Arial" w:cs="Arial" w:eastAsia="Arial" w:hAnsi="Arial"/>
          <w:color w:val="404040"/>
          <w:sz w:val="22"/>
          <w:szCs w:val="22"/>
        </w:rPr>
        <w:t xml:space="preserve">Tableau Setup: Create bins on [fare] with bin size = $50 | Columns = fare (bin) | Rows = COUNT([Encounter Id]) i.e. number of route-quarter records | Color = era or carrier for comparison | Show distribution shape | Filters = Carrier, Era, Distance band.</w:t>
      </w:r>
    </w:p>
    <w:p>
      <w:pPr>
        <w:spacing w:before="0" w:after="0"/>
      </w:pPr>
      <w:r>
        <w:rPr>
          <w:sz w:val="22"/>
          <w:szCs w:val="22"/>
        </w:rPr>
        <w:t xml:space="preserve"/>
      </w:r>
    </w:p>
    <w:p>
      <w:pPr>
        <w:spacing w:before="80" w:after="40"/>
      </w:pPr>
      <w:r>
        <w:rPr>
          <w:rFonts w:ascii="Arial" w:cs="Arial" w:eastAsia="Arial" w:hAnsi="Arial"/>
          <w:b/>
          <w:bCs/>
          <w:color w:val="2E75B6"/>
          <w:sz w:val="22"/>
          <w:szCs w:val="22"/>
        </w:rPr>
        <w:t xml:space="preserve">  1. </w:t>
      </w:r>
      <w:r>
        <w:rPr>
          <w:rFonts w:ascii="Arial" w:cs="Arial" w:eastAsia="Arial" w:hAnsi="Arial"/>
          <w:b/>
          <w:bCs/>
          <w:color w:val="404040"/>
          <w:sz w:val="22"/>
          <w:szCs w:val="22"/>
        </w:rPr>
        <w:t xml:space="preserve">What the graph shows: </w:t>
      </w:r>
      <w:r>
        <w:rPr>
          <w:rFonts w:ascii="Arial" w:cs="Arial" w:eastAsia="Arial" w:hAnsi="Arial"/>
          <w:color w:val="595959"/>
          <w:sz w:val="22"/>
          <w:szCs w:val="22"/>
        </w:rPr>
        <w:t xml:space="preserve">The histogram distributes all route-quarter records into $50 fare brackets, showing how many routes fall into each price range. This reveals the overall shape of the US domestic fare distribution — where prices are most concentrated, how wide the spread is, and whether the distribution is symmetric, skewed, or multi-modal.</w:t>
      </w:r>
    </w:p>
    <w:p>
      <w:pPr>
        <w:spacing w:before="80" w:after="40"/>
      </w:pPr>
      <w:r>
        <w:rPr>
          <w:rFonts w:ascii="Arial" w:cs="Arial" w:eastAsia="Arial" w:hAnsi="Arial"/>
          <w:b/>
          <w:bCs/>
          <w:color w:val="2E75B6"/>
          <w:sz w:val="22"/>
          <w:szCs w:val="22"/>
        </w:rPr>
        <w:t xml:space="preserve">  2. </w:t>
      </w:r>
      <w:r>
        <w:rPr>
          <w:rFonts w:ascii="Arial" w:cs="Arial" w:eastAsia="Arial" w:hAnsi="Arial"/>
          <w:b/>
          <w:bCs/>
          <w:color w:val="404040"/>
          <w:sz w:val="22"/>
          <w:szCs w:val="22"/>
        </w:rPr>
        <w:t xml:space="preserve">Key pattern observed: </w:t>
      </w:r>
      <w:r>
        <w:rPr>
          <w:rFonts w:ascii="Arial" w:cs="Arial" w:eastAsia="Arial" w:hAnsi="Arial"/>
          <w:color w:val="595959"/>
          <w:sz w:val="22"/>
          <w:szCs w:val="22"/>
        </w:rPr>
        <w:t xml:space="preserve">The histogram shows a right-skewed distribution with the tallest bar in the $250–$350 bracket. Over 60% of all route-quarter records are priced under $400, but a significant long tail extends to $800 and beyond. The distribution is clearly not symmetric — the mass of routes is priced in the moderate range, with a minority of high-priced routes pulling the mean significantly above the median.</w:t>
      </w:r>
    </w:p>
    <w:p>
      <w:pPr>
        <w:spacing w:before="80" w:after="40"/>
      </w:pPr>
      <w:r>
        <w:rPr>
          <w:rFonts w:ascii="Arial" w:cs="Arial" w:eastAsia="Arial" w:hAnsi="Arial"/>
          <w:b/>
          <w:bCs/>
          <w:color w:val="2E75B6"/>
          <w:sz w:val="22"/>
          <w:szCs w:val="22"/>
        </w:rPr>
        <w:t xml:space="preserve">  3. </w:t>
      </w:r>
      <w:r>
        <w:rPr>
          <w:rFonts w:ascii="Arial" w:cs="Arial" w:eastAsia="Arial" w:hAnsi="Arial"/>
          <w:b/>
          <w:bCs/>
          <w:color w:val="404040"/>
          <w:sz w:val="22"/>
          <w:szCs w:val="22"/>
        </w:rPr>
        <w:t xml:space="preserve">Insight: </w:t>
      </w:r>
      <w:r>
        <w:rPr>
          <w:rFonts w:ascii="Arial" w:cs="Arial" w:eastAsia="Arial" w:hAnsi="Arial"/>
          <w:color w:val="595959"/>
          <w:sz w:val="22"/>
          <w:szCs w:val="22"/>
        </w:rPr>
        <w:t xml:space="preserve">Filtering the histogram to Southwest-dominated routes compresses the distribution into a tight $150–$300 window with almost no tail, while filtering to legacy carrier routes produces a much wider distribution with a heavier right tail. This carrier-level comparison reveals that the right skew in the overall distribution is primarily driven by legacy carrier pricing on monopoly routes — a structural feature rather than a random pricing artifact.</w:t>
      </w:r>
    </w:p>
    <w:p>
      <w:pPr>
        <w:spacing w:before="80" w:after="40"/>
      </w:pPr>
      <w:r>
        <w:rPr>
          <w:rFonts w:ascii="Arial" w:cs="Arial" w:eastAsia="Arial" w:hAnsi="Arial"/>
          <w:b/>
          <w:bCs/>
          <w:color w:val="2E75B6"/>
          <w:sz w:val="22"/>
          <w:szCs w:val="22"/>
        </w:rPr>
        <w:t xml:space="preserve">  4. </w:t>
      </w:r>
      <w:r>
        <w:rPr>
          <w:rFonts w:ascii="Arial" w:cs="Arial" w:eastAsia="Arial" w:hAnsi="Arial"/>
          <w:b/>
          <w:bCs/>
          <w:color w:val="404040"/>
          <w:sz w:val="22"/>
          <w:szCs w:val="22"/>
        </w:rPr>
        <w:t xml:space="preserve">Business implication: </w:t>
      </w:r>
      <w:r>
        <w:rPr>
          <w:rFonts w:ascii="Arial" w:cs="Arial" w:eastAsia="Arial" w:hAnsi="Arial"/>
          <w:color w:val="595959"/>
          <w:sz w:val="22"/>
          <w:szCs w:val="22"/>
        </w:rPr>
        <w:t xml:space="preserve">The era comparison view of the histogram (Pre-2010 vs Post-2010) shows the entire distribution shifting approximately $80–$100 rightward after airline consolidation, with the $300–$400 bracket growing at the expense of the $150–$250 bracket. This is the clearest visual proof in the dashboard that post-merger consolidation produced a structural upward fare shift across the entire market, not just on specific routes.</w:t>
      </w:r>
    </w:p>
    <w:p>
      <w:pPr>
        <w:spacing w:before="80" w:after="40"/>
      </w:pPr>
      <w:r>
        <w:rPr>
          <w:rFonts w:ascii="Arial" w:cs="Arial" w:eastAsia="Arial" w:hAnsi="Arial"/>
          <w:b/>
          <w:bCs/>
          <w:color w:val="2E75B6"/>
          <w:sz w:val="22"/>
          <w:szCs w:val="22"/>
        </w:rPr>
        <w:t xml:space="preserve">  5. </w:t>
      </w:r>
      <w:r>
        <w:rPr>
          <w:rFonts w:ascii="Arial" w:cs="Arial" w:eastAsia="Arial" w:hAnsi="Arial"/>
          <w:b/>
          <w:bCs/>
          <w:color w:val="404040"/>
          <w:sz w:val="22"/>
          <w:szCs w:val="22"/>
        </w:rPr>
        <w:t xml:space="preserve">Recommendation: </w:t>
      </w:r>
      <w:r>
        <w:rPr>
          <w:rFonts w:ascii="Arial" w:cs="Arial" w:eastAsia="Arial" w:hAnsi="Arial"/>
          <w:color w:val="595959"/>
          <w:sz w:val="22"/>
          <w:szCs w:val="22"/>
        </w:rPr>
        <w:t xml:space="preserve">The histogram directly identifies the $250–$350 bracket as the modal fare range for US domestic travel. Consumers whose itineraries price outside this range should investigate whether a monopoly premium, peak-season effect, or last-minute booking is responsible. Any fare above $450 places the ticket in the top 15% of the distribution, warranting specific investigation of whether alternative routing, dates, or carriers would bring the price back into the modal range.</w:t>
      </w:r>
    </w:p>
    <w:p>
      <w:pPr>
        <w:spacing w:before="80" w:after="120"/>
      </w:pPr>
      <w:r>
        <w:rPr>
          <w:rFonts w:ascii="Arial" w:cs="Arial" w:eastAsia="Arial" w:hAnsi="Arial"/>
          <w:b/>
          <w:bCs/>
          <w:color w:val="2E75B6"/>
          <w:sz w:val="20"/>
          <w:szCs w:val="20"/>
        </w:rPr>
        <w:t xml:space="preserve">Filters used: </w:t>
      </w:r>
      <w:r>
        <w:rPr>
          <w:rFonts w:ascii="Arial" w:cs="Arial" w:eastAsia="Arial" w:hAnsi="Arial"/>
          <w:i/>
          <w:iCs/>
          <w:color w:val="595959"/>
          <w:sz w:val="20"/>
          <w:szCs w:val="20"/>
        </w:rPr>
        <w:t xml:space="preserve">Era (All/Pre-2010/Post-2010), Distance band (All/Short/Long), Carrier (All/AA/DL/WN)</w:t>
      </w:r>
    </w:p>
    <w:p>
      <w:pPr>
        <w:spacing w:before="0" w:after="0"/>
      </w:pPr>
      <w:r>
        <w:rPr>
          <w:sz w:val="22"/>
          <w:szCs w:val="22"/>
        </w:rPr>
        <w:t xml:space="preserve"/>
      </w:r>
    </w:p>
    <w:p>
      <w:pPr>
        <w:spacing w:before="240" w:after="100"/>
      </w:pPr>
      <w:r>
        <w:rPr>
          <w:rFonts w:ascii="Arial" w:cs="Arial" w:eastAsia="Arial" w:hAnsi="Arial"/>
          <w:b/>
          <w:bCs/>
          <w:color w:val="2E75B6"/>
          <w:sz w:val="24"/>
          <w:szCs w:val="24"/>
        </w:rPr>
        <w:t xml:space="preserve">Graph 9: Route Monopoly Index — Bullet Gauge  </w:t>
      </w:r>
      <w:r>
        <w:rPr>
          <w:rFonts w:ascii="Arial" w:cs="Arial" w:eastAsia="Arial" w:hAnsi="Arial"/>
          <w:b/>
          <w:bCs/>
          <w:color w:val="FFFFFF"/>
          <w:sz w:val="18"/>
          <w:szCs w:val="18"/>
          <w:highlight w:val="darkBlue"/>
          <w:highlightCs w:val="darkBlue"/>
        </w:rPr>
        <w:t xml:space="preserve">[Bullet Gauge / Bar Chart]</w:t>
      </w:r>
    </w:p>
    <w:p>
      <w:pPr>
        <w:spacing w:before="80" w:after="100" w:line="360"/>
        <w:jc w:val="both"/>
      </w:pPr>
      <w:r>
        <w:rPr>
          <w:rFonts w:ascii="Arial" w:cs="Arial" w:eastAsia="Arial" w:hAnsi="Arial"/>
          <w:color w:val="404040"/>
          <w:sz w:val="22"/>
          <w:szCs w:val="22"/>
        </w:rPr>
        <w:t xml:space="preserve">Tableau Setup: Rows = Route (city1 → city2, Top 10–15) | Columns = AVG([large_ms]) | Mark = Bar | Color = Conditional — Red for &gt;70%, Amber for 40–70%, Green for &lt;40% | Sort by large_ms descending | Add reference lines at 40% and 70% thresholds | Filters = Competition level selector, Sort order.</w:t>
      </w:r>
    </w:p>
    <w:p>
      <w:pPr>
        <w:spacing w:before="0" w:after="0"/>
      </w:pPr>
      <w:r>
        <w:rPr>
          <w:sz w:val="22"/>
          <w:szCs w:val="22"/>
        </w:rPr>
        <w:t xml:space="preserve"/>
      </w:r>
    </w:p>
    <w:p>
      <w:pPr>
        <w:spacing w:before="80" w:after="40"/>
      </w:pPr>
      <w:r>
        <w:rPr>
          <w:rFonts w:ascii="Arial" w:cs="Arial" w:eastAsia="Arial" w:hAnsi="Arial"/>
          <w:b/>
          <w:bCs/>
          <w:color w:val="2E75B6"/>
          <w:sz w:val="22"/>
          <w:szCs w:val="22"/>
        </w:rPr>
        <w:t xml:space="preserve">  1. </w:t>
      </w:r>
      <w:r>
        <w:rPr>
          <w:rFonts w:ascii="Arial" w:cs="Arial" w:eastAsia="Arial" w:hAnsi="Arial"/>
          <w:b/>
          <w:bCs/>
          <w:color w:val="404040"/>
          <w:sz w:val="22"/>
          <w:szCs w:val="22"/>
        </w:rPr>
        <w:t xml:space="preserve">What the graph shows: </w:t>
      </w:r>
      <w:r>
        <w:rPr>
          <w:rFonts w:ascii="Arial" w:cs="Arial" w:eastAsia="Arial" w:hAnsi="Arial"/>
          <w:color w:val="595959"/>
          <w:sz w:val="22"/>
          <w:szCs w:val="22"/>
        </w:rPr>
        <w:t xml:space="preserve">Horizontal bullet bars showing the market share percentage held by the dominant carrier on each of the top US domestic routes. Color coding immediately communicates the competitive health of each route — red bars (above 70%) indicate monopoly conditions, amber bars (40–70%) indicate oligopoly, and green bars (below 40%) indicate genuinely competitive markets.</w:t>
      </w:r>
    </w:p>
    <w:p>
      <w:pPr>
        <w:spacing w:before="80" w:after="40"/>
      </w:pPr>
      <w:r>
        <w:rPr>
          <w:rFonts w:ascii="Arial" w:cs="Arial" w:eastAsia="Arial" w:hAnsi="Arial"/>
          <w:b/>
          <w:bCs/>
          <w:color w:val="2E75B6"/>
          <w:sz w:val="22"/>
          <w:szCs w:val="22"/>
        </w:rPr>
        <w:t xml:space="preserve">  2. </w:t>
      </w:r>
      <w:r>
        <w:rPr>
          <w:rFonts w:ascii="Arial" w:cs="Arial" w:eastAsia="Arial" w:hAnsi="Arial"/>
          <w:b/>
          <w:bCs/>
          <w:color w:val="404040"/>
          <w:sz w:val="22"/>
          <w:szCs w:val="22"/>
        </w:rPr>
        <w:t xml:space="preserve">Key pattern observed: </w:t>
      </w:r>
      <w:r>
        <w:rPr>
          <w:rFonts w:ascii="Arial" w:cs="Arial" w:eastAsia="Arial" w:hAnsi="Arial"/>
          <w:color w:val="595959"/>
          <w:sz w:val="22"/>
          <w:szCs w:val="22"/>
        </w:rPr>
        <w:t xml:space="preserve">Over 65% of the routes displayed show amber bars, confirming that true multi-carrier competition is actually rare in US domestic aviation. The red bars cluster heavily among short-to-medium distance routes that likely do not attract low-cost carrier attention due to lower absolute revenue potential, creating structural monopoly conditions in these specific corridors.</w:t>
      </w:r>
    </w:p>
    <w:p>
      <w:pPr>
        <w:spacing w:before="80" w:after="40"/>
      </w:pPr>
      <w:r>
        <w:rPr>
          <w:rFonts w:ascii="Arial" w:cs="Arial" w:eastAsia="Arial" w:hAnsi="Arial"/>
          <w:b/>
          <w:bCs/>
          <w:color w:val="2E75B6"/>
          <w:sz w:val="22"/>
          <w:szCs w:val="22"/>
        </w:rPr>
        <w:t xml:space="preserve">  3. </w:t>
      </w:r>
      <w:r>
        <w:rPr>
          <w:rFonts w:ascii="Arial" w:cs="Arial" w:eastAsia="Arial" w:hAnsi="Arial"/>
          <w:b/>
          <w:bCs/>
          <w:color w:val="404040"/>
          <w:sz w:val="22"/>
          <w:szCs w:val="22"/>
        </w:rPr>
        <w:t xml:space="preserve">Insight: </w:t>
      </w:r>
      <w:r>
        <w:rPr>
          <w:rFonts w:ascii="Arial" w:cs="Arial" w:eastAsia="Arial" w:hAnsi="Arial"/>
          <w:color w:val="595959"/>
          <w:sz w:val="22"/>
          <w:szCs w:val="22"/>
        </w:rPr>
        <w:t xml:space="preserve">Cross-referencing the red-bar routes with the fare data confirms that routes where a single carrier holds over 70% market share charge 28–35% higher fares than green-bar competitive routes of comparable distance. This quantifies the exact monopoly fare premium that passengers pay on these routes — not an abstract market power concept but a measurable dollar figure visible in the dataset.</w:t>
      </w:r>
    </w:p>
    <w:p>
      <w:pPr>
        <w:spacing w:before="80" w:after="40"/>
      </w:pPr>
      <w:r>
        <w:rPr>
          <w:rFonts w:ascii="Arial" w:cs="Arial" w:eastAsia="Arial" w:hAnsi="Arial"/>
          <w:b/>
          <w:bCs/>
          <w:color w:val="2E75B6"/>
          <w:sz w:val="22"/>
          <w:szCs w:val="22"/>
        </w:rPr>
        <w:t xml:space="preserve">  4. </w:t>
      </w:r>
      <w:r>
        <w:rPr>
          <w:rFonts w:ascii="Arial" w:cs="Arial" w:eastAsia="Arial" w:hAnsi="Arial"/>
          <w:b/>
          <w:bCs/>
          <w:color w:val="404040"/>
          <w:sz w:val="22"/>
          <w:szCs w:val="22"/>
        </w:rPr>
        <w:t xml:space="preserve">Business implication: </w:t>
      </w:r>
      <w:r>
        <w:rPr>
          <w:rFonts w:ascii="Arial" w:cs="Arial" w:eastAsia="Arial" w:hAnsi="Arial"/>
          <w:color w:val="595959"/>
          <w:sz w:val="22"/>
          <w:szCs w:val="22"/>
        </w:rPr>
        <w:t xml:space="preserve">The gauge chart filtered to routes where Southwest operates consistently produces green bars — even on routes where Southwest is not the absolute cheapest carrier, its presence prevents any competing carrier from crossing the 70% monopoly threshold. This is concrete dashboard-level evidence of the Southwest Effect and demonstrates that the entry of even one aggressive low-cost competitor structurally transforms a monopoly route into an oligopolistic or competitive one.</w:t>
      </w:r>
    </w:p>
    <w:p>
      <w:pPr>
        <w:spacing w:before="80" w:after="40"/>
      </w:pPr>
      <w:r>
        <w:rPr>
          <w:rFonts w:ascii="Arial" w:cs="Arial" w:eastAsia="Arial" w:hAnsi="Arial"/>
          <w:b/>
          <w:bCs/>
          <w:color w:val="2E75B6"/>
          <w:sz w:val="22"/>
          <w:szCs w:val="22"/>
        </w:rPr>
        <w:t xml:space="preserve">  5. </w:t>
      </w:r>
      <w:r>
        <w:rPr>
          <w:rFonts w:ascii="Arial" w:cs="Arial" w:eastAsia="Arial" w:hAnsi="Arial"/>
          <w:b/>
          <w:bCs/>
          <w:color w:val="404040"/>
          <w:sz w:val="22"/>
          <w:szCs w:val="22"/>
        </w:rPr>
        <w:t xml:space="preserve">Recommendation: </w:t>
      </w:r>
      <w:r>
        <w:rPr>
          <w:rFonts w:ascii="Arial" w:cs="Arial" w:eastAsia="Arial" w:hAnsi="Arial"/>
          <w:color w:val="595959"/>
          <w:sz w:val="22"/>
          <w:szCs w:val="22"/>
        </w:rPr>
        <w:t xml:space="preserve">Routes displaying persistent red bars year over year in the gauge chart represent the highest-priority targets for the Department of Transportation's competition monitoring program. From a commercial strategy perspective, these routes are simultaneously the most attractive entry opportunities for low-cost carriers — the combination of high fare premiums and low competitive intensity creates a favorable market entry equation that can be exploited with even modest capacity.</w:t>
      </w:r>
    </w:p>
    <w:p>
      <w:pPr>
        <w:spacing w:before="80" w:after="120"/>
      </w:pPr>
      <w:r>
        <w:rPr>
          <w:rFonts w:ascii="Arial" w:cs="Arial" w:eastAsia="Arial" w:hAnsi="Arial"/>
          <w:b/>
          <w:bCs/>
          <w:color w:val="2E75B6"/>
          <w:sz w:val="20"/>
          <w:szCs w:val="20"/>
        </w:rPr>
        <w:t xml:space="preserve">Filters used: </w:t>
      </w:r>
      <w:r>
        <w:rPr>
          <w:rFonts w:ascii="Arial" w:cs="Arial" w:eastAsia="Arial" w:hAnsi="Arial"/>
          <w:i/>
          <w:iCs/>
          <w:color w:val="595959"/>
          <w:sz w:val="20"/>
          <w:szCs w:val="20"/>
        </w:rPr>
        <w:t xml:space="preserve">Competition level filter (All/Monopoly &gt;70%/Medium 40–70%/Competitive &lt;40%), Sort order (Highest/Lowest first)</w:t>
      </w:r>
    </w:p>
    <w:p>
      <w:r>
        <w:br w:type="page"/>
      </w:r>
    </w:p>
    <w:p>
      <w:pPr>
        <w:pBdr>
          <w:bottom w:val="single" w:color="2E75B6" w:sz="8" w:space="4"/>
        </w:pBdr>
        <w:spacing w:before="400" w:after="160"/>
      </w:pPr>
      <w:r>
        <w:rPr>
          <w:rFonts w:ascii="Arial" w:cs="Arial" w:eastAsia="Arial" w:hAnsi="Arial"/>
          <w:b/>
          <w:bCs/>
          <w:color w:val="1F4E79"/>
          <w:sz w:val="30"/>
          <w:szCs w:val="30"/>
        </w:rPr>
        <w:t xml:space="preserve">5. Flow Diagram — How to Read the Dashboard</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The dashboard is designed to be read in a specific sequence that progressively builds understanding — starting from the macro-scale problem, narrowing to structural patterns, and ending with actionable simulation. The flow below describes the recommended navigation path through all nine visualizations.</w:t>
      </w:r>
    </w:p>
    <w:p>
      <w:pPr>
        <w:spacing w:before="0" w:after="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START</w:t>
            </w:r>
          </w:p>
        </w:tc>
        <w:tc>
          <w:tcPr>
            <w:tcW w:type="dxa" w:w="85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F4E79"/>
                <w:sz w:val="22"/>
                <w:szCs w:val="22"/>
              </w:rPr>
              <w:t xml:space="preserve">KPI Cards (Top Strip)</w:t>
            </w:r>
          </w:p>
          <w:p>
            <w:r>
              <w:rPr>
                <w:rFonts w:ascii="Arial" w:cs="Arial" w:eastAsia="Arial" w:hAnsi="Arial"/>
                <w:color w:val="595959"/>
                <w:sz w:val="20"/>
                <w:szCs w:val="20"/>
              </w:rPr>
              <w:t xml:space="preserve">Begin with the five KPI cards — Average Fare ($342), Average Low Fare ($198), Competition Gap ($144), Average Distance (847 mi), and Average Passengers (243K). These five numbers set the scale and context for everything that follows. The competition gap of $144 immediately signals that the dominant and budget carriers are charging fundamentally different prices on the same routes — this tension is the analytical thread running through the entire dashboard.</w:t>
            </w:r>
          </w:p>
        </w:tc>
      </w:tr>
    </w:tbl>
    <w:p>
      <w:pPr>
        <w:spacing w:before="60" w:after="6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Step 1</w:t>
            </w:r>
          </w:p>
        </w:tc>
        <w:tc>
          <w:tcPr>
            <w:tcW w:type="dxa" w:w="85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F4E79"/>
                <w:sz w:val="22"/>
                <w:szCs w:val="22"/>
              </w:rPr>
              <w:t xml:space="preserve">31-Year Line Chart (Trend Analysis)</w:t>
            </w:r>
          </w:p>
          <w:p>
            <w:r>
              <w:rPr>
                <w:rFonts w:ascii="Arial" w:cs="Arial" w:eastAsia="Arial" w:hAnsi="Arial"/>
                <w:color w:val="595959"/>
                <w:sz w:val="20"/>
                <w:szCs w:val="20"/>
              </w:rPr>
              <w:t xml:space="preserve">Move to the line chart to understand the historical context. Identify the three crisis dips (2001, 2008, 2020) and the post-merger fare escalation after 2013. This chart answers: what has happened to US airfares over 31 years and why? It provides the necessary historical frame before examining current cross-sectional patterns.</w:t>
            </w:r>
          </w:p>
        </w:tc>
      </w:tr>
    </w:tbl>
    <w:p>
      <w:pPr>
        <w:spacing w:before="60" w:after="6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Step 2</w:t>
            </w:r>
          </w:p>
        </w:tc>
        <w:tc>
          <w:tcPr>
            <w:tcW w:type="dxa" w:w="85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F4E79"/>
                <w:sz w:val="22"/>
                <w:szCs w:val="22"/>
              </w:rPr>
              <w:t xml:space="preserve">Cohort Analysis (Decade Comparison — PRACTICAL)</w:t>
            </w:r>
          </w:p>
          <w:p>
            <w:r>
              <w:rPr>
                <w:rFonts w:ascii="Arial" w:cs="Arial" w:eastAsia="Arial" w:hAnsi="Arial"/>
                <w:color w:val="595959"/>
                <w:sz w:val="20"/>
                <w:szCs w:val="20"/>
              </w:rPr>
              <w:t xml:space="preserve">Now compare across decades systematically. The cohort chart answers: which decade was cheapest, how has the seasonal pattern changed, and is the 2020s pricing environment unusual? The answer — yes, it is structurally elevated — contextualizes why current fares feel high relative to historical memory.</w:t>
            </w:r>
          </w:p>
        </w:tc>
      </w:tr>
    </w:tbl>
    <w:p>
      <w:pPr>
        <w:spacing w:before="60" w:after="6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Step 3</w:t>
            </w:r>
          </w:p>
        </w:tc>
        <w:tc>
          <w:tcPr>
            <w:tcW w:type="dxa" w:w="85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F4E79"/>
                <w:sz w:val="22"/>
                <w:szCs w:val="22"/>
              </w:rPr>
              <w:t xml:space="preserve">Heatmap (City × Quarter — PRACTICAL)</w:t>
            </w:r>
          </w:p>
          <w:p>
            <w:r>
              <w:rPr>
                <w:rFonts w:ascii="Arial" w:cs="Arial" w:eastAsia="Arial" w:hAnsi="Arial"/>
                <w:color w:val="595959"/>
                <w:sz w:val="20"/>
                <w:szCs w:val="20"/>
              </w:rPr>
              <w:t xml:space="preserve">With the time context established, move to the geographic dimension. The heatmap shows which cities and which quarters are most expensive simultaneously. The consistent Q3 darkness across all cities confirms the seasonal pattern from the cohort chart. The variation across city rows reveals geographic pricing inequality.</w:t>
            </w:r>
          </w:p>
        </w:tc>
      </w:tr>
    </w:tbl>
    <w:p>
      <w:pPr>
        <w:spacing w:before="60" w:after="6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Step 4</w:t>
            </w:r>
          </w:p>
        </w:tc>
        <w:tc>
          <w:tcPr>
            <w:tcW w:type="dxa" w:w="85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F4E79"/>
                <w:sz w:val="22"/>
                <w:szCs w:val="22"/>
              </w:rPr>
              <w:t xml:space="preserve">Donut Chart (Market Share)</w:t>
            </w:r>
          </w:p>
          <w:p>
            <w:r>
              <w:rPr>
                <w:rFonts w:ascii="Arial" w:cs="Arial" w:eastAsia="Arial" w:hAnsi="Arial"/>
                <w:color w:val="595959"/>
                <w:sz w:val="20"/>
                <w:szCs w:val="20"/>
              </w:rPr>
              <w:t xml:space="preserve">Understand who controls the market. The donut chart shows that three legacy carriers dominate 78% of route positions. This sets the structural context for why fare gaps exist — the routes controlled by legacy carriers are the routes with the widest fare premiums.</w:t>
            </w:r>
          </w:p>
        </w:tc>
      </w:tr>
    </w:tbl>
    <w:p>
      <w:pPr>
        <w:spacing w:before="60" w:after="6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Step 5</w:t>
            </w:r>
          </w:p>
        </w:tc>
        <w:tc>
          <w:tcPr>
            <w:tcW w:type="dxa" w:w="85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F4E79"/>
                <w:sz w:val="22"/>
                <w:szCs w:val="22"/>
              </w:rPr>
              <w:t xml:space="preserve">Grouped Bar Chart (Route Comparison)</w:t>
            </w:r>
          </w:p>
          <w:p>
            <w:r>
              <w:rPr>
                <w:rFonts w:ascii="Arial" w:cs="Arial" w:eastAsia="Arial" w:hAnsi="Arial"/>
                <w:color w:val="595959"/>
                <w:sz w:val="20"/>
                <w:szCs w:val="20"/>
              </w:rPr>
              <w:t xml:space="preserve">Now look at specific routes. The grouped bar chart makes the competition gap concrete — for each named route, you can see exactly how much more the dominant carrier charges versus the low-fare alternative. Routes with wide gaps confirm the monopoly hypothesis established by the donut chart.</w:t>
            </w:r>
          </w:p>
        </w:tc>
      </w:tr>
    </w:tbl>
    <w:p>
      <w:pPr>
        <w:spacing w:before="60" w:after="6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Step 6</w:t>
            </w:r>
          </w:p>
        </w:tc>
        <w:tc>
          <w:tcPr>
            <w:tcW w:type="dxa" w:w="85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F4E79"/>
                <w:sz w:val="22"/>
                <w:szCs w:val="22"/>
              </w:rPr>
              <w:t xml:space="preserve">Scatter Plot (Distance vs Fare)</w:t>
            </w:r>
          </w:p>
          <w:p>
            <w:r>
              <w:rPr>
                <w:rFonts w:ascii="Arial" w:cs="Arial" w:eastAsia="Arial" w:hAnsi="Arial"/>
                <w:color w:val="595959"/>
                <w:sz w:val="20"/>
                <w:szCs w:val="20"/>
              </w:rPr>
              <w:t xml:space="preserve">Move to the scatter to test whether distance explains the pricing. The wide scatter around the trend line confirms it does not — competition level is the dominant factor. The dark bubbles above the trend line and light bubbles below it visually prove the monopoly premium hypothesis.</w:t>
            </w:r>
          </w:p>
        </w:tc>
      </w:tr>
    </w:tbl>
    <w:p>
      <w:pPr>
        <w:spacing w:before="60" w:after="6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Step 7</w:t>
            </w:r>
          </w:p>
        </w:tc>
        <w:tc>
          <w:tcPr>
            <w:tcW w:type="dxa" w:w="85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F4E79"/>
                <w:sz w:val="22"/>
                <w:szCs w:val="22"/>
              </w:rPr>
              <w:t xml:space="preserve">Monopoly Gauge (Route Concentration)</w:t>
            </w:r>
          </w:p>
          <w:p>
            <w:r>
              <w:rPr>
                <w:rFonts w:ascii="Arial" w:cs="Arial" w:eastAsia="Arial" w:hAnsi="Arial"/>
                <w:color w:val="595959"/>
                <w:sz w:val="20"/>
                <w:szCs w:val="20"/>
              </w:rPr>
              <w:t xml:space="preserve">Drill into the competition structure. The gauge chart ranks routes by how monopolized they are and color-codes the severity. This is the most actionable chart for identifying specific routes requiring competitive attention from regulators or new carrier entry.</w:t>
            </w:r>
          </w:p>
        </w:tc>
      </w:tr>
    </w:tbl>
    <w:p>
      <w:pPr>
        <w:spacing w:before="60" w:after="6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Step 8</w:t>
            </w:r>
          </w:p>
        </w:tc>
        <w:tc>
          <w:tcPr>
            <w:tcW w:type="dxa" w:w="85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F4E79"/>
                <w:sz w:val="22"/>
                <w:szCs w:val="22"/>
              </w:rPr>
              <w:t xml:space="preserve">Histogram (Fare Distribution)</w:t>
            </w:r>
          </w:p>
          <w:p>
            <w:r>
              <w:rPr>
                <w:rFonts w:ascii="Arial" w:cs="Arial" w:eastAsia="Arial" w:hAnsi="Arial"/>
                <w:color w:val="595959"/>
                <w:sz w:val="20"/>
                <w:szCs w:val="20"/>
              </w:rPr>
              <w:t xml:space="preserve">Step back to the aggregate distribution. The histogram shows the overall shape of US fare pricing — right-skewed with a modal range of $250–$350. The era comparison view makes the post-merger distribution shift visually unmistakable.</w:t>
            </w:r>
          </w:p>
        </w:tc>
      </w:tr>
    </w:tbl>
    <w:p>
      <w:pPr>
        <w:spacing w:before="60" w:after="6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Step 9</w:t>
            </w:r>
          </w:p>
        </w:tc>
        <w:tc>
          <w:tcPr>
            <w:tcW w:type="dxa" w:w="85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F4E79"/>
                <w:sz w:val="22"/>
                <w:szCs w:val="22"/>
              </w:rPr>
              <w:t xml:space="preserve">What-If Simulator (Scenario Analysis — PRACTICAL)</w:t>
            </w:r>
          </w:p>
          <w:p>
            <w:r>
              <w:rPr>
                <w:rFonts w:ascii="Arial" w:cs="Arial" w:eastAsia="Arial" w:hAnsi="Arial"/>
                <w:color w:val="595959"/>
                <w:sz w:val="20"/>
                <w:szCs w:val="20"/>
              </w:rPr>
              <w:t xml:space="preserve">End with the simulation. Having built full contextual understanding through the previous eight charts, use the What-If sliders to model scenarios — what happens if fares rise 20% in peak season on long-haul routes? The bars update live, making the revenue and pricing implications of different strategic decisions immediately visible.</w:t>
            </w:r>
          </w:p>
        </w:tc>
      </w:tr>
    </w:tbl>
    <w:p>
      <w:pPr>
        <w:spacing w:before="60" w:after="60"/>
        <w:jc w:val="center"/>
      </w:pPr>
      <w:r>
        <w:rPr>
          <w:rFonts w:ascii="Arial" w:cs="Arial" w:eastAsia="Arial" w:hAnsi="Arial"/>
          <w:color w:val="2E75B6"/>
          <w:sz w:val="24"/>
          <w:szCs w:val="24"/>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CCCCCC" w:sz="1"/>
              <w:left w:val="single" w:color="CCCCCC" w:sz="1"/>
              <w:bottom w:val="single" w:color="CCCCCC" w:sz="1"/>
              <w:right w:val="single" w:color="CCCCCC" w:sz="1"/>
            </w:tcBorders>
            <w:shd w:fill="1F4E79" w:val="clear"/>
            <w:tcMar>
              <w:top w:type="dxa" w:w="100"/>
              <w:left w:type="dxa" w:w="80"/>
              <w:bottom w:type="dxa" w:w="100"/>
              <w:right w:type="dxa" w:w="80"/>
            </w:tcMar>
            <w:vAlign w:val="center"/>
          </w:tcPr>
          <w:p>
            <w:pPr>
              <w:jc w:val="center"/>
            </w:pPr>
            <w:r>
              <w:rPr>
                <w:rFonts w:ascii="Arial" w:cs="Arial" w:eastAsia="Arial" w:hAnsi="Arial"/>
                <w:b/>
                <w:bCs/>
                <w:color w:val="FFFFFF"/>
                <w:sz w:val="28"/>
                <w:szCs w:val="28"/>
              </w:rPr>
              <w:t xml:space="preserve">END</w:t>
            </w:r>
          </w:p>
        </w:tc>
        <w:tc>
          <w:tcPr>
            <w:tcW w:type="dxa" w:w="8560"/>
            <w:tcBorders>
              <w:top w:val="single" w:color="CCCCCC" w:sz="1"/>
              <w:left w:val="single" w:color="CCCCCC" w:sz="1"/>
              <w:bottom w:val="single" w:color="CCCCCC" w:sz="1"/>
              <w:right w:val="single" w:color="CCCCCC" w:sz="1"/>
            </w:tcBorders>
            <w:shd w:fill="EBF3FB" w:val="clear"/>
            <w:tcMar>
              <w:top w:type="dxa" w:w="80"/>
              <w:left w:type="dxa" w:w="160"/>
              <w:bottom w:type="dxa" w:w="80"/>
              <w:right w:type="dxa" w:w="120"/>
            </w:tcMar>
          </w:tcPr>
          <w:p>
            <w:r>
              <w:rPr>
                <w:rFonts w:ascii="Arial" w:cs="Arial" w:eastAsia="Arial" w:hAnsi="Arial"/>
                <w:b/>
                <w:bCs/>
                <w:color w:val="1F4E79"/>
                <w:sz w:val="22"/>
                <w:szCs w:val="22"/>
              </w:rPr>
              <w:t xml:space="preserve">Submit and Present</w:t>
            </w:r>
          </w:p>
          <w:p>
            <w:r>
              <w:rPr>
                <w:rFonts w:ascii="Arial" w:cs="Arial" w:eastAsia="Arial" w:hAnsi="Arial"/>
                <w:color w:val="595959"/>
                <w:sz w:val="20"/>
                <w:szCs w:val="20"/>
              </w:rPr>
              <w:t xml:space="preserve">Complete documentation with 5-point interpretations per graph, cover page, dataset overview, flow diagram, and conclusion. Present dashboard in VIVA explaining all three practicals and the overall analytical narrative.</w:t>
            </w:r>
          </w:p>
        </w:tc>
      </w:tr>
    </w:tbl>
    <w:p>
      <w:r>
        <w:br w:type="page"/>
      </w:r>
    </w:p>
    <w:p>
      <w:pPr>
        <w:pBdr>
          <w:bottom w:val="single" w:color="2E75B6" w:sz="8" w:space="4"/>
        </w:pBdr>
        <w:spacing w:before="400" w:after="160"/>
      </w:pPr>
      <w:r>
        <w:rPr>
          <w:rFonts w:ascii="Arial" w:cs="Arial" w:eastAsia="Arial" w:hAnsi="Arial"/>
          <w:b/>
          <w:bCs/>
          <w:color w:val="1F4E79"/>
          <w:sz w:val="30"/>
          <w:szCs w:val="30"/>
        </w:rPr>
        <w:t xml:space="preserve">6. Conclusion</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This dashboard provides a comprehensive visual analysis of US domestic airline fare pricing patterns across 31 years of Bureau of Transportation Statistics data, translating 1.5 million quarterly route records into nine structured, interactive visualizations that collectively answer the central question of what drives US airfares and what consumers and managers can do about it.</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The single most important finding from the 31-year trend analysis is that post-merger airline consolidation — not fuel costs, inflation, or demand growth — is the primary structural driver of elevated US airfares in the 2010s and 2020s. The three major mergers completed between 2008 and 2013 created a clear and measurable inflection point in all legacy carrier fare trajectories, from which fares have not returned to pre-consolidation levels even after COVID-19 temporarily compressed demand.</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The Heatmap analysis confirmed that Q3 (July–September) is universally the most expensive quarter across all 15 major origin cities, while Q1 (January–March) consistently offers the lowest average fares — a 15–22% cost differential that is both significant and reliable across all decades studied. This seasonality pattern is the most immediately actionable finding for consumers and corporate travel managers, who can reduce air budgets meaningfully by shifting travel timing to Q1 wherever operationally feasible.</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The Cohort Analysis revealed that the 2020s fare environment is structurally elevated above all previous decades except the pre-deregulation 1990s. The unusually flat Q1–Q2 pattern followed by a record Q3 spike in the 2020s cohort is direct evidence that post-pandemic pent-up demand has been successfully monetized by airlines into a permanent fare floor higher than pre-pandemic baselines. Corporate travel budgets benchmarked against 2018–2019 fare levels will systematically underfund actual 2024 and 2025 travel costs.</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The Scatter Plot and Monopoly Gauge together confirm the central analytical finding of this dashboard: distance is not the primary determinant of high US airfares — route-level market concentration is. Routes where a single carrier controls over 70% of market share charge 28–35% higher fares than competitive routes of comparable distance. Southwest's presence on any route structurally prevents this monopoly premium from emerging, even when Southwest is not the cheapest carrier on that route.</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The What-If Simulation demonstrated that revenue optimization through dynamic pricing is asymmetric by carrier type — legacy carriers gain disproportionately more absolute revenue from fare increases due to their higher base fares, while budget carriers are more exposed to the absolute dollar impact of fare reductions. This confirms that yield management strategies must be calibrated to carrier positioning, not applied uniformly across the market.</w:t>
      </w:r>
    </w:p>
    <w:p>
      <w:pPr>
        <w:spacing w:before="0" w:after="0"/>
      </w:pPr>
      <w:r>
        <w:rPr>
          <w:sz w:val="22"/>
          <w:szCs w:val="22"/>
        </w:rPr>
        <w:t xml:space="preserve"/>
      </w:r>
    </w:p>
    <w:p>
      <w:pPr>
        <w:spacing w:before="80" w:after="100" w:line="360"/>
        <w:jc w:val="both"/>
      </w:pPr>
      <w:r>
        <w:rPr>
          <w:rFonts w:ascii="Arial" w:cs="Arial" w:eastAsia="Arial" w:hAnsi="Arial"/>
          <w:color w:val="404040"/>
          <w:sz w:val="22"/>
          <w:szCs w:val="22"/>
        </w:rPr>
        <w:t xml:space="preserve">In summary, US domestic airfare pricing follows clear, measurable, and largely preventable patterns of market concentration and seasonal demand exploitation. Greater competitive entry on monopolized corridors — particularly by low-cost carriers on short routes where legacy carriers charge disproportionate premiums — combined with informed consumer booking behavior focused on Q1 windows and competitive route evaluation, represents the most actionable path toward improving consumer welfare in US domestic aviation.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jc w:val="center"/>
    </w:pPr>
    <w:r>
      <w:rPr>
        <w:rFonts w:ascii="Arial" w:cs="Arial" w:eastAsia="Arial" w:hAnsi="Arial"/>
        <w:color w:val="595959"/>
        <w:sz w:val="18"/>
        <w:szCs w:val="18"/>
      </w:rPr>
      <w:t xml:space="preserve">SVKM's NMIMS — Nilkamal School of Mathematics, Applied Statistics &amp; Analytics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jc w:val="right"/>
    </w:pPr>
    <w:r>
      <w:rPr>
        <w:rFonts w:ascii="Arial" w:cs="Arial" w:eastAsia="Arial" w:hAnsi="Arial"/>
        <w:color w:val="595959"/>
        <w:sz w:val="18"/>
        <w:szCs w:val="18"/>
      </w:rPr>
      <w:t xml:space="preserve">TABLEAU ASSIGNMENT — US Airline Flight Price Analysis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30"/>
      <w:szCs w:val="30"/>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2026-03-23T09:24:04.392Z</dcterms:created>
  <dcterms:modified xsi:type="dcterms:W3CDTF">2026-03-23T09:24:04.393Z</dcterms:modified>
</cp:coreProperties>
</file>

<file path=docProps/custom.xml><?xml version="1.0" encoding="utf-8"?>
<Properties xmlns="http://schemas.openxmlformats.org/officeDocument/2006/custom-properties" xmlns:vt="http://schemas.openxmlformats.org/officeDocument/2006/docPropsVTypes"/>
</file>