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WEBSITE SEO • IMPLEMENTATION &amp; VALIDATION</w:t>
      </w:r>
    </w:p>
    <w:p>
      <w:pPr>
        <w:pStyle w:val="Title"/>
      </w:pPr>
      <w:r>
        <w:t>RBI Belting</w:t>
        <w:br/>
        <w:t>Structured Data Report</w:t>
      </w:r>
    </w:p>
    <w:p>
      <w:r>
        <w:rPr>
          <w:b/>
        </w:rPr>
        <w:t>RB International Belting &amp; Automation</w:t>
      </w:r>
    </w:p>
    <w:p>
      <w:r>
        <w:rPr>
          <w:b w:val="0"/>
        </w:rPr>
        <w:t>Report date: 29 October 2026</w:t>
        <w:br/>
        <w:t>Website audited: https://rbi-belting-y8in.vercel.app/</w:t>
      </w:r>
    </w:p>
    <w:p>
      <w:pPr>
        <w:pStyle w:val="Heading1"/>
      </w:pPr>
      <w:r>
        <w:t>1. Executive summary</w:t>
      </w:r>
    </w:p>
    <w:p>
      <w:r>
        <w:rPr>
          <w:b w:val="0"/>
        </w:rPr>
        <w:t>Schema.org JSON-LD has been implemented across all 25 existing public website routes. The work improves how search engines interpret the company, website, product ranges, page hierarchy and existing FAQs.</w:t>
      </w:r>
    </w:p>
    <w:p>
      <w:r>
        <w:rPr>
          <w:b w:val="0"/>
        </w:rPr>
        <w:t>The SEO implementation preserves the existing UI, design, layout, animations, visible content and website functionality. The previously requested reviews-size changes were already present and were preserved.</w:t>
      </w:r>
    </w:p>
    <w:tbl>
      <w:tblPr>
        <w:tblStyle w:val="LightShading-Accent1"/>
        <w:tblW w:type="auto" w:w="0"/>
        <w:tblLook w:firstColumn="1" w:firstRow="1" w:lastColumn="0" w:lastRow="0" w:noHBand="0" w:noVBand="1" w:val="04A0"/>
      </w:tblPr>
      <w:tblGrid>
        <w:gridCol w:w="4968"/>
        <w:gridCol w:w="4968"/>
      </w:tblGrid>
      <w:tr>
        <w:trPr>
          <w:tblHeader/>
        </w:trPr>
        <w:tc>
          <w:tcPr>
            <w:tcW w:type="dxa" w:w="2160"/>
            <w:shd w:fill="850D19"/>
          </w:tcPr>
          <w:p>
            <w:pPr>
              <w:spacing w:after="80" w:before="60"/>
            </w:pPr>
            <w:r>
              <w:rPr>
                <w:b/>
                <w:color w:val="FFFFFF"/>
                <w:sz w:val="18"/>
              </w:rPr>
              <w:t>Area</w:t>
            </w:r>
          </w:p>
        </w:tc>
        <w:tc>
          <w:tcPr>
            <w:tcW w:type="dxa" w:w="7632"/>
            <w:shd w:fill="850D19"/>
          </w:tcPr>
          <w:p>
            <w:pPr>
              <w:spacing w:after="80" w:before="60"/>
            </w:pPr>
            <w:r>
              <w:rPr>
                <w:b/>
                <w:color w:val="FFFFFF"/>
                <w:sz w:val="18"/>
              </w:rPr>
              <w:t>Completed work</w:t>
            </w:r>
          </w:p>
        </w:tc>
      </w:tr>
      <w:tr>
        <w:trPr>
          <w:cantSplit/>
        </w:trPr>
        <w:tc>
          <w:tcPr>
            <w:tcW w:type="dxa" w:w="2160"/>
          </w:tcPr>
          <w:p>
            <w:pPr>
              <w:spacing w:after="80" w:before="60"/>
            </w:pPr>
            <w:r>
              <w:rPr>
                <w:sz w:val="18"/>
              </w:rPr>
              <w:t>Website coverage</w:t>
            </w:r>
          </w:p>
        </w:tc>
        <w:tc>
          <w:tcPr>
            <w:tcW w:type="dxa" w:w="7632"/>
          </w:tcPr>
          <w:p>
            <w:pPr>
              <w:spacing w:after="80" w:before="60"/>
            </w:pPr>
            <w:r>
              <w:rPr>
                <w:sz w:val="18"/>
              </w:rPr>
              <w:t>25 routes audited and checked; all returned HTTP 200.</w:t>
            </w:r>
          </w:p>
        </w:tc>
      </w:tr>
      <w:tr>
        <w:trPr>
          <w:cantSplit/>
        </w:trPr>
        <w:tc>
          <w:tcPr>
            <w:tcW w:type="dxa" w:w="2160"/>
          </w:tcPr>
          <w:p>
            <w:pPr>
              <w:spacing w:after="80" w:before="60"/>
            </w:pPr>
            <w:r>
              <w:rPr>
                <w:sz w:val="18"/>
              </w:rPr>
              <w:t>Structured data</w:t>
            </w:r>
          </w:p>
        </w:tc>
        <w:tc>
          <w:tcPr>
            <w:tcW w:type="dxa" w:w="7632"/>
          </w:tcPr>
          <w:p>
            <w:pPr>
              <w:spacing w:after="80" w:before="60"/>
            </w:pPr>
            <w:r>
              <w:rPr>
                <w:sz w:val="18"/>
              </w:rPr>
              <w:t>One connected, server-rendered JSON-LD graph per page.</w:t>
            </w:r>
          </w:p>
        </w:tc>
      </w:tr>
      <w:tr>
        <w:trPr>
          <w:cantSplit/>
        </w:trPr>
        <w:tc>
          <w:tcPr>
            <w:tcW w:type="dxa" w:w="2160"/>
          </w:tcPr>
          <w:p>
            <w:pPr>
              <w:spacing w:after="80" w:before="60"/>
            </w:pPr>
            <w:r>
              <w:rPr>
                <w:sz w:val="18"/>
              </w:rPr>
              <w:t>Product ranges</w:t>
            </w:r>
          </w:p>
        </w:tc>
        <w:tc>
          <w:tcPr>
            <w:tcW w:type="dxa" w:w="7632"/>
          </w:tcPr>
          <w:p>
            <w:pPr>
              <w:spacing w:after="80" w:before="60"/>
            </w:pPr>
            <w:r>
              <w:rPr>
                <w:sz w:val="18"/>
              </w:rPr>
              <w:t>Dynamic Product data on 18 existing product-family pages.</w:t>
            </w:r>
          </w:p>
        </w:tc>
      </w:tr>
      <w:tr>
        <w:trPr>
          <w:cantSplit/>
        </w:trPr>
        <w:tc>
          <w:tcPr>
            <w:tcW w:type="dxa" w:w="2160"/>
          </w:tcPr>
          <w:p>
            <w:pPr>
              <w:spacing w:after="80" w:before="60"/>
            </w:pPr>
            <w:r>
              <w:rPr>
                <w:sz w:val="18"/>
              </w:rPr>
              <w:t>Navigation and listings</w:t>
            </w:r>
          </w:p>
        </w:tc>
        <w:tc>
          <w:tcPr>
            <w:tcW w:type="dxa" w:w="7632"/>
          </w:tcPr>
          <w:p>
            <w:pPr>
              <w:spacing w:after="80" w:before="60"/>
            </w:pPr>
            <w:r>
              <w:rPr>
                <w:sz w:val="18"/>
              </w:rPr>
              <w:t>Breadcrumbs on inner pages; ItemList on category and range pages.</w:t>
            </w:r>
          </w:p>
        </w:tc>
      </w:tr>
      <w:tr>
        <w:trPr>
          <w:cantSplit/>
        </w:trPr>
        <w:tc>
          <w:tcPr>
            <w:tcW w:type="dxa" w:w="2160"/>
          </w:tcPr>
          <w:p>
            <w:pPr>
              <w:spacing w:after="80" w:before="60"/>
            </w:pPr>
            <w:r>
              <w:rPr>
                <w:sz w:val="18"/>
              </w:rPr>
              <w:t>Contact FAQs</w:t>
            </w:r>
          </w:p>
        </w:tc>
        <w:tc>
          <w:tcPr>
            <w:tcW w:type="dxa" w:w="7632"/>
          </w:tcPr>
          <w:p>
            <w:pPr>
              <w:spacing w:after="80" w:before="60"/>
            </w:pPr>
            <w:r>
              <w:rPr>
                <w:sz w:val="18"/>
              </w:rPr>
              <w:t>Five existing questions and exact answers represented in schema.</w:t>
            </w:r>
          </w:p>
        </w:tc>
      </w:tr>
      <w:tr>
        <w:trPr>
          <w:cantSplit/>
        </w:trPr>
        <w:tc>
          <w:tcPr>
            <w:tcW w:type="dxa" w:w="2160"/>
          </w:tcPr>
          <w:p>
            <w:pPr>
              <w:spacing w:after="80" w:before="60"/>
            </w:pPr>
            <w:r>
              <w:rPr>
                <w:sz w:val="18"/>
              </w:rPr>
              <w:t>Domain consistency</w:t>
            </w:r>
          </w:p>
        </w:tc>
        <w:tc>
          <w:tcPr>
            <w:tcW w:type="dxa" w:w="7632"/>
          </w:tcPr>
          <w:p>
            <w:pPr>
              <w:spacing w:after="80" w:before="60"/>
            </w:pPr>
            <w:r>
              <w:rPr>
                <w:sz w:val="18"/>
              </w:rPr>
              <w:t>Schema, canonical links, Open Graph URLs, sitemap and robots use the selected live domain.</w:t>
            </w:r>
          </w:p>
        </w:tc>
      </w:tr>
    </w:tbl>
    <w:p>
      <w:pPr>
        <w:pStyle w:val="Heading2"/>
      </w:pPr>
      <w:r>
        <w:t>Current delivery status</w:t>
      </w:r>
    </w:p>
    <w:p>
      <w:r>
        <w:rPr>
          <w:b/>
        </w:rPr>
        <w:t>IMPLEMENTED LOCALLY — NOT PUSHED OR DEPLOYED</w:t>
      </w:r>
    </w:p>
    <w:p>
      <w:r>
        <w:rPr>
          <w:b w:val="0"/>
        </w:rPr>
        <w:t>The live site will continue to show the previous schema until these changes are deployed. Build and local/production SSR checks pass. External validation is partly complete, with the exact limits recorded in this report.</w:t>
      </w:r>
    </w:p>
    <w:p>
      <w:r>
        <w:br w:type="page"/>
      </w:r>
    </w:p>
    <w:p>
      <w:pPr>
        <w:pStyle w:val="Heading1"/>
      </w:pPr>
      <w:r>
        <w:t>2. Schema implemented</w:t>
      </w:r>
    </w:p>
    <w:tbl>
      <w:tblPr>
        <w:tblStyle w:val="LightShading-Accent1"/>
        <w:tblW w:type="auto" w:w="0"/>
        <w:tblLook w:firstColumn="1" w:firstRow="1" w:lastColumn="0" w:lastRow="0" w:noHBand="0" w:noVBand="1" w:val="04A0"/>
      </w:tblPr>
      <w:tblGrid>
        <w:gridCol w:w="4968"/>
        <w:gridCol w:w="4968"/>
      </w:tblGrid>
      <w:tr>
        <w:trPr>
          <w:tblHeader/>
        </w:trPr>
        <w:tc>
          <w:tcPr>
            <w:tcW w:type="dxa" w:w="2304"/>
            <w:shd w:fill="850D19"/>
          </w:tcPr>
          <w:p>
            <w:pPr>
              <w:spacing w:after="80" w:before="60"/>
            </w:pPr>
            <w:r>
              <w:rPr>
                <w:b/>
                <w:color w:val="FFFFFF"/>
                <w:sz w:val="18"/>
              </w:rPr>
              <w:t>Schema type</w:t>
            </w:r>
          </w:p>
        </w:tc>
        <w:tc>
          <w:tcPr>
            <w:tcW w:type="dxa" w:w="7488"/>
            <w:shd w:fill="850D19"/>
          </w:tcPr>
          <w:p>
            <w:pPr>
              <w:spacing w:after="80" w:before="60"/>
            </w:pPr>
            <w:r>
              <w:rPr>
                <w:b/>
                <w:color w:val="FFFFFF"/>
                <w:sz w:val="18"/>
              </w:rPr>
              <w:t>Where and why</w:t>
            </w:r>
          </w:p>
        </w:tc>
      </w:tr>
      <w:tr>
        <w:trPr>
          <w:cantSplit/>
        </w:trPr>
        <w:tc>
          <w:tcPr>
            <w:tcW w:type="dxa" w:w="2304"/>
          </w:tcPr>
          <w:p>
            <w:pPr>
              <w:spacing w:after="80" w:before="60"/>
            </w:pPr>
            <w:r>
              <w:rPr>
                <w:sz w:val="18"/>
              </w:rPr>
              <w:t>Organization + LocalBusiness</w:t>
            </w:r>
          </w:p>
        </w:tc>
        <w:tc>
          <w:tcPr>
            <w:tcW w:type="dxa" w:w="7488"/>
          </w:tcPr>
          <w:p>
            <w:pPr>
              <w:spacing w:after="80" w:before="60"/>
            </w:pPr>
            <w:r>
              <w:rPr>
                <w:sz w:val="18"/>
              </w:rPr>
              <w:t>Every page shares one company entity and stable ID. Published contact details and a physical Pune address support LocalBusiness.</w:t>
            </w:r>
          </w:p>
        </w:tc>
      </w:tr>
      <w:tr>
        <w:trPr>
          <w:cantSplit/>
        </w:trPr>
        <w:tc>
          <w:tcPr>
            <w:tcW w:type="dxa" w:w="2304"/>
          </w:tcPr>
          <w:p>
            <w:pPr>
              <w:spacing w:after="80" w:before="60"/>
            </w:pPr>
            <w:r>
              <w:rPr>
                <w:sz w:val="18"/>
              </w:rPr>
              <w:t>WebSite</w:t>
            </w:r>
          </w:p>
        </w:tc>
        <w:tc>
          <w:tcPr>
            <w:tcW w:type="dxa" w:w="7488"/>
          </w:tcPr>
          <w:p>
            <w:pPr>
              <w:spacing w:after="80" w:before="60"/>
            </w:pPr>
            <w:r>
              <w:rPr>
                <w:sz w:val="18"/>
              </w:rPr>
              <w:t>Every page identifies the website, description, canonical origin and publisher.</w:t>
            </w:r>
          </w:p>
        </w:tc>
      </w:tr>
      <w:tr>
        <w:trPr>
          <w:cantSplit/>
        </w:trPr>
        <w:tc>
          <w:tcPr>
            <w:tcW w:type="dxa" w:w="2304"/>
          </w:tcPr>
          <w:p>
            <w:pPr>
              <w:spacing w:after="80" w:before="60"/>
            </w:pPr>
            <w:r>
              <w:rPr>
                <w:sz w:val="18"/>
              </w:rPr>
              <w:t>WebPage</w:t>
            </w:r>
          </w:p>
        </w:tc>
        <w:tc>
          <w:tcPr>
            <w:tcW w:type="dxa" w:w="7488"/>
          </w:tcPr>
          <w:p>
            <w:pPr>
              <w:spacing w:after="80" w:before="60"/>
            </w:pPr>
            <w:r>
              <w:rPr>
                <w:sz w:val="18"/>
              </w:rPr>
              <w:t>Home and Franchise use WebPage; specialized page types inherit WebPage.</w:t>
            </w:r>
          </w:p>
        </w:tc>
      </w:tr>
      <w:tr>
        <w:trPr>
          <w:cantSplit/>
        </w:trPr>
        <w:tc>
          <w:tcPr>
            <w:tcW w:type="dxa" w:w="2304"/>
          </w:tcPr>
          <w:p>
            <w:pPr>
              <w:spacing w:after="80" w:before="60"/>
            </w:pPr>
            <w:r>
              <w:rPr>
                <w:sz w:val="18"/>
              </w:rPr>
              <w:t>AboutPage</w:t>
            </w:r>
          </w:p>
        </w:tc>
        <w:tc>
          <w:tcPr>
            <w:tcW w:type="dxa" w:w="7488"/>
          </w:tcPr>
          <w:p>
            <w:pPr>
              <w:spacing w:after="80" w:before="60"/>
            </w:pPr>
            <w:r>
              <w:rPr>
                <w:sz w:val="18"/>
              </w:rPr>
              <w:t>The About route describes the company.</w:t>
            </w:r>
          </w:p>
        </w:tc>
      </w:tr>
      <w:tr>
        <w:trPr>
          <w:cantSplit/>
        </w:trPr>
        <w:tc>
          <w:tcPr>
            <w:tcW w:type="dxa" w:w="2304"/>
          </w:tcPr>
          <w:p>
            <w:pPr>
              <w:spacing w:after="80" w:before="60"/>
            </w:pPr>
            <w:r>
              <w:rPr>
                <w:sz w:val="18"/>
              </w:rPr>
              <w:t>ContactPage</w:t>
            </w:r>
          </w:p>
        </w:tc>
        <w:tc>
          <w:tcPr>
            <w:tcW w:type="dxa" w:w="7488"/>
          </w:tcPr>
          <w:p>
            <w:pPr>
              <w:spacing w:after="80" w:before="60"/>
            </w:pPr>
            <w:r>
              <w:rPr>
                <w:sz w:val="18"/>
              </w:rPr>
              <w:t>The Contact route identifies its contact purpose.</w:t>
            </w:r>
          </w:p>
        </w:tc>
      </w:tr>
      <w:tr>
        <w:trPr>
          <w:cantSplit/>
        </w:trPr>
        <w:tc>
          <w:tcPr>
            <w:tcW w:type="dxa" w:w="2304"/>
          </w:tcPr>
          <w:p>
            <w:pPr>
              <w:spacing w:after="80" w:before="60"/>
            </w:pPr>
            <w:r>
              <w:rPr>
                <w:sz w:val="18"/>
              </w:rPr>
              <w:t>CollectionPage</w:t>
            </w:r>
          </w:p>
        </w:tc>
        <w:tc>
          <w:tcPr>
            <w:tcW w:type="dxa" w:w="7488"/>
          </w:tcPr>
          <w:p>
            <w:pPr>
              <w:spacing w:after="80" w:before="60"/>
            </w:pPr>
            <w:r>
              <w:rPr>
                <w:sz w:val="18"/>
              </w:rPr>
              <w:t>Three division pages and 18 product-family pages describe collections/ranges.</w:t>
            </w:r>
          </w:p>
        </w:tc>
      </w:tr>
      <w:tr>
        <w:trPr>
          <w:cantSplit/>
        </w:trPr>
        <w:tc>
          <w:tcPr>
            <w:tcW w:type="dxa" w:w="2304"/>
          </w:tcPr>
          <w:p>
            <w:pPr>
              <w:spacing w:after="80" w:before="60"/>
            </w:pPr>
            <w:r>
              <w:rPr>
                <w:sz w:val="18"/>
              </w:rPr>
              <w:t>BreadcrumbList</w:t>
            </w:r>
          </w:p>
        </w:tc>
        <w:tc>
          <w:tcPr>
            <w:tcW w:type="dxa" w:w="7488"/>
          </w:tcPr>
          <w:p>
            <w:pPr>
              <w:spacing w:after="80" w:before="60"/>
            </w:pPr>
            <w:r>
              <w:rPr>
                <w:sz w:val="18"/>
              </w:rPr>
              <w:t>Relevant inner pages follow Home → Division → Product family, or Home → Page.</w:t>
            </w:r>
          </w:p>
        </w:tc>
      </w:tr>
      <w:tr>
        <w:trPr>
          <w:cantSplit/>
        </w:trPr>
        <w:tc>
          <w:tcPr>
            <w:tcW w:type="dxa" w:w="2304"/>
          </w:tcPr>
          <w:p>
            <w:pPr>
              <w:spacing w:after="80" w:before="60"/>
            </w:pPr>
            <w:r>
              <w:rPr>
                <w:sz w:val="18"/>
              </w:rPr>
              <w:t>ItemList</w:t>
            </w:r>
          </w:p>
        </w:tc>
        <w:tc>
          <w:tcPr>
            <w:tcW w:type="dxa" w:w="7488"/>
          </w:tcPr>
          <w:p>
            <w:pPr>
              <w:spacing w:after="80" w:before="60"/>
            </w:pPr>
            <w:r>
              <w:rPr>
                <w:sz w:val="18"/>
              </w:rPr>
              <w:t>Division pages list product families; range pages list visible product types.</w:t>
            </w:r>
          </w:p>
        </w:tc>
      </w:tr>
      <w:tr>
        <w:trPr>
          <w:cantSplit/>
        </w:trPr>
        <w:tc>
          <w:tcPr>
            <w:tcW w:type="dxa" w:w="2304"/>
          </w:tcPr>
          <w:p>
            <w:pPr>
              <w:spacing w:after="80" w:before="60"/>
            </w:pPr>
            <w:r>
              <w:rPr>
                <w:sz w:val="18"/>
              </w:rPr>
              <w:t>Product</w:t>
            </w:r>
          </w:p>
        </w:tc>
        <w:tc>
          <w:tcPr>
            <w:tcW w:type="dxa" w:w="7488"/>
          </w:tcPr>
          <w:p>
            <w:pPr>
              <w:spacing w:after="80" w:before="60"/>
            </w:pPr>
            <w:r>
              <w:rPr>
                <w:sz w:val="18"/>
              </w:rPr>
              <w:t>18 product-family routes use existing names, descriptions, available brands, categories and range characteristics.</w:t>
            </w:r>
          </w:p>
        </w:tc>
      </w:tr>
      <w:tr>
        <w:trPr>
          <w:cantSplit/>
        </w:trPr>
        <w:tc>
          <w:tcPr>
            <w:tcW w:type="dxa" w:w="2304"/>
          </w:tcPr>
          <w:p>
            <w:pPr>
              <w:spacing w:after="80" w:before="60"/>
            </w:pPr>
            <w:r>
              <w:rPr>
                <w:sz w:val="18"/>
              </w:rPr>
              <w:t>FAQPage</w:t>
            </w:r>
          </w:p>
        </w:tc>
        <w:tc>
          <w:tcPr>
            <w:tcW w:type="dxa" w:w="7488"/>
          </w:tcPr>
          <w:p>
            <w:pPr>
              <w:spacing w:after="80" w:before="60"/>
            </w:pPr>
            <w:r>
              <w:rPr>
                <w:sz w:val="18"/>
              </w:rPr>
              <w:t>Contact uses its five visible FAQs. It shares the page entity with ContactPage.</w:t>
            </w:r>
          </w:p>
        </w:tc>
      </w:tr>
      <w:tr>
        <w:trPr>
          <w:cantSplit/>
        </w:trPr>
        <w:tc>
          <w:tcPr>
            <w:tcW w:type="dxa" w:w="2304"/>
          </w:tcPr>
          <w:p>
            <w:pPr>
              <w:spacing w:after="80" w:before="60"/>
            </w:pPr>
            <w:r>
              <w:rPr>
                <w:sz w:val="18"/>
              </w:rPr>
              <w:t>Service — omitted</w:t>
            </w:r>
          </w:p>
        </w:tc>
        <w:tc>
          <w:tcPr>
            <w:tcW w:type="dxa" w:w="7488"/>
          </w:tcPr>
          <w:p>
            <w:pPr>
              <w:spacing w:after="80" w:before="60"/>
            </w:pPr>
            <w:r>
              <w:rPr>
                <w:sz w:val="18"/>
              </w:rPr>
              <w:t>No dedicated currently offered service pages exist. The planned franchise is not represented as an active service.</w:t>
            </w:r>
          </w:p>
        </w:tc>
      </w:tr>
    </w:tbl>
    <w:p>
      <w:pPr>
        <w:pStyle w:val="Heading2"/>
      </w:pPr>
      <w:r>
        <w:t>Verified company details used</w:t>
      </w:r>
    </w:p>
    <w:p>
      <w:r>
        <w:rPr>
          <w:b w:val="0"/>
        </w:rPr>
        <w:t>Name: RB International Belting &amp; Automation</w:t>
        <w:br/>
        <w:t>Address: Shop No 5, Kamath Complex, Telco Road, Landewadi, Bhosari Industrial Estate, Pune 411026, India</w:t>
        <w:br/>
        <w:t>Phones: +91 87881 95839 / +91 98909 61752</w:t>
        <w:br/>
        <w:t>Emails: response@rbibelting.in / sales@rbcorp.in</w:t>
        <w:br/>
        <w:t>Working hours: Monday–Saturday, 9:30 AM–6:30 PM</w:t>
        <w:br/>
        <w:t>Assets and profiles: existing logo, published Maps link and Instagram profile.</w:t>
      </w:r>
    </w:p>
    <w:p>
      <w:r>
        <w:rPr>
          <w:b w:val="0"/>
        </w:rPr>
        <w:t>Placeholder Facebook, LinkedIn and YouTube links were excluded. No unverified legal company name, coordinates or personal biography was added.</w:t>
      </w:r>
    </w:p>
    <w:p>
      <w:r>
        <w:br w:type="page"/>
      </w:r>
    </w:p>
    <w:p>
      <w:pPr>
        <w:pStyle w:val="Heading1"/>
      </w:pPr>
      <w:r>
        <w:t>3. Page-by-page coverage — main pages</w:t>
      </w:r>
    </w:p>
    <w:p>
      <w:r>
        <w:rPr>
          <w:b w:val="0"/>
        </w:rPr>
        <w:t>Every page below also includes the shared Organization/LocalBusiness entity and WebSite. The table lists its additional page-specific types.</w:t>
      </w:r>
    </w:p>
    <w:tbl>
      <w:tblPr>
        <w:tblStyle w:val="LightShading-Accent1"/>
        <w:tblW w:type="auto" w:w="0"/>
        <w:tblLook w:firstColumn="1" w:firstRow="1" w:lastColumn="0" w:lastRow="0" w:noHBand="0" w:noVBand="1" w:val="04A0"/>
      </w:tblPr>
      <w:tblGrid>
        <w:gridCol w:w="4968"/>
        <w:gridCol w:w="4968"/>
      </w:tblGrid>
      <w:tr>
        <w:trPr>
          <w:tblHeader/>
        </w:trPr>
        <w:tc>
          <w:tcPr>
            <w:tcW w:type="dxa" w:w="3456"/>
            <w:shd w:fill="850D19"/>
          </w:tcPr>
          <w:p>
            <w:pPr>
              <w:spacing w:after="80" w:before="60"/>
            </w:pPr>
            <w:r>
              <w:rPr>
                <w:b/>
                <w:color w:val="FFFFFF"/>
                <w:sz w:val="18"/>
              </w:rPr>
              <w:t>Route</w:t>
            </w:r>
          </w:p>
        </w:tc>
        <w:tc>
          <w:tcPr>
            <w:tcW w:type="dxa" w:w="6336"/>
            <w:shd w:fill="850D19"/>
          </w:tcPr>
          <w:p>
            <w:pPr>
              <w:spacing w:after="80" w:before="60"/>
            </w:pPr>
            <w:r>
              <w:rPr>
                <w:b/>
                <w:color w:val="FFFFFF"/>
                <w:sz w:val="18"/>
              </w:rPr>
              <w:t>Page-specific schema</w:t>
            </w:r>
          </w:p>
        </w:tc>
      </w:tr>
      <w:tr>
        <w:trPr>
          <w:cantSplit/>
        </w:trPr>
        <w:tc>
          <w:tcPr>
            <w:tcW w:type="dxa" w:w="3456"/>
          </w:tcPr>
          <w:p>
            <w:pPr>
              <w:spacing w:after="80" w:before="60"/>
            </w:pPr>
            <w:r>
              <w:rPr>
                <w:sz w:val="18"/>
              </w:rPr>
              <w:t>/</w:t>
            </w:r>
          </w:p>
        </w:tc>
        <w:tc>
          <w:tcPr>
            <w:tcW w:type="dxa" w:w="6336"/>
          </w:tcPr>
          <w:p>
            <w:pPr>
              <w:spacing w:after="80" w:before="60"/>
            </w:pPr>
            <w:r>
              <w:rPr>
                <w:sz w:val="18"/>
              </w:rPr>
              <w:t>WebPage</w:t>
            </w:r>
          </w:p>
        </w:tc>
      </w:tr>
      <w:tr>
        <w:trPr>
          <w:cantSplit/>
        </w:trPr>
        <w:tc>
          <w:tcPr>
            <w:tcW w:type="dxa" w:w="3456"/>
          </w:tcPr>
          <w:p>
            <w:pPr>
              <w:spacing w:after="80" w:before="60"/>
            </w:pPr>
            <w:r>
              <w:rPr>
                <w:sz w:val="18"/>
              </w:rPr>
              <w:t>/about</w:t>
            </w:r>
          </w:p>
        </w:tc>
        <w:tc>
          <w:tcPr>
            <w:tcW w:type="dxa" w:w="6336"/>
          </w:tcPr>
          <w:p>
            <w:pPr>
              <w:spacing w:after="80" w:before="60"/>
            </w:pPr>
            <w:r>
              <w:rPr>
                <w:sz w:val="18"/>
              </w:rPr>
              <w:t>AboutPage, BreadcrumbList</w:t>
            </w:r>
          </w:p>
        </w:tc>
      </w:tr>
      <w:tr>
        <w:trPr>
          <w:cantSplit/>
        </w:trPr>
        <w:tc>
          <w:tcPr>
            <w:tcW w:type="dxa" w:w="3456"/>
          </w:tcPr>
          <w:p>
            <w:pPr>
              <w:spacing w:after="80" w:before="60"/>
            </w:pPr>
            <w:r>
              <w:rPr>
                <w:sz w:val="18"/>
              </w:rPr>
              <w:t>/power-transmission</w:t>
            </w:r>
          </w:p>
        </w:tc>
        <w:tc>
          <w:tcPr>
            <w:tcW w:type="dxa" w:w="6336"/>
          </w:tcPr>
          <w:p>
            <w:pPr>
              <w:spacing w:after="80" w:before="60"/>
            </w:pPr>
            <w:r>
              <w:rPr>
                <w:sz w:val="18"/>
              </w:rPr>
              <w:t>CollectionPage, BreadcrumbList, ItemList</w:t>
            </w:r>
          </w:p>
        </w:tc>
      </w:tr>
      <w:tr>
        <w:trPr>
          <w:cantSplit/>
        </w:trPr>
        <w:tc>
          <w:tcPr>
            <w:tcW w:type="dxa" w:w="3456"/>
          </w:tcPr>
          <w:p>
            <w:pPr>
              <w:spacing w:after="80" w:before="60"/>
            </w:pPr>
            <w:r>
              <w:rPr>
                <w:sz w:val="18"/>
              </w:rPr>
              <w:t>/automation</w:t>
            </w:r>
          </w:p>
        </w:tc>
        <w:tc>
          <w:tcPr>
            <w:tcW w:type="dxa" w:w="6336"/>
          </w:tcPr>
          <w:p>
            <w:pPr>
              <w:spacing w:after="80" w:before="60"/>
            </w:pPr>
            <w:r>
              <w:rPr>
                <w:sz w:val="18"/>
              </w:rPr>
              <w:t>CollectionPage, BreadcrumbList, ItemList</w:t>
            </w:r>
          </w:p>
        </w:tc>
      </w:tr>
      <w:tr>
        <w:trPr>
          <w:cantSplit/>
        </w:trPr>
        <w:tc>
          <w:tcPr>
            <w:tcW w:type="dxa" w:w="3456"/>
          </w:tcPr>
          <w:p>
            <w:pPr>
              <w:spacing w:after="80" w:before="60"/>
            </w:pPr>
            <w:r>
              <w:rPr>
                <w:sz w:val="18"/>
              </w:rPr>
              <w:t>/adhesives</w:t>
            </w:r>
          </w:p>
        </w:tc>
        <w:tc>
          <w:tcPr>
            <w:tcW w:type="dxa" w:w="6336"/>
          </w:tcPr>
          <w:p>
            <w:pPr>
              <w:spacing w:after="80" w:before="60"/>
            </w:pPr>
            <w:r>
              <w:rPr>
                <w:sz w:val="18"/>
              </w:rPr>
              <w:t>CollectionPage, BreadcrumbList, ItemList</w:t>
            </w:r>
          </w:p>
        </w:tc>
      </w:tr>
      <w:tr>
        <w:trPr>
          <w:cantSplit/>
        </w:trPr>
        <w:tc>
          <w:tcPr>
            <w:tcW w:type="dxa" w:w="3456"/>
          </w:tcPr>
          <w:p>
            <w:pPr>
              <w:spacing w:after="80" w:before="60"/>
            </w:pPr>
            <w:r>
              <w:rPr>
                <w:sz w:val="18"/>
              </w:rPr>
              <w:t>/contact</w:t>
            </w:r>
          </w:p>
        </w:tc>
        <w:tc>
          <w:tcPr>
            <w:tcW w:type="dxa" w:w="6336"/>
          </w:tcPr>
          <w:p>
            <w:pPr>
              <w:spacing w:after="80" w:before="60"/>
            </w:pPr>
            <w:r>
              <w:rPr>
                <w:sz w:val="18"/>
              </w:rPr>
              <w:t>ContactPage, FAQPage, BreadcrumbList</w:t>
            </w:r>
          </w:p>
        </w:tc>
      </w:tr>
      <w:tr>
        <w:trPr>
          <w:cantSplit/>
        </w:trPr>
        <w:tc>
          <w:tcPr>
            <w:tcW w:type="dxa" w:w="3456"/>
          </w:tcPr>
          <w:p>
            <w:pPr>
              <w:spacing w:after="80" w:before="60"/>
            </w:pPr>
            <w:r>
              <w:rPr>
                <w:sz w:val="18"/>
              </w:rPr>
              <w:t>/franchise</w:t>
            </w:r>
          </w:p>
        </w:tc>
        <w:tc>
          <w:tcPr>
            <w:tcW w:type="dxa" w:w="6336"/>
          </w:tcPr>
          <w:p>
            <w:pPr>
              <w:spacing w:after="80" w:before="60"/>
            </w:pPr>
            <w:r>
              <w:rPr>
                <w:sz w:val="18"/>
              </w:rPr>
              <w:t>WebPage, BreadcrumbList</w:t>
            </w:r>
          </w:p>
        </w:tc>
      </w:tr>
    </w:tbl>
    <w:p>
      <w:pPr>
        <w:pStyle w:val="Heading2"/>
      </w:pPr>
      <w:r>
        <w:t>Canonical URL and sitemap updates</w:t>
      </w:r>
    </w:p>
    <w:p>
      <w:r>
        <w:rPr>
          <w:b w:val="0"/>
        </w:rPr>
        <w:t>The existing canonical domain, https://rbibelting.com, did not resolve during the audit. At your instruction, the implementation uses https://rbi-belting-y8in.vercel.app until the final domain is connected.</w:t>
      </w:r>
    </w:p>
    <w:p>
      <w:pPr>
        <w:pStyle w:val="ListBullet"/>
      </w:pPr>
      <w:r>
        <w:t>Updated structured-data URLs, canonical links and Open Graph URLs consistently.</w:t>
      </w:r>
    </w:p>
    <w:p>
      <w:pPr>
        <w:pStyle w:val="ListBullet"/>
      </w:pPr>
      <w:r>
        <w:t>Updated robots.txt and sitemap.xml to the selected live origin.</w:t>
      </w:r>
    </w:p>
    <w:p>
      <w:pPr>
        <w:pStyle w:val="ListBullet"/>
      </w:pPr>
      <w:r>
        <w:t>Added the missing /power-transmission/caterpillar-belts sitemap entry.</w:t>
      </w:r>
    </w:p>
    <w:p>
      <w:pPr>
        <w:pStyle w:val="ListBullet"/>
      </w:pPr>
      <w:r>
        <w:t>Retained existing page titles and descriptions; all 25 page titles match the live audit.</w:t>
      </w:r>
    </w:p>
    <w:p>
      <w:pPr>
        <w:pStyle w:val="Heading2"/>
      </w:pPr>
      <w:r>
        <w:t>Technical safeguards</w:t>
      </w:r>
    </w:p>
    <w:p>
      <w:pPr>
        <w:pStyle w:val="ListBullet"/>
      </w:pPr>
      <w:r>
        <w:t>Each page emits exactly one JSON-LD script with https://schema.org context.</w:t>
      </w:r>
    </w:p>
    <w:p>
      <w:pPr>
        <w:pStyle w:val="ListBullet"/>
      </w:pPr>
      <w:r>
        <w:t>Stable entity IDs link the company, website, page, breadcrumbs and lists.</w:t>
      </w:r>
    </w:p>
    <w:p>
      <w:pPr>
        <w:pStyle w:val="ListBullet"/>
      </w:pPr>
      <w:r>
        <w:t>Parent category heads are suppressed on nested product routes to prevent duplicate schema and canonical links.</w:t>
      </w:r>
    </w:p>
    <w:p>
      <w:pPr>
        <w:pStyle w:val="ListBullet"/>
      </w:pPr>
      <w:r>
        <w:t>JSON-LD is included in server-rendered HTML and updates during client navigation.</w:t>
      </w:r>
    </w:p>
    <w:p>
      <w:pPr>
        <w:pStyle w:val="ListBullet"/>
      </w:pPr>
      <w:r>
        <w:t>Serialization escapes script-breaking characters; URLs are absolute.</w:t>
      </w:r>
    </w:p>
    <w:p>
      <w:r>
        <w:br w:type="page"/>
      </w:r>
    </w:p>
    <w:p>
      <w:pPr>
        <w:pStyle w:val="Heading1"/>
      </w:pPr>
      <w:r>
        <w:t>4. Page-by-page coverage — product ranges</w:t>
      </w:r>
    </w:p>
    <w:p>
      <w:r>
        <w:rPr>
          <w:b w:val="0"/>
        </w:rPr>
        <w:t>All 18 routes below include CollectionPage, BreadcrumbList, Product and ItemList, plus the shared company and WebSite entities.</w:t>
      </w:r>
    </w:p>
    <w:tbl>
      <w:tblPr>
        <w:tblStyle w:val="LightShading-Accent1"/>
        <w:tblW w:type="auto" w:w="0"/>
        <w:tblLook w:firstColumn="1" w:firstRow="1" w:lastColumn="0" w:lastRow="0" w:noHBand="0" w:noVBand="1" w:val="04A0"/>
      </w:tblPr>
      <w:tblGrid>
        <w:gridCol w:w="4968"/>
        <w:gridCol w:w="4968"/>
      </w:tblGrid>
      <w:tr>
        <w:trPr>
          <w:tblHeader/>
        </w:trPr>
        <w:tc>
          <w:tcPr>
            <w:tcW w:type="dxa" w:w="7056"/>
            <w:shd w:fill="850D19"/>
          </w:tcPr>
          <w:p>
            <w:pPr>
              <w:spacing w:after="80" w:before="60"/>
            </w:pPr>
            <w:r>
              <w:rPr>
                <w:b/>
                <w:color w:val="FFFFFF"/>
                <w:sz w:val="17"/>
              </w:rPr>
              <w:t>Product-family route</w:t>
            </w:r>
          </w:p>
        </w:tc>
        <w:tc>
          <w:tcPr>
            <w:tcW w:type="dxa" w:w="2736"/>
            <w:shd w:fill="850D19"/>
          </w:tcPr>
          <w:p>
            <w:pPr>
              <w:spacing w:after="80" w:before="60"/>
            </w:pPr>
            <w:r>
              <w:rPr>
                <w:b/>
                <w:color w:val="FFFFFF"/>
                <w:sz w:val="17"/>
              </w:rPr>
              <w:t>Approved product images</w:t>
            </w:r>
          </w:p>
        </w:tc>
      </w:tr>
      <w:tr>
        <w:trPr>
          <w:cantSplit/>
        </w:trPr>
        <w:tc>
          <w:tcPr>
            <w:tcW w:type="dxa" w:w="7056"/>
          </w:tcPr>
          <w:p>
            <w:pPr>
              <w:spacing w:after="80" w:before="60"/>
            </w:pPr>
            <w:r>
              <w:rPr>
                <w:sz w:val="17"/>
              </w:rPr>
              <w:t>/power-transmission/v-belts</w:t>
            </w:r>
          </w:p>
        </w:tc>
        <w:tc>
          <w:tcPr>
            <w:tcW w:type="dxa" w:w="2736"/>
          </w:tcPr>
          <w:p>
            <w:pPr>
              <w:spacing w:after="80" w:before="60"/>
            </w:pPr>
            <w:r>
              <w:rPr>
                <w:sz w:val="17"/>
              </w:rPr>
              <w:t>4</w:t>
            </w:r>
          </w:p>
        </w:tc>
      </w:tr>
      <w:tr>
        <w:trPr>
          <w:cantSplit/>
        </w:trPr>
        <w:tc>
          <w:tcPr>
            <w:tcW w:type="dxa" w:w="7056"/>
          </w:tcPr>
          <w:p>
            <w:pPr>
              <w:spacing w:after="80" w:before="60"/>
            </w:pPr>
            <w:r>
              <w:rPr>
                <w:sz w:val="17"/>
              </w:rPr>
              <w:t>/power-transmission/timing-belts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/power-transmission/conveyor-belts</w:t>
            </w:r>
          </w:p>
        </w:tc>
        <w:tc>
          <w:tcPr>
            <w:tcW w:type="dxa" w:w="2736"/>
          </w:tcPr>
          <w:p>
            <w:pPr>
              <w:spacing w:after="80" w:before="60"/>
            </w:pPr>
            <w:r>
              <w:rPr>
                <w:sz w:val="17"/>
              </w:rPr>
              <w:t>4</w:t>
            </w:r>
          </w:p>
        </w:tc>
      </w:tr>
      <w:tr>
        <w:trPr>
          <w:cantSplit/>
        </w:trPr>
        <w:tc>
          <w:tcPr>
            <w:tcW w:type="dxa" w:w="7056"/>
          </w:tcPr>
          <w:p>
            <w:pPr>
              <w:spacing w:after="80" w:before="60"/>
            </w:pPr>
            <w:r>
              <w:rPr>
                <w:sz w:val="17"/>
              </w:rPr>
              <w:t>/power-transmission/flat-belts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/power-transmission/pulleys-and-bushes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/power-transmission/couplings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/power-transmission/accessories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/automation/linear-motion</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/automation/robotics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/automation/motors-and-drives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/automation/controllers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/adhesives/threadlockers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/adhesives/sealants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/adhesives/structural</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/adhesives/general-purpose</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/adhesives/specialty</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/adhesives/tapes</w:t>
            </w:r>
          </w:p>
        </w:tc>
        <w:tc>
          <w:tcPr>
            <w:tcW w:type="dxa" w:w="2736"/>
          </w:tcPr>
          <w:p>
            <w:pPr>
              <w:spacing w:after="80" w:before="60"/>
            </w:pPr>
            <w:r>
              <w:rPr>
                <w:sz w:val="17"/>
              </w:rPr>
              <w:t>Not available; omitted</w:t>
            </w:r>
          </w:p>
        </w:tc>
      </w:tr>
      <w:tr>
        <w:trPr>
          <w:cantSplit/>
        </w:trPr>
        <w:tc>
          <w:tcPr>
            <w:tcW w:type="dxa" w:w="7056"/>
          </w:tcPr>
          <w:p>
            <w:pPr>
              <w:spacing w:after="80" w:before="60"/>
            </w:pPr>
            <w:r>
              <w:rPr>
                <w:sz w:val="17"/>
              </w:rPr>
              <w:t>/power-transmission/caterpillar-belts</w:t>
            </w:r>
          </w:p>
        </w:tc>
        <w:tc>
          <w:tcPr>
            <w:tcW w:type="dxa" w:w="2736"/>
          </w:tcPr>
          <w:p>
            <w:pPr>
              <w:spacing w:after="80" w:before="60"/>
            </w:pPr>
            <w:r>
              <w:rPr>
                <w:sz w:val="17"/>
              </w:rPr>
              <w:t>Not available; omitted</w:t>
            </w:r>
          </w:p>
        </w:tc>
      </w:tr>
    </w:tbl>
    <w:p>
      <w:pPr>
        <w:pStyle w:val="Heading2"/>
      </w:pPr>
      <w:r>
        <w:t>Product information boundaries</w:t>
      </w:r>
    </w:p>
    <w:p>
      <w:r>
        <w:rPr>
          <w:b w:val="0"/>
        </w:rPr>
        <w:t>These are product-family pages, not individual SKU pages. Schema includes the existing range description, available brands, product types and applications. The additionalProperty field contains visible range characteristics; no engineering dimensions or certifications were invented.</w:t>
      </w:r>
    </w:p>
    <w:p>
      <w:r>
        <w:rPr>
          <w:b w:val="0"/>
        </w:rPr>
        <w:t>Only V-Belts and Conveyor Belts have approved range photography, with four images each. The other 16 ranges omit image data instead of treating factory hero photographs as product images. Caterpillar Belts omits brand because no brand is confirmed.</w:t>
      </w:r>
    </w:p>
    <w:p>
      <w:r>
        <w:rPr>
          <w:b w:val="0"/>
        </w:rPr>
        <w:t>No offers, prices, availability, product reviews, aggregate ratings or fabricated variant relationships were added. Existing business reviews were not reused as product ratings.</w:t>
      </w:r>
    </w:p>
    <w:p>
      <w:r>
        <w:br w:type="page"/>
      </w:r>
    </w:p>
    <w:p>
      <w:pPr>
        <w:pStyle w:val="Heading1"/>
      </w:pPr>
      <w:r>
        <w:t>5. Validation results</w:t>
      </w:r>
    </w:p>
    <w:tbl>
      <w:tblPr>
        <w:tblStyle w:val="LightShading-Accent1"/>
        <w:tblW w:type="auto" w:w="0"/>
        <w:tblLook w:firstColumn="1" w:firstRow="1" w:lastColumn="0" w:lastRow="0" w:noHBand="0" w:noVBand="1" w:val="04A0"/>
      </w:tblPr>
      <w:tblGrid>
        <w:gridCol w:w="4968"/>
        <w:gridCol w:w="4968"/>
      </w:tblGrid>
      <w:tr>
        <w:trPr>
          <w:tblHeader/>
        </w:trPr>
        <w:tc>
          <w:tcPr>
            <w:tcW w:type="dxa" w:w="2304"/>
            <w:shd w:fill="850D19"/>
          </w:tcPr>
          <w:p>
            <w:pPr>
              <w:spacing w:after="80" w:before="60"/>
            </w:pPr>
            <w:r>
              <w:rPr>
                <w:b/>
                <w:color w:val="FFFFFF"/>
                <w:sz w:val="18"/>
              </w:rPr>
              <w:t>Check</w:t>
            </w:r>
          </w:p>
        </w:tc>
        <w:tc>
          <w:tcPr>
            <w:tcW w:type="dxa" w:w="7488"/>
            <w:shd w:fill="850D19"/>
          </w:tcPr>
          <w:p>
            <w:pPr>
              <w:spacing w:after="80" w:before="60"/>
            </w:pPr>
            <w:r>
              <w:rPr>
                <w:b/>
                <w:color w:val="FFFFFF"/>
                <w:sz w:val="18"/>
              </w:rPr>
              <w:t>Result and scope</w:t>
            </w:r>
          </w:p>
        </w:tc>
      </w:tr>
      <w:tr>
        <w:trPr>
          <w:cantSplit/>
        </w:trPr>
        <w:tc>
          <w:tcPr>
            <w:tcW w:type="dxa" w:w="2304"/>
          </w:tcPr>
          <w:p>
            <w:pPr>
              <w:spacing w:after="80" w:before="60"/>
            </w:pPr>
            <w:r>
              <w:rPr>
                <w:sz w:val="18"/>
              </w:rPr>
              <w:t>Production build</w:t>
            </w:r>
          </w:p>
        </w:tc>
        <w:tc>
          <w:tcPr>
            <w:tcW w:type="dxa" w:w="7488"/>
          </w:tcPr>
          <w:p>
            <w:pPr>
              <w:spacing w:after="80" w:before="60"/>
            </w:pPr>
            <w:r>
              <w:rPr>
                <w:sz w:val="18"/>
              </w:rPr>
              <w:t>PASS — npm run build using the existing Cloudflare Nitro target.</w:t>
            </w:r>
          </w:p>
        </w:tc>
      </w:tr>
      <w:tr>
        <w:trPr>
          <w:cantSplit/>
        </w:trPr>
        <w:tc>
          <w:tcPr>
            <w:tcW w:type="dxa" w:w="2304"/>
          </w:tcPr>
          <w:p>
            <w:pPr>
              <w:spacing w:after="80" w:before="60"/>
            </w:pPr>
            <w:r>
              <w:rPr>
                <w:sz w:val="18"/>
              </w:rPr>
              <w:t>SSR validation</w:t>
            </w:r>
          </w:p>
        </w:tc>
        <w:tc>
          <w:tcPr>
            <w:tcW w:type="dxa" w:w="7488"/>
          </w:tcPr>
          <w:p>
            <w:pPr>
              <w:spacing w:after="80" w:before="60"/>
            </w:pPr>
            <w:r>
              <w:rPr>
                <w:sz w:val="18"/>
              </w:rPr>
              <w:t>PASS — all 25 routes checked on the development server and built production worker.</w:t>
            </w:r>
          </w:p>
        </w:tc>
      </w:tr>
      <w:tr>
        <w:trPr>
          <w:cantSplit/>
        </w:trPr>
        <w:tc>
          <w:tcPr>
            <w:tcW w:type="dxa" w:w="2304"/>
          </w:tcPr>
          <w:p>
            <w:pPr>
              <w:spacing w:after="80" w:before="60"/>
            </w:pPr>
            <w:r>
              <w:rPr>
                <w:sz w:val="18"/>
              </w:rPr>
              <w:t>Automated checks</w:t>
            </w:r>
          </w:p>
        </w:tc>
        <w:tc>
          <w:tcPr>
            <w:tcW w:type="dxa" w:w="7488"/>
          </w:tcPr>
          <w:p>
            <w:pPr>
              <w:spacing w:after="80" w:before="60"/>
            </w:pPr>
            <w:r>
              <w:rPr>
                <w:sz w:val="18"/>
              </w:rPr>
              <w:t>PASS — JSON parsing, one graph/canonical per page, unique IDs, connected references, breadcrumbs, page types, FAQs, product image responses and unknown-product HTTP 404 behavior.</w:t>
            </w:r>
          </w:p>
        </w:tc>
      </w:tr>
      <w:tr>
        <w:trPr>
          <w:cantSplit/>
        </w:trPr>
        <w:tc>
          <w:tcPr>
            <w:tcW w:type="dxa" w:w="2304"/>
          </w:tcPr>
          <w:p>
            <w:pPr>
              <w:spacing w:after="80" w:before="60"/>
            </w:pPr>
            <w:r>
              <w:rPr>
                <w:sz w:val="18"/>
              </w:rPr>
              <w:t>Browser behavior</w:t>
            </w:r>
          </w:p>
        </w:tc>
        <w:tc>
          <w:tcPr>
            <w:tcW w:type="dxa" w:w="7488"/>
          </w:tcPr>
          <w:p>
            <w:pPr>
              <w:spacing w:after="80" w:before="60"/>
            </w:pPr>
            <w:r>
              <w:rPr>
                <w:sz w:val="18"/>
              </w:rPr>
              <w:t>PASS — hydration without JavaScript errors, client-navigation schema updates, FAQ text parity and the Automation product popup.</w:t>
            </w:r>
          </w:p>
        </w:tc>
      </w:tr>
      <w:tr>
        <w:trPr>
          <w:cantSplit/>
        </w:trPr>
        <w:tc>
          <w:tcPr>
            <w:tcW w:type="dxa" w:w="2304"/>
          </w:tcPr>
          <w:p>
            <w:pPr>
              <w:spacing w:after="80" w:before="60"/>
            </w:pPr>
            <w:r>
              <w:rPr>
                <w:sz w:val="18"/>
              </w:rPr>
              <w:t>Schema.org Validator</w:t>
            </w:r>
          </w:p>
        </w:tc>
        <w:tc>
          <w:tcPr>
            <w:tcW w:type="dxa" w:w="7488"/>
          </w:tcPr>
          <w:p>
            <w:pPr>
              <w:spacing w:after="80" w:before="60"/>
            </w:pPr>
            <w:r>
              <w:rPr>
                <w:sz w:val="18"/>
              </w:rPr>
              <w:t>21 pages completed with 0 errors and 0 warnings. Four further submissions timed out in the external interface.</w:t>
            </w:r>
          </w:p>
        </w:tc>
      </w:tr>
      <w:tr>
        <w:trPr>
          <w:cantSplit/>
        </w:trPr>
        <w:tc>
          <w:tcPr>
            <w:tcW w:type="dxa" w:w="2304"/>
          </w:tcPr>
          <w:p>
            <w:pPr>
              <w:spacing w:after="80" w:before="60"/>
            </w:pPr>
            <w:r>
              <w:rPr>
                <w:sz w:val="18"/>
              </w:rPr>
              <w:t>Google Rich Results Test</w:t>
            </w:r>
          </w:p>
        </w:tc>
        <w:tc>
          <w:tcPr>
            <w:tcW w:type="dxa" w:w="7488"/>
          </w:tcPr>
          <w:p>
            <w:pPr>
              <w:spacing w:after="80" w:before="60"/>
            </w:pPr>
            <w:r>
              <w:rPr>
                <w:sz w:val="18"/>
              </w:rPr>
              <w:t>PENDING — Home, Contact and V-Belts code submissions were refused with “Something went wrong — Log in and try again.” No Google pass is claimed.</w:t>
            </w:r>
          </w:p>
        </w:tc>
      </w:tr>
      <w:tr>
        <w:trPr>
          <w:cantSplit/>
        </w:trPr>
        <w:tc>
          <w:tcPr>
            <w:tcW w:type="dxa" w:w="2304"/>
          </w:tcPr>
          <w:p>
            <w:pPr>
              <w:spacing w:after="80" w:before="60"/>
            </w:pPr>
            <w:r>
              <w:rPr>
                <w:sz w:val="18"/>
              </w:rPr>
              <w:t>TypeScript</w:t>
            </w:r>
          </w:p>
        </w:tc>
        <w:tc>
          <w:tcPr>
            <w:tcW w:type="dxa" w:w="7488"/>
          </w:tcPr>
          <w:p>
            <w:pPr>
              <w:spacing w:after="80" w:before="60"/>
            </w:pPr>
            <w:r>
              <w:rPr>
                <w:sz w:val="18"/>
              </w:rPr>
              <w:t>Seven pre-existing errors remain in category-pages, division-cards, v-belts-showcase and the root error component. No errors were reported in the changed SEO code.</w:t>
            </w:r>
          </w:p>
        </w:tc>
      </w:tr>
    </w:tbl>
    <w:p>
      <w:pPr>
        <w:pStyle w:val="Heading2"/>
      </w:pPr>
      <w:r>
        <w:t>Four pages without completed external Schema.org results</w:t>
      </w:r>
    </w:p>
    <w:p>
      <w:pPr>
        <w:pStyle w:val="ListBullet"/>
      </w:pPr>
      <w:r>
        <w:t>/adhesives/general-purpose</w:t>
      </w:r>
    </w:p>
    <w:p>
      <w:pPr>
        <w:pStyle w:val="ListBullet"/>
      </w:pPr>
      <w:r>
        <w:t>/adhesives/specialty</w:t>
      </w:r>
    </w:p>
    <w:p>
      <w:pPr>
        <w:pStyle w:val="ListBullet"/>
      </w:pPr>
      <w:r>
        <w:t>/adhesives/tapes</w:t>
      </w:r>
    </w:p>
    <w:p>
      <w:pPr>
        <w:pStyle w:val="ListBullet"/>
      </w:pPr>
      <w:r>
        <w:t>/power-transmission/caterpillar-belts</w:t>
      </w:r>
    </w:p>
    <w:p>
      <w:r>
        <w:rPr>
          <w:b w:val="0"/>
        </w:rPr>
        <w:t>All four passed local and built-production SSR checks. The external timeout is not recorded as a pass or a schema rejection.</w:t>
      </w:r>
    </w:p>
    <w:p>
      <w:pPr>
        <w:pStyle w:val="Heading2"/>
      </w:pPr>
      <w:r>
        <w:t>Validation limitations</w:t>
      </w:r>
    </w:p>
    <w:p>
      <w:r>
        <w:rPr>
          <w:b w:val="0"/>
        </w:rPr>
        <w:t>The existing npm run preview command has a pre-existing output-path mismatch. Production HTML was checked through the built worker fetch handler using a temporary local HTTP adapter and the existing assets; runtime configuration was not changed.</w:t>
      </w:r>
    </w:p>
    <w:p>
      <w:r>
        <w:rPr>
          <w:b w:val="0"/>
        </w:rPr>
        <w:t>Schema.org validity does not guarantee Google rich results. Product snippets require an offer, review or aggregate rating in addition to the name; those data were unavailable and were not fabricated. FAQ rich results are restricted by Google and are not promised.</w:t>
      </w:r>
    </w:p>
    <w:p>
      <w:r>
        <w:br w:type="page"/>
      </w:r>
    </w:p>
    <w:p>
      <w:pPr>
        <w:pStyle w:val="Heading1"/>
      </w:pPr>
      <w:r>
        <w:t>6. Remaining requirements and handover</w:t>
      </w:r>
    </w:p>
    <w:tbl>
      <w:tblPr>
        <w:tblStyle w:val="LightShading-Accent1"/>
        <w:tblW w:type="auto" w:w="0"/>
        <w:tblLook w:firstColumn="1" w:firstRow="1" w:lastColumn="0" w:lastRow="0" w:noHBand="0" w:noVBand="1" w:val="04A0"/>
      </w:tblPr>
      <w:tblGrid>
        <w:gridCol w:w="4968"/>
        <w:gridCol w:w="4968"/>
      </w:tblGrid>
      <w:tr>
        <w:trPr>
          <w:tblHeader/>
        </w:trPr>
        <w:tc>
          <w:tcPr>
            <w:tcW w:type="dxa" w:w="2160"/>
            <w:shd w:fill="850D19"/>
          </w:tcPr>
          <w:p>
            <w:pPr>
              <w:spacing w:after="80" w:before="60"/>
            </w:pPr>
            <w:r>
              <w:rPr>
                <w:b/>
                <w:color w:val="FFFFFF"/>
                <w:sz w:val="18"/>
              </w:rPr>
              <w:t>Priority</w:t>
            </w:r>
          </w:p>
        </w:tc>
        <w:tc>
          <w:tcPr>
            <w:tcW w:type="dxa" w:w="7632"/>
            <w:shd w:fill="850D19"/>
          </w:tcPr>
          <w:p>
            <w:pPr>
              <w:spacing w:after="80" w:before="60"/>
            </w:pPr>
            <w:r>
              <w:rPr>
                <w:b/>
                <w:color w:val="FFFFFF"/>
                <w:sz w:val="18"/>
              </w:rPr>
              <w:t>Required action</w:t>
            </w:r>
          </w:p>
        </w:tc>
      </w:tr>
      <w:tr>
        <w:trPr>
          <w:cantSplit/>
        </w:trPr>
        <w:tc>
          <w:tcPr>
            <w:tcW w:type="dxa" w:w="2160"/>
          </w:tcPr>
          <w:p>
            <w:pPr>
              <w:spacing w:after="80" w:before="60"/>
            </w:pPr>
            <w:r>
              <w:rPr>
                <w:sz w:val="18"/>
              </w:rPr>
              <w:t>Before publication</w:t>
            </w:r>
          </w:p>
        </w:tc>
        <w:tc>
          <w:tcPr>
            <w:tcW w:type="dxa" w:w="7632"/>
          </w:tcPr>
          <w:p>
            <w:pPr>
              <w:spacing w:after="80" w:before="60"/>
            </w:pPr>
            <w:r>
              <w:rPr>
                <w:sz w:val="18"/>
              </w:rPr>
              <w:t>Review and deploy the local changes. Then repeat external tests against the actual public URLs.</w:t>
            </w:r>
          </w:p>
        </w:tc>
      </w:tr>
      <w:tr>
        <w:trPr>
          <w:cantSplit/>
        </w:trPr>
        <w:tc>
          <w:tcPr>
            <w:tcW w:type="dxa" w:w="2160"/>
          </w:tcPr>
          <w:p>
            <w:pPr>
              <w:spacing w:after="80" w:before="60"/>
            </w:pPr>
            <w:r>
              <w:rPr>
                <w:sz w:val="18"/>
              </w:rPr>
              <w:t>Validation</w:t>
            </w:r>
          </w:p>
        </w:tc>
        <w:tc>
          <w:tcPr>
            <w:tcW w:type="dxa" w:w="7632"/>
          </w:tcPr>
          <w:p>
            <w:pPr>
              <w:spacing w:after="80" w:before="60"/>
            </w:pPr>
            <w:r>
              <w:rPr>
                <w:sz w:val="18"/>
              </w:rPr>
              <w:t>Complete the four remaining Schema.org tests and retry Google Rich Results Test while signed in.</w:t>
            </w:r>
          </w:p>
        </w:tc>
      </w:tr>
      <w:tr>
        <w:trPr>
          <w:cantSplit/>
        </w:trPr>
        <w:tc>
          <w:tcPr>
            <w:tcW w:type="dxa" w:w="2160"/>
          </w:tcPr>
          <w:p>
            <w:pPr>
              <w:spacing w:after="80" w:before="60"/>
            </w:pPr>
            <w:r>
              <w:rPr>
                <w:sz w:val="18"/>
              </w:rPr>
              <w:t>Final domain</w:t>
            </w:r>
          </w:p>
        </w:tc>
        <w:tc>
          <w:tcPr>
            <w:tcW w:type="dxa" w:w="7632"/>
          </w:tcPr>
          <w:p>
            <w:pPr>
              <w:spacing w:after="80" w:before="60"/>
            </w:pPr>
            <w:r>
              <w:rPr>
                <w:sz w:val="18"/>
              </w:rPr>
              <w:t>Confirm and connect the final production domain; update websiteIdentity.url, sitemap and robots origins, then repeat checks.</w:t>
            </w:r>
          </w:p>
        </w:tc>
      </w:tr>
      <w:tr>
        <w:trPr>
          <w:cantSplit/>
        </w:trPr>
        <w:tc>
          <w:tcPr>
            <w:tcW w:type="dxa" w:w="2160"/>
          </w:tcPr>
          <w:p>
            <w:pPr>
              <w:spacing w:after="80" w:before="60"/>
            </w:pPr>
            <w:r>
              <w:rPr>
                <w:sz w:val="18"/>
              </w:rPr>
              <w:t>Product content</w:t>
            </w:r>
          </w:p>
        </w:tc>
        <w:tc>
          <w:tcPr>
            <w:tcW w:type="dxa" w:w="7632"/>
          </w:tcPr>
          <w:p>
            <w:pPr>
              <w:spacing w:after="80" w:before="60"/>
            </w:pPr>
            <w:r>
              <w:rPr>
                <w:sz w:val="18"/>
              </w:rPr>
              <w:t>Provide approved photos for 16 product ranges and confirmed Caterpillar Belts brands.</w:t>
            </w:r>
          </w:p>
        </w:tc>
      </w:tr>
      <w:tr>
        <w:trPr>
          <w:cantSplit/>
        </w:trPr>
        <w:tc>
          <w:tcPr>
            <w:tcW w:type="dxa" w:w="2160"/>
          </w:tcPr>
          <w:p>
            <w:pPr>
              <w:spacing w:after="80" w:before="60"/>
            </w:pPr>
            <w:r>
              <w:rPr>
                <w:sz w:val="18"/>
              </w:rPr>
              <w:t>Detailed products</w:t>
            </w:r>
          </w:p>
        </w:tc>
        <w:tc>
          <w:tcPr>
            <w:tcW w:type="dxa" w:w="7632"/>
          </w:tcPr>
          <w:p>
            <w:pPr>
              <w:spacing w:after="80" w:before="60"/>
            </w:pPr>
            <w:r>
              <w:rPr>
                <w:sz w:val="18"/>
              </w:rPr>
              <w:t>Provide real SKU/model pages, exact product-to-brand mappings and approved sizes/material/specification data for more detailed markup.</w:t>
            </w:r>
          </w:p>
        </w:tc>
      </w:tr>
      <w:tr>
        <w:trPr>
          <w:cantSplit/>
        </w:trPr>
        <w:tc>
          <w:tcPr>
            <w:tcW w:type="dxa" w:w="2160"/>
          </w:tcPr>
          <w:p>
            <w:pPr>
              <w:spacing w:after="80" w:before="60"/>
            </w:pPr>
            <w:r>
              <w:rPr>
                <w:sz w:val="18"/>
              </w:rPr>
              <w:t>Optional business details</w:t>
            </w:r>
          </w:p>
        </w:tc>
        <w:tc>
          <w:tcPr>
            <w:tcW w:type="dxa" w:w="7632"/>
          </w:tcPr>
          <w:p>
            <w:pPr>
              <w:spacing w:after="80" w:before="60"/>
            </w:pPr>
            <w:r>
              <w:rPr>
                <w:sz w:val="18"/>
              </w:rPr>
              <w:t>Provide genuine Facebook/LinkedIn/YouTube URLs and confirmed coordinates if available.</w:t>
            </w:r>
          </w:p>
        </w:tc>
      </w:tr>
      <w:tr>
        <w:trPr>
          <w:cantSplit/>
        </w:trPr>
        <w:tc>
          <w:tcPr>
            <w:tcW w:type="dxa" w:w="2160"/>
          </w:tcPr>
          <w:p>
            <w:pPr>
              <w:spacing w:after="80" w:before="60"/>
            </w:pPr>
            <w:r>
              <w:rPr>
                <w:sz w:val="18"/>
              </w:rPr>
              <w:t>Future services</w:t>
            </w:r>
          </w:p>
        </w:tc>
        <w:tc>
          <w:tcPr>
            <w:tcW w:type="dxa" w:w="7632"/>
          </w:tcPr>
          <w:p>
            <w:pPr>
              <w:spacing w:after="80" w:before="60"/>
            </w:pPr>
            <w:r>
              <w:rPr>
                <w:sz w:val="18"/>
              </w:rPr>
              <w:t>Provide actual service details and visible service pages before adding Service markup.</w:t>
            </w:r>
          </w:p>
        </w:tc>
      </w:tr>
    </w:tbl>
    <w:p>
      <w:pPr>
        <w:pStyle w:val="Heading2"/>
      </w:pPr>
      <w:r>
        <w:t>Files delivered</w:t>
      </w:r>
    </w:p>
    <w:p>
      <w:r>
        <w:rPr>
          <w:b w:val="0"/>
        </w:rPr>
        <w:t>src/lib/seo.ts — shared JSON-LD graph generation and metadata helpers.</w:t>
        <w:br/>
        <w:t>src/lib/site-data.ts — verified website/company identity and existing product taxonomy.</w:t>
        <w:br/>
        <w:t>src/routes/* — page-specific integration and duplicate-parent-head prevention.</w:t>
        <w:br/>
        <w:t>public/robots.txt and public/sitemap.xml — consistent live-domain references.</w:t>
        <w:br/>
        <w:t>scripts/validate-schema.mjs — repeatable automated SSR validation.</w:t>
        <w:br/>
        <w:t>docs/seo/implementation-report.md — detailed technical report.</w:t>
        <w:br/>
        <w:t>docs/seo/validation-results.json — route-level validation evidence.</w:t>
        <w:br/>
        <w:t>docs/seo/homepage.jsonld, contact.jsonld and v-belts.jsonld — validator samples.</w:t>
      </w:r>
    </w:p>
    <w:p>
      <w:pPr>
        <w:pStyle w:val="Heading2"/>
      </w:pPr>
      <w:r>
        <w:t>How to repeat the checks</w:t>
      </w:r>
    </w:p>
    <w:p>
      <w:r>
        <w:rPr>
          <w:b w:val="0"/>
        </w:rPr>
        <w:t>Start the SSR website server, then run:</w:t>
        <w:br/>
        <w:t>node scripts/validate-schema.mjs http://localhost:8080</w:t>
      </w:r>
    </w:p>
    <w:p>
      <w:r>
        <w:rPr>
          <w:b w:val="0"/>
        </w:rPr>
        <w:t>The command also accepts a staging or production URL. It exports tested HTML and results to /tmp/rbi-schema-validation/. After deployment, validate the public URLs and inspect them in Google Search Console.</w:t>
      </w:r>
    </w:p>
    <w:p>
      <w:pPr>
        <w:pStyle w:val="Heading2"/>
      </w:pPr>
      <w:r>
        <w:t>Validation references</w:t>
      </w:r>
    </w:p>
    <w:p>
      <w:r>
        <w:rPr>
          <w:b w:val="0"/>
        </w:rPr>
        <w:t>https://validator.schema.org/</w:t>
      </w:r>
    </w:p>
    <w:p>
      <w:r>
        <w:rPr>
          <w:b w:val="0"/>
        </w:rPr>
        <w:t>https://search.google.com/test/rich-results</w:t>
      </w:r>
    </w:p>
    <w:p>
      <w:r>
        <w:rPr>
          <w:b w:val="0"/>
        </w:rPr>
        <w:t>https://developers.google.com/search/docs/appearance/structured-data/product-snippet</w:t>
      </w:r>
    </w:p>
    <w:p>
      <w:r>
        <w:rPr>
          <w:b w:val="0"/>
        </w:rPr>
        <w:t>https://developers.google.com/search/docs/appearance/structured-data/faqpage</w:t>
      </w:r>
    </w:p>
    <w:p>
      <w:r>
        <w:rPr>
          <w:b/>
        </w:rPr>
        <w:t>Delivery status: local implementation complete; external validation and deployment remain as recorded above.</w:t>
      </w:r>
    </w:p>
    <w:sectPr w:rsidR="00FC693F" w:rsidRPr="0006063C" w:rsidSect="00034616">
      <w:headerReference w:type="default" r:id="rId9"/>
      <w:footerReference w:type="default" r:id="rId10"/>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SEO IMPLEMENTATION REPORT  •  29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850D19"/>
      </w:rPr>
      <w:t>RB INTERNATIONAL  |  BELTING &amp;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850D19"/>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850D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color w:val="850D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RBI Belting — SEO Schema Implementation Report</dc:title>
  <dc:subject>Completed work, page coverage, validation and remaining requirements</dc:subject>
  <dc:creator>RB International Belting &amp; Automation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