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1E07E33B">
      <w:pPr>
        <w:jc w:val="center"/>
        <w:rPr>
          <w:rFonts w:ascii="Times New Roman" w:hAnsi="Times New Roman" w:cs="Times New Roman"/>
          <w:b/>
          <w:bCs/>
          <w:sz w:val="28"/>
          <w:szCs w:val="28"/>
        </w:rPr>
      </w:pPr>
      <w:r>
        <w:rPr>
          <w:rFonts w:hint="default" w:ascii="Times New Roman" w:hAnsi="Times New Roman" w:cs="Times New Roman"/>
          <w:b/>
          <w:bCs/>
          <w:sz w:val="28"/>
          <w:szCs w:val="28"/>
          <w:lang w:val="en-IN"/>
        </w:rPr>
        <w:t xml:space="preserve">        </w:t>
      </w:r>
      <w:r>
        <w:rPr>
          <w:rFonts w:ascii="Times New Roman" w:hAnsi="Times New Roman" w:cs="Times New Roman"/>
          <w:b/>
          <w:bCs/>
          <w:sz w:val="28"/>
          <w:szCs w:val="28"/>
        </w:rPr>
        <w:t>COURSE:</w:t>
      </w:r>
      <w:r>
        <w:rPr>
          <w:rFonts w:ascii="Lato" w:hAnsi="Lato"/>
          <w:color w:val="333333"/>
          <w:sz w:val="28"/>
          <w:szCs w:val="28"/>
          <w:shd w:val="clear" w:color="auto" w:fill="FFFFFF"/>
        </w:rPr>
        <w:t xml:space="preserve"> </w:t>
      </w:r>
      <w:r>
        <w:rPr>
          <w:rFonts w:hint="default" w:ascii="Times New Roman" w:hAnsi="Times New Roman" w:cs="Times New Roman"/>
          <w:b/>
          <w:bCs/>
          <w:color w:val="333333"/>
          <w:sz w:val="28"/>
          <w:szCs w:val="28"/>
          <w:shd w:val="clear" w:color="auto" w:fill="FFFFFF"/>
          <w:lang w:val="en-IN"/>
        </w:rPr>
        <w:t>Data Analytics and Visualisation</w:t>
      </w:r>
      <w:r>
        <w:rPr>
          <w:rFonts w:hint="default" w:ascii="Times New Roman" w:hAnsi="Times New Roman" w:cs="Times New Roman"/>
          <w:b/>
          <w:bCs/>
          <w:sz w:val="28"/>
          <w:szCs w:val="28"/>
        </w:rPr>
        <w:t xml:space="preserve"> </w:t>
      </w:r>
      <w:r>
        <w:rPr>
          <w:rFonts w:ascii="Times New Roman" w:hAnsi="Times New Roman" w:cs="Times New Roman"/>
          <w:b/>
          <w:bCs/>
          <w:sz w:val="28"/>
          <w:szCs w:val="28"/>
        </w:rPr>
        <w:t>– 1(</w:t>
      </w:r>
      <w:r>
        <w:rPr>
          <w:rFonts w:hint="default" w:ascii="Times New Roman" w:hAnsi="Times New Roman" w:cs="Times New Roman"/>
          <w:b/>
          <w:bCs/>
          <w:sz w:val="28"/>
          <w:szCs w:val="28"/>
        </w:rPr>
        <w:t>24DSB3101</w:t>
      </w:r>
      <w:r>
        <w:rPr>
          <w:rFonts w:ascii="Times New Roman" w:hAnsi="Times New Roman" w:cs="Times New Roman"/>
          <w:b/>
          <w:bCs/>
          <w:sz w:val="28"/>
          <w:szCs w:val="28"/>
        </w:rPr>
        <w:t>)</w:t>
      </w:r>
    </w:p>
    <w:p w14:paraId="2DA2BFC2">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IN"/>
        </w:rPr>
        <w:t xml:space="preserve">                                 </w:t>
      </w:r>
      <w:r>
        <w:rPr>
          <w:rFonts w:ascii="Times New Roman" w:hAnsi="Times New Roman" w:cs="Times New Roman"/>
          <w:b/>
          <w:bCs/>
          <w:sz w:val="28"/>
          <w:szCs w:val="28"/>
        </w:rPr>
        <w:t>A.Y. 2026 - 2027</w:t>
      </w:r>
    </w:p>
    <w:p w14:paraId="0CB4E84D">
      <w:pPr>
        <w:jc w:val="center"/>
        <w:rPr>
          <w:rFonts w:ascii="Times New Roman" w:hAnsi="Times New Roman" w:cs="Times New Roman"/>
          <w:b/>
          <w:bCs/>
          <w:sz w:val="28"/>
          <w:szCs w:val="28"/>
        </w:rPr>
      </w:pPr>
    </w:p>
    <w:tbl>
      <w:tblPr>
        <w:tblStyle w:val="4"/>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24"/>
                <w:szCs w:val="24"/>
              </w:rPr>
            </w:pPr>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2420030441</w:t>
            </w:r>
          </w:p>
        </w:tc>
        <w:tc>
          <w:tcPr>
            <w:tcW w:w="5528" w:type="dxa"/>
          </w:tcPr>
          <w:p w14:paraId="256A6E97">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Tejasree Sagiraju</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2420030578</w:t>
            </w:r>
          </w:p>
        </w:tc>
        <w:tc>
          <w:tcPr>
            <w:tcW w:w="5528" w:type="dxa"/>
          </w:tcPr>
          <w:p w14:paraId="11B1D292">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Sruthi Bhatraju</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24200330594</w:t>
            </w:r>
          </w:p>
        </w:tc>
        <w:tc>
          <w:tcPr>
            <w:tcW w:w="5528" w:type="dxa"/>
          </w:tcPr>
          <w:p w14:paraId="7B185CD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 Bhavya Sai sree</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 Swapnika</w:t>
            </w:r>
          </w:p>
        </w:tc>
      </w:tr>
    </w:tbl>
    <w:p w14:paraId="0572F962">
      <w:pPr>
        <w:ind w:firstLine="720"/>
        <w:rPr>
          <w:rFonts w:ascii="Times New Roman" w:hAnsi="Times New Roman" w:cs="Times New Roman"/>
          <w:sz w:val="28"/>
          <w:szCs w:val="28"/>
        </w:rPr>
      </w:pPr>
    </w:p>
    <w:p w14:paraId="1189AD08">
      <w:pPr>
        <w:ind w:firstLine="720"/>
        <w:jc w:val="center"/>
        <w:rPr>
          <w:rFonts w:ascii="Times New Roman" w:hAnsi="Times New Roman" w:cs="Times New Roman"/>
          <w:b/>
          <w:bCs/>
          <w:sz w:val="28"/>
          <w:szCs w:val="28"/>
        </w:rPr>
      </w:pPr>
    </w:p>
    <w:p w14:paraId="3E36D36F">
      <w:pPr>
        <w:ind w:firstLine="720"/>
        <w:jc w:val="center"/>
        <w:rPr>
          <w:rFonts w:ascii="Calibri" w:hAnsi="Calibri" w:eastAsia="Calibri" w:cs="Calibri"/>
          <w:sz w:val="22"/>
          <w:szCs w:val="22"/>
        </w:rPr>
      </w:pPr>
      <w:r>
        <w:rPr>
          <w:rFonts w:ascii="Times New Roman" w:hAnsi="Times New Roman" w:cs="Times New Roman"/>
          <w:b/>
          <w:bCs/>
          <w:sz w:val="28"/>
          <w:szCs w:val="28"/>
        </w:rPr>
        <w:t>Abstract</w:t>
      </w:r>
    </w:p>
    <w:p w14:paraId="0C60E69F">
      <w:pPr>
        <w:spacing w:after="150" w:line="300" w:lineRule="auto"/>
        <w:jc w:val="both"/>
      </w:pPr>
      <w:r>
        <w:rPr>
          <w:rFonts w:ascii="Calibri" w:hAnsi="Calibri" w:eastAsia="Calibri" w:cs="Calibri"/>
          <w:sz w:val="22"/>
          <w:szCs w:val="22"/>
        </w:rPr>
        <w:t>Loan default prediction is a critical challenge for the banking and financial services industry, directly affecting institutional profitability, liquidity, and regulatory risk exposure. This project, titled “AI-Driven Loan Default Prediction Using Banking Analytics,” proposes a machine-learning-based framework to predict the probability of a borrower defaulting on a loan by analysing historical banking and credit data. Traditional credit assessment methods, largely dependent on manual underwriting and static rule-based scorecards, often fail to capture the complex, non-linear relationships that exist between borrower characteristics, repayment history, and macroeconomic conditions. As a result, financial institutions frequently misclassify risk, leading to increased non-performing assets (NPAs) and reduced capital efficiency.</w:t>
      </w:r>
    </w:p>
    <w:p w14:paraId="63F1F404">
      <w:pPr>
        <w:spacing w:after="150" w:line="300" w:lineRule="auto"/>
        <w:jc w:val="both"/>
        <w:rPr>
          <w:rFonts w:ascii="Calibri" w:hAnsi="Calibri" w:eastAsia="Calibri" w:cs="Calibri"/>
          <w:sz w:val="22"/>
          <w:szCs w:val="22"/>
        </w:rPr>
      </w:pPr>
      <w:r>
        <w:rPr>
          <w:rFonts w:ascii="Calibri" w:hAnsi="Calibri" w:eastAsia="Calibri" w:cs="Calibri"/>
          <w:sz w:val="22"/>
          <w:szCs w:val="22"/>
        </w:rPr>
        <w:t>To address this gap, the proposed system applies a structured data-analytics pipeline consisting of data cleaning, exploratory data analysis, feature engineering, feature selection, model building, and evaluation across three benchmark datasets — the Lending Club Loan Dataset, the Statlog German Credit Dataset, and the Home Credit Default Risk Dataset. This combination is deliberately chosen because it covers traditional consumer lending records, a classical credit-risk benchmark, and alternative behavioural/demographic data for underserved borrowers, enabling meaningful comparisons across different lending environments. Multiple supervised learning algorithms — Logistic Regression, Decision Tree, Random Forest, XGBoost, and CatBoost — are trained and compared, with class-imbalance handling applied since default cases typically form a minority class in real-world lending data.</w:t>
      </w:r>
    </w:p>
    <w:p w14:paraId="183ABC59">
      <w:pPr>
        <w:spacing w:after="150" w:line="300" w:lineRule="auto"/>
        <w:jc w:val="both"/>
      </w:pPr>
      <w:r>
        <w:rPr>
          <w:rFonts w:ascii="Calibri" w:hAnsi="Calibri" w:eastAsia="Calibri" w:cs="Calibri"/>
          <w:sz w:val="22"/>
          <w:szCs w:val="22"/>
        </w:rPr>
        <w:t>Model performance is evaluated using Accuracy, Precision, Recall, F1-score, and ROC-AUC, with particular emphasis on recall and precision for the default class, since failing to identify a genuine defaulter is costlier than a false alarm. The best-performing model is interpreted using Explainable AI techniques — SHAP and LIME — to identify the key drivers of default risk, ensuring the system remains transparent and auditable for banking stakeholders and regulators. Results are further communicated through a visualization dashboard comprising heatmaps, boxplots, and feature-importance charts, allowing loan officers to understand not just the prediction but the reasoning behind it.</w:t>
      </w:r>
    </w:p>
    <w:p w14:paraId="7AE03CD2">
      <w:pPr>
        <w:spacing w:after="150" w:line="300" w:lineRule="auto"/>
        <w:jc w:val="both"/>
      </w:pPr>
      <w:r>
        <w:rPr>
          <w:rFonts w:ascii="Calibri" w:hAnsi="Calibri" w:eastAsia="Calibri" w:cs="Calibri"/>
          <w:sz w:val="22"/>
          <w:szCs w:val="22"/>
        </w:rPr>
        <w:t>The expected outcome of this project is a working, explainable prototype capable of predicting loan default risk with high accuracy while remaining interpretable to non-technical banking stakeholders. Beyond academic demonstration, the approach reflects a practical, scalable pattern that banks and NBFCs can adopt to strengthen credit underwriting, reduce NPAs, and improve overall portfolio health, while aligning closely with current research in Credit Risk Modelling, Financial Data Mining, and Explainable AI.</w:t>
      </w:r>
    </w:p>
    <w:p w14:paraId="0C2E35BB">
      <w:pPr>
        <w:rPr>
          <w:rFonts w:ascii="Times New Roman" w:hAnsi="Times New Roman" w:cs="Times New Roman"/>
          <w:sz w:val="24"/>
          <w:szCs w:val="24"/>
        </w:rPr>
      </w:pPr>
    </w:p>
    <w:p w14:paraId="732D223C">
      <w:pPr>
        <w:rPr>
          <w:rFonts w:ascii="Times New Roman" w:hAnsi="Times New Roman" w:cs="Times New Roman"/>
          <w:sz w:val="24"/>
          <w:szCs w:val="24"/>
        </w:rPr>
      </w:pPr>
    </w:p>
    <w:p w14:paraId="19CCA279">
      <w:pPr>
        <w:rPr>
          <w:rFonts w:ascii="Times New Roman" w:hAnsi="Times New Roman" w:cs="Times New Roman"/>
          <w:sz w:val="24"/>
          <w:szCs w:val="24"/>
        </w:rPr>
      </w:pPr>
    </w:p>
    <w:p w14:paraId="0BDCABA9">
      <w:pPr>
        <w:rPr>
          <w:rFonts w:ascii="Times New Roman" w:hAnsi="Times New Roman" w:cs="Times New Roman"/>
          <w:sz w:val="24"/>
          <w:szCs w:val="24"/>
        </w:rPr>
      </w:pPr>
    </w:p>
    <w:p w14:paraId="5D5A3160">
      <w:pPr>
        <w:rPr>
          <w:rFonts w:ascii="Times New Roman" w:hAnsi="Times New Roman" w:cs="Times New Roman"/>
          <w:sz w:val="24"/>
          <w:szCs w:val="24"/>
        </w:rPr>
      </w:pPr>
    </w:p>
    <w:p w14:paraId="7DB1AEEA">
      <w:pPr>
        <w:rPr>
          <w:rFonts w:ascii="Times New Roman" w:hAnsi="Times New Roman" w:cs="Times New Roman"/>
          <w:sz w:val="24"/>
          <w:szCs w:val="24"/>
        </w:rPr>
      </w:pPr>
    </w:p>
    <w:p w14:paraId="605C45BE">
      <w:pPr>
        <w:rPr>
          <w:rFonts w:ascii="Times New Roman" w:hAnsi="Times New Roman" w:cs="Times New Roman"/>
          <w:sz w:val="24"/>
          <w:szCs w:val="24"/>
        </w:rPr>
      </w:pPr>
    </w:p>
    <w:p w14:paraId="6AD08DF5">
      <w:pPr>
        <w:rPr>
          <w:rFonts w:ascii="Times New Roman" w:hAnsi="Times New Roman" w:cs="Times New Roman"/>
          <w:sz w:val="24"/>
          <w:szCs w:val="24"/>
        </w:rPr>
      </w:pPr>
    </w:p>
    <w:p w14:paraId="14499601">
      <w:pPr>
        <w:rPr>
          <w:rFonts w:ascii="Times New Roman" w:hAnsi="Times New Roman" w:cs="Times New Roman"/>
          <w:sz w:val="24"/>
          <w:szCs w:val="24"/>
        </w:rPr>
      </w:pPr>
    </w:p>
    <w:p w14:paraId="040B6A4E">
      <w:pPr>
        <w:ind w:firstLine="720"/>
        <w:jc w:val="center"/>
        <w:rPr>
          <w:rFonts w:ascii="Times New Roman" w:hAnsi="Times New Roman" w:cs="Times New Roman"/>
          <w:sz w:val="24"/>
          <w:szCs w:val="24"/>
        </w:rPr>
      </w:pPr>
    </w:p>
    <w:p w14:paraId="432000A8">
      <w:pPr>
        <w:ind w:firstLine="720"/>
        <w:jc w:val="center"/>
        <w:rPr>
          <w:rFonts w:ascii="Times New Roman" w:hAnsi="Times New Roman" w:cs="Times New Roman"/>
          <w:sz w:val="24"/>
          <w:szCs w:val="24"/>
        </w:rPr>
      </w:pPr>
    </w:p>
    <w:p w14:paraId="6F561DF3">
      <w:pPr>
        <w:ind w:firstLine="720"/>
        <w:jc w:val="center"/>
        <w:rPr>
          <w:rFonts w:ascii="Times New Roman" w:hAnsi="Times New Roman" w:cs="Times New Roman"/>
          <w:sz w:val="24"/>
          <w:szCs w:val="24"/>
        </w:rPr>
      </w:pPr>
    </w:p>
    <w:p w14:paraId="72CBE7BE">
      <w:pPr>
        <w:ind w:firstLine="720"/>
        <w:jc w:val="center"/>
        <w:rPr>
          <w:rFonts w:ascii="Times New Roman" w:hAnsi="Times New Roman" w:cs="Times New Roman"/>
          <w:sz w:val="24"/>
          <w:szCs w:val="24"/>
        </w:rPr>
      </w:pPr>
    </w:p>
    <w:p w14:paraId="21C9248C">
      <w:pPr>
        <w:ind w:firstLine="720"/>
        <w:jc w:val="center"/>
        <w:rPr>
          <w:rFonts w:ascii="Times New Roman" w:hAnsi="Times New Roman" w:cs="Times New Roman"/>
          <w:sz w:val="24"/>
          <w:szCs w:val="24"/>
        </w:rPr>
      </w:pPr>
    </w:p>
    <w:p w14:paraId="30DDEA0E">
      <w:pPr>
        <w:ind w:firstLine="720"/>
        <w:jc w:val="center"/>
        <w:rPr>
          <w:rFonts w:ascii="Times New Roman" w:hAnsi="Times New Roman" w:cs="Times New Roman"/>
          <w:sz w:val="24"/>
          <w:szCs w:val="24"/>
        </w:rPr>
      </w:pPr>
    </w:p>
    <w:p w14:paraId="71D69646">
      <w:pPr>
        <w:ind w:firstLine="720"/>
        <w:jc w:val="center"/>
        <w:rPr>
          <w:rFonts w:ascii="Times New Roman" w:hAnsi="Times New Roman" w:cs="Times New Roman"/>
          <w:sz w:val="24"/>
          <w:szCs w:val="24"/>
        </w:rPr>
      </w:pPr>
    </w:p>
    <w:p w14:paraId="27F6A1B5">
      <w:pPr>
        <w:ind w:firstLine="720"/>
        <w:jc w:val="center"/>
        <w:rPr>
          <w:rFonts w:ascii="Times New Roman" w:hAnsi="Times New Roman" w:cs="Times New Roman"/>
          <w:sz w:val="24"/>
          <w:szCs w:val="24"/>
        </w:rPr>
      </w:pPr>
    </w:p>
    <w:p w14:paraId="5A3ABCF0">
      <w:pPr>
        <w:ind w:firstLine="720"/>
        <w:jc w:val="center"/>
        <w:rPr>
          <w:rFonts w:ascii="Times New Roman" w:hAnsi="Times New Roman" w:cs="Times New Roman"/>
          <w:sz w:val="24"/>
          <w:szCs w:val="24"/>
        </w:rPr>
      </w:pPr>
    </w:p>
    <w:p w14:paraId="340CC377">
      <w:pPr>
        <w:ind w:firstLine="720"/>
        <w:jc w:val="center"/>
        <w:rPr>
          <w:rFonts w:ascii="Times New Roman" w:hAnsi="Times New Roman" w:cs="Times New Roman"/>
          <w:sz w:val="24"/>
          <w:szCs w:val="24"/>
        </w:rPr>
      </w:pPr>
    </w:p>
    <w:p w14:paraId="68DE536D">
      <w:pPr>
        <w:ind w:firstLine="720"/>
        <w:jc w:val="center"/>
        <w:rPr>
          <w:rFonts w:ascii="Times New Roman" w:hAnsi="Times New Roman" w:cs="Times New Roman"/>
          <w:sz w:val="24"/>
          <w:szCs w:val="24"/>
        </w:rPr>
      </w:pPr>
    </w:p>
    <w:p w14:paraId="365B2329">
      <w:pPr>
        <w:jc w:val="both"/>
        <w:rPr>
          <w:rFonts w:ascii="Times New Roman" w:hAnsi="Times New Roman" w:cs="Times New Roman"/>
          <w:sz w:val="24"/>
          <w:szCs w:val="24"/>
        </w:rPr>
      </w:pPr>
      <w:bookmarkStart w:id="0" w:name="_GoBack"/>
      <w:bookmarkEnd w:id="0"/>
    </w:p>
    <w:p w14:paraId="7743CEE3">
      <w:pPr>
        <w:ind w:firstLine="720"/>
        <w:jc w:val="center"/>
        <w:rPr>
          <w:rFonts w:ascii="Times New Roman" w:hAnsi="Times New Roman" w:cs="Times New Roman"/>
          <w:sz w:val="24"/>
          <w:szCs w:val="24"/>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5EDA23E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Words>
  <Characters>195</Characters>
  <Lines>2</Lines>
  <Paragraphs>1</Paragraphs>
  <TotalTime>5</TotalTime>
  <ScaleCrop>false</ScaleCrop>
  <LinksUpToDate>false</LinksUpToDate>
  <CharactersWithSpaces>256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tejas</cp:lastModifiedBy>
  <dcterms:modified xsi:type="dcterms:W3CDTF">2026-08-08T05:27:21Z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eyJoZGlkIjoiNmNjZTM1MDFjMzExNDU2NzczODQ3N2YzYWY2MmYxMWEifQ==</vt:lpwstr>
  </property>
  <property fmtid="{D5CDD505-2E9C-101B-9397-08002B2CF9AE}" pid="4" name="KSOProductBuildVer">
    <vt:lpwstr>1033-12.1.0.28032</vt:lpwstr>
  </property>
  <property fmtid="{D5CDD505-2E9C-101B-9397-08002B2CF9AE}" pid="5" name="ICV">
    <vt:lpwstr>ED4480583E2448FC8C785B4494C072C4_12</vt:lpwstr>
  </property>
</Properties>
</file>