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1B1F1" w14:textId="0918E190" w:rsidR="0017052F" w:rsidRDefault="00000000">
      <w:pPr>
        <w:spacing w:after="160"/>
        <w:jc w:val="center"/>
      </w:pPr>
      <w:r>
        <w:rPr>
          <w:b/>
          <w:bCs/>
          <w:color w:val="1F3864"/>
          <w:sz w:val="32"/>
          <w:szCs w:val="32"/>
        </w:rPr>
        <w:t xml:space="preserve">[ </w:t>
      </w:r>
      <w:r w:rsidR="00314F67" w:rsidRPr="00314F67">
        <w:rPr>
          <w:b/>
          <w:bCs/>
          <w:color w:val="1F3864"/>
          <w:sz w:val="32"/>
          <w:szCs w:val="32"/>
        </w:rPr>
        <w:t>AI-Driven Loan Default Prediction Using Banking Analytics</w:t>
      </w:r>
      <w:r>
        <w:rPr>
          <w:b/>
          <w:bCs/>
          <w:color w:val="1F3864"/>
          <w:sz w:val="32"/>
          <w:szCs w:val="32"/>
        </w:rPr>
        <w:t>]</w:t>
      </w:r>
    </w:p>
    <w:p w14:paraId="7011A7A1" w14:textId="76EB84CB" w:rsidR="00314F67" w:rsidRDefault="00314F67">
      <w:pPr>
        <w:spacing w:after="20"/>
        <w:jc w:val="center"/>
        <w:rPr>
          <w:i/>
          <w:iCs/>
          <w:sz w:val="23"/>
          <w:szCs w:val="23"/>
        </w:rPr>
      </w:pPr>
      <w:r>
        <w:rPr>
          <w:i/>
          <w:iCs/>
          <w:sz w:val="23"/>
          <w:szCs w:val="23"/>
        </w:rPr>
        <w:t xml:space="preserve">S. </w:t>
      </w:r>
      <w:r w:rsidRPr="00314F67">
        <w:rPr>
          <w:i/>
          <w:iCs/>
          <w:sz w:val="23"/>
          <w:szCs w:val="23"/>
        </w:rPr>
        <w:t xml:space="preserve">Tejasree, </w:t>
      </w:r>
      <w:r>
        <w:rPr>
          <w:i/>
          <w:iCs/>
          <w:sz w:val="23"/>
          <w:szCs w:val="23"/>
        </w:rPr>
        <w:t xml:space="preserve">B. </w:t>
      </w:r>
      <w:r w:rsidRPr="00314F67">
        <w:rPr>
          <w:i/>
          <w:iCs/>
          <w:sz w:val="23"/>
          <w:szCs w:val="23"/>
        </w:rPr>
        <w:t>Sruthi, B. Bhavya Sai Sree</w:t>
      </w:r>
    </w:p>
    <w:p w14:paraId="110483F1" w14:textId="000DB3FC" w:rsidR="00514D55" w:rsidRDefault="00314F67" w:rsidP="00514D55">
      <w:pPr>
        <w:pBdr>
          <w:bottom w:val="single" w:sz="8" w:space="8" w:color="1F3864"/>
        </w:pBdr>
        <w:spacing w:after="200"/>
        <w:jc w:val="center"/>
        <w:rPr>
          <w:sz w:val="19"/>
          <w:szCs w:val="19"/>
        </w:rPr>
      </w:pPr>
      <w:r w:rsidRPr="00314F67">
        <w:rPr>
          <w:sz w:val="19"/>
          <w:szCs w:val="19"/>
        </w:rPr>
        <w:t>Department of Computer Science and Engineering, KLH University,</w:t>
      </w:r>
      <w:r>
        <w:rPr>
          <w:sz w:val="19"/>
          <w:szCs w:val="19"/>
        </w:rPr>
        <w:t xml:space="preserve"> </w:t>
      </w:r>
      <w:proofErr w:type="spellStart"/>
      <w:r w:rsidRPr="00314F67">
        <w:rPr>
          <w:sz w:val="19"/>
          <w:szCs w:val="19"/>
        </w:rPr>
        <w:t>Bachupally</w:t>
      </w:r>
      <w:proofErr w:type="spellEnd"/>
      <w:r w:rsidRPr="00314F67">
        <w:rPr>
          <w:sz w:val="19"/>
          <w:szCs w:val="19"/>
        </w:rPr>
        <w:t>, Hyderabad</w:t>
      </w:r>
    </w:p>
    <w:p w14:paraId="368FFE56" w14:textId="183E827A" w:rsidR="006152BC" w:rsidRDefault="006152BC" w:rsidP="006152BC">
      <w:pPr>
        <w:pBdr>
          <w:bottom w:val="single" w:sz="8" w:space="8" w:color="1F3864"/>
        </w:pBdr>
        <w:spacing w:after="200"/>
        <w:jc w:val="center"/>
        <w:rPr>
          <w:sz w:val="19"/>
          <w:szCs w:val="19"/>
        </w:rPr>
      </w:pPr>
      <w:r w:rsidRPr="00314F67">
        <w:rPr>
          <w:sz w:val="19"/>
          <w:szCs w:val="19"/>
        </w:rPr>
        <w:t>Data Analytics &amp; Visualisation – (24DSB3101) — Project Report</w:t>
      </w:r>
    </w:p>
    <w:p w14:paraId="3CE26CA4" w14:textId="77777777" w:rsidR="00514D55" w:rsidRDefault="00514D55"/>
    <w:p w14:paraId="6A680F90" w14:textId="77777777" w:rsidR="00514D55" w:rsidRDefault="00514D55">
      <w:pPr>
        <w:sectPr w:rsidR="00514D55">
          <w:footerReference w:type="default" r:id="rId7"/>
          <w:type w:val="continuous"/>
          <w:pgSz w:w="12240" w:h="15840"/>
          <w:pgMar w:top="1080" w:right="1080" w:bottom="1080" w:left="1080" w:header="708" w:footer="708" w:gutter="0"/>
          <w:cols w:space="720"/>
          <w:docGrid w:linePitch="360"/>
        </w:sectPr>
      </w:pPr>
    </w:p>
    <w:p w14:paraId="3529EA4B" w14:textId="77777777" w:rsidR="0017052F" w:rsidRDefault="00000000">
      <w:pPr>
        <w:spacing w:before="60" w:after="100"/>
      </w:pPr>
      <w:r>
        <w:rPr>
          <w:b/>
          <w:bCs/>
          <w:color w:val="1F3864"/>
        </w:rPr>
        <w:t>ABSTRACT</w:t>
      </w:r>
    </w:p>
    <w:p w14:paraId="17CC498B" w14:textId="77777777" w:rsidR="00BD5360" w:rsidRPr="00BD5360" w:rsidRDefault="00BD5360" w:rsidP="00BD5360">
      <w:pPr>
        <w:keepNext/>
        <w:spacing w:before="260" w:after="120"/>
        <w:rPr>
          <w:i/>
          <w:iCs/>
          <w:color w:val="0D0D0D" w:themeColor="text1" w:themeTint="F2"/>
          <w:sz w:val="18"/>
          <w:szCs w:val="18"/>
        </w:rPr>
      </w:pPr>
      <w:r w:rsidRPr="00BD5360">
        <w:rPr>
          <w:i/>
          <w:iCs/>
          <w:color w:val="0D0D0D" w:themeColor="text1" w:themeTint="F2"/>
          <w:sz w:val="18"/>
          <w:szCs w:val="18"/>
        </w:rPr>
        <w:t xml:space="preserve">Loan default is a major challenge in the banking sector because increasing defaults and non-performing assets can negatively affect profitability, liquidity, and overall financial stability. Accurate prediction of loan default can help banks identify high-risk borrowers and support better credit-risk management. This paper proposes an AI-driven loan default prediction framework using explainable machine learning and banking analytics. Three public credit datasets, namely Lending Club, </w:t>
      </w:r>
      <w:proofErr w:type="spellStart"/>
      <w:r w:rsidRPr="00BD5360">
        <w:rPr>
          <w:i/>
          <w:iCs/>
          <w:color w:val="0D0D0D" w:themeColor="text1" w:themeTint="F2"/>
          <w:sz w:val="18"/>
          <w:szCs w:val="18"/>
        </w:rPr>
        <w:t>Statlog</w:t>
      </w:r>
      <w:proofErr w:type="spellEnd"/>
      <w:r w:rsidRPr="00BD5360">
        <w:rPr>
          <w:i/>
          <w:iCs/>
          <w:color w:val="0D0D0D" w:themeColor="text1" w:themeTint="F2"/>
          <w:sz w:val="18"/>
          <w:szCs w:val="18"/>
        </w:rPr>
        <w:t xml:space="preserve"> German Credit, and Home Credit, are considered to provide different credit-risk scenarios. The proposed approach includes data preprocessing, exploratory data analysis, risk-aware feature engineering, and comparison of five machine-learning models: Logistic Regression, Decision Tree, Random Forest, </w:t>
      </w:r>
      <w:proofErr w:type="spellStart"/>
      <w:r w:rsidRPr="00BD5360">
        <w:rPr>
          <w:i/>
          <w:iCs/>
          <w:color w:val="0D0D0D" w:themeColor="text1" w:themeTint="F2"/>
          <w:sz w:val="18"/>
          <w:szCs w:val="18"/>
        </w:rPr>
        <w:t>XGBoost</w:t>
      </w:r>
      <w:proofErr w:type="spellEnd"/>
      <w:r w:rsidRPr="00BD5360">
        <w:rPr>
          <w:i/>
          <w:iCs/>
          <w:color w:val="0D0D0D" w:themeColor="text1" w:themeTint="F2"/>
          <w:sz w:val="18"/>
          <w:szCs w:val="18"/>
        </w:rPr>
        <w:t xml:space="preserve">, and </w:t>
      </w:r>
      <w:proofErr w:type="spellStart"/>
      <w:r w:rsidRPr="00BD5360">
        <w:rPr>
          <w:i/>
          <w:iCs/>
          <w:color w:val="0D0D0D" w:themeColor="text1" w:themeTint="F2"/>
          <w:sz w:val="18"/>
          <w:szCs w:val="18"/>
        </w:rPr>
        <w:t>CatBoost</w:t>
      </w:r>
      <w:proofErr w:type="spellEnd"/>
      <w:r w:rsidRPr="00BD5360">
        <w:rPr>
          <w:i/>
          <w:iCs/>
          <w:color w:val="0D0D0D" w:themeColor="text1" w:themeTint="F2"/>
          <w:sz w:val="18"/>
          <w:szCs w:val="18"/>
        </w:rPr>
        <w:t>. Accuracy, Precision, Recall, F1-score, and ROC-AUC are used to evaluate model performance. To improve transparency, SHAP and LIME are incorporated to explain both overall feature importance and individual predictions. A visualization dashboard is also proposed to present model results and credit-risk insights in an understandable form. The main contribution of the work is an integrated framework that combines predictive performance, explainability, multi-dataset evaluation, and visualization for credit-risk analysis. At the current project stage, the framework represents the proposed methodology and evaluation plan, with final experimental results to be obtained after model implementation and testing.</w:t>
      </w:r>
    </w:p>
    <w:p w14:paraId="132E0C86" w14:textId="77777777" w:rsidR="00BD5360" w:rsidRPr="00BD5360" w:rsidRDefault="00BD5360" w:rsidP="00BD5360">
      <w:pPr>
        <w:keepNext/>
        <w:spacing w:before="260" w:after="120"/>
        <w:rPr>
          <w:b/>
          <w:bCs/>
          <w:i/>
          <w:iCs/>
          <w:color w:val="0D0D0D" w:themeColor="text1" w:themeTint="F2"/>
          <w:sz w:val="18"/>
          <w:szCs w:val="18"/>
        </w:rPr>
      </w:pPr>
      <w:r w:rsidRPr="00BD5360">
        <w:rPr>
          <w:b/>
          <w:bCs/>
          <w:i/>
          <w:iCs/>
          <w:color w:val="0D0D0D" w:themeColor="text1" w:themeTint="F2"/>
          <w:sz w:val="18"/>
          <w:szCs w:val="18"/>
        </w:rPr>
        <w:t>Keywords</w:t>
      </w:r>
    </w:p>
    <w:p w14:paraId="68A33EE7" w14:textId="77777777" w:rsidR="00BD5360" w:rsidRPr="00BD5360" w:rsidRDefault="00BD5360" w:rsidP="00BD5360">
      <w:pPr>
        <w:keepNext/>
        <w:spacing w:before="260" w:after="120"/>
        <w:rPr>
          <w:i/>
          <w:iCs/>
          <w:color w:val="0D0D0D" w:themeColor="text1" w:themeTint="F2"/>
          <w:sz w:val="18"/>
          <w:szCs w:val="18"/>
        </w:rPr>
      </w:pPr>
      <w:r w:rsidRPr="00BD5360">
        <w:rPr>
          <w:i/>
          <w:iCs/>
          <w:color w:val="0D0D0D" w:themeColor="text1" w:themeTint="F2"/>
          <w:sz w:val="18"/>
          <w:szCs w:val="18"/>
        </w:rPr>
        <w:t xml:space="preserve">Loan default prediction; Credit risk; Explainable AI; Machine learning; SHAP; LIME; Banking analytics; Credit scoring; </w:t>
      </w:r>
      <w:proofErr w:type="spellStart"/>
      <w:r w:rsidRPr="00BD5360">
        <w:rPr>
          <w:i/>
          <w:iCs/>
          <w:color w:val="0D0D0D" w:themeColor="text1" w:themeTint="F2"/>
          <w:sz w:val="18"/>
          <w:szCs w:val="18"/>
        </w:rPr>
        <w:t>CatBoost</w:t>
      </w:r>
      <w:proofErr w:type="spellEnd"/>
      <w:r w:rsidRPr="00BD5360">
        <w:rPr>
          <w:i/>
          <w:iCs/>
          <w:color w:val="0D0D0D" w:themeColor="text1" w:themeTint="F2"/>
          <w:sz w:val="18"/>
          <w:szCs w:val="18"/>
        </w:rPr>
        <w:t>; Risk prediction</w:t>
      </w:r>
    </w:p>
    <w:p w14:paraId="1168521A" w14:textId="77777777" w:rsidR="0017052F" w:rsidRDefault="00000000">
      <w:pPr>
        <w:keepNext/>
        <w:spacing w:before="260" w:after="120"/>
      </w:pPr>
      <w:r>
        <w:rPr>
          <w:b/>
          <w:bCs/>
          <w:color w:val="1F3864"/>
          <w:sz w:val="21"/>
          <w:szCs w:val="21"/>
        </w:rPr>
        <w:t>1. INTRODUCTION</w:t>
      </w:r>
    </w:p>
    <w:p w14:paraId="6A22738E" w14:textId="77777777" w:rsidR="0017052F" w:rsidRDefault="00000000">
      <w:pPr>
        <w:keepNext/>
        <w:spacing w:before="180" w:after="100"/>
      </w:pPr>
      <w:r>
        <w:rPr>
          <w:b/>
          <w:bCs/>
          <w:i/>
          <w:iCs/>
        </w:rPr>
        <w:t>1.1 Background</w:t>
      </w:r>
    </w:p>
    <w:p w14:paraId="6EF2C455" w14:textId="77777777" w:rsidR="00BD5360" w:rsidRPr="00BD5360" w:rsidRDefault="00BD5360" w:rsidP="00BD5360">
      <w:pPr>
        <w:keepNext/>
        <w:spacing w:before="180" w:after="100"/>
        <w:rPr>
          <w:i/>
          <w:iCs/>
          <w:color w:val="0D0D0D" w:themeColor="text1" w:themeTint="F2"/>
          <w:sz w:val="19"/>
          <w:szCs w:val="19"/>
        </w:rPr>
      </w:pPr>
      <w:r w:rsidRPr="00BD5360">
        <w:rPr>
          <w:i/>
          <w:iCs/>
          <w:color w:val="0D0D0D" w:themeColor="text1" w:themeTint="F2"/>
          <w:sz w:val="19"/>
          <w:szCs w:val="19"/>
        </w:rPr>
        <w:t>Loan default is a major challenge in the banking and financial sector because increasing defaults and non-performing assets (NPAs) can negatively affect profitability, liquidity, and overall financial stability. Banks need reliable methods to identify borrowers who are likely to default so that appropriate credit-risk management decisions can be made. Traditional credit-scoring approaches may face difficulties when dealing with large, complex, imbalanced, and fragmented financial datasets.</w:t>
      </w:r>
    </w:p>
    <w:p w14:paraId="7262D6EE" w14:textId="3A5AF036" w:rsidR="00BD5360" w:rsidRPr="00BD5360" w:rsidRDefault="00BD5360" w:rsidP="00BD5360">
      <w:pPr>
        <w:keepNext/>
        <w:spacing w:before="180" w:after="100"/>
        <w:rPr>
          <w:i/>
          <w:iCs/>
          <w:color w:val="0D0D0D" w:themeColor="text1" w:themeTint="F2"/>
          <w:sz w:val="19"/>
          <w:szCs w:val="19"/>
        </w:rPr>
      </w:pPr>
      <w:r w:rsidRPr="00BD5360">
        <w:rPr>
          <w:i/>
          <w:iCs/>
          <w:color w:val="0D0D0D" w:themeColor="text1" w:themeTint="F2"/>
          <w:sz w:val="19"/>
          <w:szCs w:val="19"/>
        </w:rPr>
        <w:t xml:space="preserve">Machine learning provides an opportunity to </w:t>
      </w:r>
      <w:proofErr w:type="spellStart"/>
      <w:r w:rsidRPr="00BD5360">
        <w:rPr>
          <w:i/>
          <w:iCs/>
          <w:color w:val="0D0D0D" w:themeColor="text1" w:themeTint="F2"/>
          <w:sz w:val="19"/>
          <w:szCs w:val="19"/>
        </w:rPr>
        <w:t>analyze</w:t>
      </w:r>
      <w:proofErr w:type="spellEnd"/>
      <w:r w:rsidRPr="00BD5360">
        <w:rPr>
          <w:i/>
          <w:iCs/>
          <w:color w:val="0D0D0D" w:themeColor="text1" w:themeTint="F2"/>
          <w:sz w:val="19"/>
          <w:szCs w:val="19"/>
        </w:rPr>
        <w:t xml:space="preserve"> borrower and credit-related information and identify patterns associated with loan default. However, predictive performance alone is not sufficient for financial applications because credit decisions should also be understandable and transparent. </w:t>
      </w:r>
      <w:r w:rsidRPr="00BD5360">
        <w:rPr>
          <w:i/>
          <w:iCs/>
          <w:color w:val="0D0D0D" w:themeColor="text1" w:themeTint="F2"/>
          <w:sz w:val="19"/>
          <w:szCs w:val="19"/>
        </w:rPr>
        <w:t>Explainable Artificial Intelligence (XAI) techniques such as SHAP and LIME can help explain model predictions and identify the factors influencing credit-risk decisions. Therefore, combining machine learning, explainability, banking analytics, and visualization can provide a more transparent approach to loan default prediction.</w:t>
      </w:r>
    </w:p>
    <w:p w14:paraId="190047E7" w14:textId="77777777" w:rsidR="0017052F" w:rsidRDefault="00000000">
      <w:pPr>
        <w:keepNext/>
        <w:spacing w:before="180" w:after="100"/>
      </w:pPr>
      <w:r>
        <w:rPr>
          <w:b/>
          <w:bCs/>
          <w:i/>
          <w:iCs/>
        </w:rPr>
        <w:t>1.2 Problem Statement</w:t>
      </w:r>
    </w:p>
    <w:p w14:paraId="3C997214" w14:textId="77777777" w:rsidR="00BD5360" w:rsidRPr="00BD5360" w:rsidRDefault="00BD5360" w:rsidP="00BD5360">
      <w:pPr>
        <w:keepNext/>
        <w:spacing w:before="180" w:after="100"/>
        <w:rPr>
          <w:i/>
          <w:iCs/>
          <w:color w:val="0D0D0D" w:themeColor="text1" w:themeTint="F2"/>
          <w:sz w:val="19"/>
          <w:szCs w:val="19"/>
        </w:rPr>
      </w:pPr>
      <w:r w:rsidRPr="00BD5360">
        <w:rPr>
          <w:i/>
          <w:iCs/>
          <w:color w:val="0D0D0D" w:themeColor="text1" w:themeTint="F2"/>
          <w:sz w:val="19"/>
          <w:szCs w:val="19"/>
        </w:rPr>
        <w:t>Existing loan default prediction approaches often focus primarily on improving predictive performance, while challenges related to data imbalance, model transparency, and practical decision support remain. Many studies also evaluate models using a single dataset or apply explainability only after selecting the final model, making it difficult to understand how different models behave across different credit-risk scenarios.</w:t>
      </w:r>
    </w:p>
    <w:p w14:paraId="65BA3039" w14:textId="77777777" w:rsidR="00BD5360" w:rsidRPr="00BD5360" w:rsidRDefault="00BD5360" w:rsidP="00BD5360">
      <w:pPr>
        <w:keepNext/>
        <w:spacing w:before="180" w:after="100"/>
        <w:rPr>
          <w:i/>
          <w:iCs/>
          <w:color w:val="0D0D0D" w:themeColor="text1" w:themeTint="F2"/>
          <w:sz w:val="19"/>
          <w:szCs w:val="19"/>
        </w:rPr>
      </w:pPr>
      <w:r w:rsidRPr="00BD5360">
        <w:rPr>
          <w:i/>
          <w:iCs/>
          <w:color w:val="0D0D0D" w:themeColor="text1" w:themeTint="F2"/>
          <w:sz w:val="19"/>
          <w:szCs w:val="19"/>
        </w:rPr>
        <w:t>The core research problem is to develop an explainable machine-learning framework that can predict loan defaults across multiple credit datasets while providing transparent model comparisons and understandable credit-risk insights.</w:t>
      </w:r>
    </w:p>
    <w:p w14:paraId="4F2EC949" w14:textId="77777777" w:rsidR="0017052F" w:rsidRDefault="00000000">
      <w:pPr>
        <w:keepNext/>
        <w:spacing w:before="180" w:after="100"/>
      </w:pPr>
      <w:r>
        <w:rPr>
          <w:b/>
          <w:bCs/>
          <w:i/>
          <w:iCs/>
        </w:rPr>
        <w:t>1.3 Research Gap</w:t>
      </w:r>
    </w:p>
    <w:p w14:paraId="4EAFD275" w14:textId="2F3305B6" w:rsidR="00834538" w:rsidRDefault="00BD5360">
      <w:pPr>
        <w:keepNext/>
        <w:spacing w:before="180" w:after="100"/>
        <w:rPr>
          <w:i/>
          <w:iCs/>
          <w:color w:val="0D0D0D" w:themeColor="text1" w:themeTint="F2"/>
          <w:sz w:val="19"/>
          <w:szCs w:val="19"/>
        </w:rPr>
      </w:pPr>
      <w:r w:rsidRPr="00BD5360">
        <w:rPr>
          <w:i/>
          <w:iCs/>
          <w:color w:val="0D0D0D" w:themeColor="text1" w:themeTint="F2"/>
          <w:sz w:val="19"/>
          <w:szCs w:val="19"/>
        </w:rPr>
        <w:t>Previous studies have demonstrated the effectiveness of machine-learning and ensemble methods for credit-risk and loan-default prediction. However, many existing approaches are validated using only a single or a limited number of datasets, which restricts the assessment of generalizability. Explainability is also frequently applied after model selection rather than being considered across candidate models. In addition, there is a trade-off between predictive performance and interpretability, while practical decision-support and visualization layers are often missing. These gaps motivate an integrated approach combining multi-dataset evaluation, systematic model comparison, explainability, and visualization.</w:t>
      </w:r>
    </w:p>
    <w:p w14:paraId="60C00874" w14:textId="77777777" w:rsidR="00834538" w:rsidRPr="00BD5360" w:rsidRDefault="00834538">
      <w:pPr>
        <w:keepNext/>
        <w:spacing w:before="180" w:after="100"/>
        <w:rPr>
          <w:i/>
          <w:iCs/>
          <w:color w:val="0D0D0D" w:themeColor="text1" w:themeTint="F2"/>
          <w:sz w:val="19"/>
          <w:szCs w:val="19"/>
        </w:rPr>
      </w:pPr>
    </w:p>
    <w:p w14:paraId="2A291395" w14:textId="6E067925" w:rsidR="0017052F" w:rsidRDefault="00000000">
      <w:pPr>
        <w:keepNext/>
        <w:spacing w:before="180" w:after="100"/>
      </w:pPr>
      <w:r>
        <w:rPr>
          <w:b/>
          <w:bCs/>
          <w:i/>
          <w:iCs/>
        </w:rPr>
        <w:t>1.4 Research Objectives</w:t>
      </w:r>
    </w:p>
    <w:p w14:paraId="5688111C" w14:textId="1FB230F0" w:rsidR="00BD5360" w:rsidRPr="00BD5360" w:rsidRDefault="00BD5360" w:rsidP="00BD5360">
      <w:pPr>
        <w:pStyle w:val="ListParagraph"/>
        <w:keepNext/>
        <w:numPr>
          <w:ilvl w:val="0"/>
          <w:numId w:val="4"/>
        </w:numPr>
        <w:spacing w:before="180" w:after="100"/>
        <w:rPr>
          <w:sz w:val="19"/>
          <w:szCs w:val="19"/>
        </w:rPr>
      </w:pPr>
      <w:r w:rsidRPr="00BD5360">
        <w:rPr>
          <w:sz w:val="19"/>
          <w:szCs w:val="19"/>
        </w:rPr>
        <w:t>To design an AI-driven loan default prediction framework using banking analytics, data</w:t>
      </w:r>
      <w:r w:rsidR="00784B84">
        <w:rPr>
          <w:sz w:val="19"/>
          <w:szCs w:val="19"/>
        </w:rPr>
        <w:t xml:space="preserve"> </w:t>
      </w:r>
      <w:r w:rsidRPr="00BD5360">
        <w:rPr>
          <w:sz w:val="19"/>
          <w:szCs w:val="19"/>
        </w:rPr>
        <w:lastRenderedPageBreak/>
        <w:t>preprocessing, exploratory data analysis, and risk-aware feature engineering.</w:t>
      </w:r>
    </w:p>
    <w:p w14:paraId="3D05454D" w14:textId="5BB4E872" w:rsidR="00BD5360" w:rsidRPr="00BD5360" w:rsidRDefault="00BD5360" w:rsidP="00BD5360">
      <w:pPr>
        <w:pStyle w:val="ListParagraph"/>
        <w:keepNext/>
        <w:numPr>
          <w:ilvl w:val="0"/>
          <w:numId w:val="4"/>
        </w:numPr>
        <w:spacing w:before="180" w:after="100"/>
        <w:rPr>
          <w:sz w:val="19"/>
          <w:szCs w:val="19"/>
        </w:rPr>
      </w:pPr>
      <w:r w:rsidRPr="00BD5360">
        <w:rPr>
          <w:sz w:val="19"/>
          <w:szCs w:val="19"/>
        </w:rPr>
        <w:t xml:space="preserve">To evaluate and compare five machine-learning models: Logistic Regression, Decision Tree, Random Forest, </w:t>
      </w:r>
      <w:proofErr w:type="spellStart"/>
      <w:r w:rsidRPr="00BD5360">
        <w:rPr>
          <w:sz w:val="19"/>
          <w:szCs w:val="19"/>
        </w:rPr>
        <w:t>XGBoost</w:t>
      </w:r>
      <w:proofErr w:type="spellEnd"/>
      <w:r w:rsidRPr="00BD5360">
        <w:rPr>
          <w:sz w:val="19"/>
          <w:szCs w:val="19"/>
        </w:rPr>
        <w:t xml:space="preserve">, and </w:t>
      </w:r>
      <w:proofErr w:type="spellStart"/>
      <w:r w:rsidRPr="00BD5360">
        <w:rPr>
          <w:sz w:val="19"/>
          <w:szCs w:val="19"/>
        </w:rPr>
        <w:t>CatBoost</w:t>
      </w:r>
      <w:proofErr w:type="spellEnd"/>
      <w:r w:rsidRPr="00BD5360">
        <w:rPr>
          <w:sz w:val="19"/>
          <w:szCs w:val="19"/>
        </w:rPr>
        <w:t>.</w:t>
      </w:r>
    </w:p>
    <w:p w14:paraId="0E40648E" w14:textId="2001513C" w:rsidR="00BD5360" w:rsidRPr="00BD5360" w:rsidRDefault="00BD5360" w:rsidP="00BD5360">
      <w:pPr>
        <w:pStyle w:val="ListParagraph"/>
        <w:keepNext/>
        <w:numPr>
          <w:ilvl w:val="0"/>
          <w:numId w:val="4"/>
        </w:numPr>
        <w:spacing w:before="180" w:after="100"/>
        <w:rPr>
          <w:sz w:val="19"/>
          <w:szCs w:val="19"/>
        </w:rPr>
      </w:pPr>
      <w:r w:rsidRPr="00BD5360">
        <w:rPr>
          <w:sz w:val="19"/>
          <w:szCs w:val="19"/>
        </w:rPr>
        <w:t xml:space="preserve">To validate the proposed approach across three public credit datasets: Lending Club, </w:t>
      </w:r>
      <w:proofErr w:type="spellStart"/>
      <w:r w:rsidRPr="00BD5360">
        <w:rPr>
          <w:sz w:val="19"/>
          <w:szCs w:val="19"/>
        </w:rPr>
        <w:t>Statlog</w:t>
      </w:r>
      <w:proofErr w:type="spellEnd"/>
      <w:r w:rsidRPr="00BD5360">
        <w:rPr>
          <w:sz w:val="19"/>
          <w:szCs w:val="19"/>
        </w:rPr>
        <w:t xml:space="preserve"> German Credit, and Home Credit.</w:t>
      </w:r>
    </w:p>
    <w:p w14:paraId="575E5D4C" w14:textId="0EBB529A" w:rsidR="00BD5360" w:rsidRPr="00BD5360" w:rsidRDefault="00BD5360" w:rsidP="00BD5360">
      <w:pPr>
        <w:pStyle w:val="ListParagraph"/>
        <w:keepNext/>
        <w:numPr>
          <w:ilvl w:val="0"/>
          <w:numId w:val="4"/>
        </w:numPr>
        <w:spacing w:before="180" w:after="100"/>
        <w:rPr>
          <w:sz w:val="19"/>
          <w:szCs w:val="19"/>
        </w:rPr>
      </w:pPr>
      <w:r w:rsidRPr="00BD5360">
        <w:rPr>
          <w:sz w:val="19"/>
          <w:szCs w:val="19"/>
        </w:rPr>
        <w:t>To measure model performance using Accuracy, Precision, Recall, F1-score, and ROC-AUC, along with SHAP and LIME for explainability.</w:t>
      </w:r>
    </w:p>
    <w:p w14:paraId="5BB4D3C8" w14:textId="36E5B527" w:rsidR="00BD5360" w:rsidRPr="00BD5360" w:rsidRDefault="00BD5360" w:rsidP="00BD5360">
      <w:pPr>
        <w:pStyle w:val="ListParagraph"/>
        <w:keepNext/>
        <w:numPr>
          <w:ilvl w:val="0"/>
          <w:numId w:val="4"/>
        </w:numPr>
        <w:spacing w:before="180" w:after="100"/>
        <w:rPr>
          <w:sz w:val="19"/>
          <w:szCs w:val="19"/>
        </w:rPr>
      </w:pPr>
      <w:r w:rsidRPr="00BD5360">
        <w:rPr>
          <w:sz w:val="19"/>
          <w:szCs w:val="19"/>
        </w:rPr>
        <w:t>To develop a visualization dashboard that presents model performance, feature importance, and credit-risk insights in an understandable form.</w:t>
      </w:r>
    </w:p>
    <w:p w14:paraId="16E818BB" w14:textId="32E37965" w:rsidR="0017052F" w:rsidRDefault="00000000" w:rsidP="00BD5360">
      <w:pPr>
        <w:keepNext/>
        <w:spacing w:before="180" w:after="100"/>
      </w:pPr>
      <w:r>
        <w:rPr>
          <w:b/>
          <w:bCs/>
          <w:i/>
          <w:iCs/>
        </w:rPr>
        <w:t>1.5 Research Questions</w:t>
      </w:r>
    </w:p>
    <w:p w14:paraId="11941EF5" w14:textId="77777777" w:rsidR="00BD5360" w:rsidRPr="00BD5360" w:rsidRDefault="00000000" w:rsidP="00BD5360">
      <w:pPr>
        <w:pStyle w:val="ListParagraph"/>
        <w:numPr>
          <w:ilvl w:val="0"/>
          <w:numId w:val="3"/>
        </w:numPr>
        <w:spacing w:after="100" w:line="250" w:lineRule="auto"/>
        <w:jc w:val="both"/>
      </w:pPr>
      <w:r w:rsidRPr="00BD5360">
        <w:rPr>
          <w:sz w:val="19"/>
          <w:szCs w:val="19"/>
        </w:rPr>
        <w:t xml:space="preserve">RQ1: </w:t>
      </w:r>
      <w:r w:rsidR="00BD5360" w:rsidRPr="00BD5360">
        <w:rPr>
          <w:sz w:val="19"/>
          <w:szCs w:val="19"/>
        </w:rPr>
        <w:t xml:space="preserve">How do Logistic Regression, Decision Tree, Random Forest, </w:t>
      </w:r>
      <w:proofErr w:type="spellStart"/>
      <w:r w:rsidR="00BD5360" w:rsidRPr="00BD5360">
        <w:rPr>
          <w:sz w:val="19"/>
          <w:szCs w:val="19"/>
        </w:rPr>
        <w:t>XGBoost</w:t>
      </w:r>
      <w:proofErr w:type="spellEnd"/>
      <w:r w:rsidR="00BD5360" w:rsidRPr="00BD5360">
        <w:rPr>
          <w:sz w:val="19"/>
          <w:szCs w:val="19"/>
        </w:rPr>
        <w:t xml:space="preserve">, and </w:t>
      </w:r>
      <w:proofErr w:type="spellStart"/>
      <w:r w:rsidR="00BD5360" w:rsidRPr="00BD5360">
        <w:rPr>
          <w:sz w:val="19"/>
          <w:szCs w:val="19"/>
        </w:rPr>
        <w:t>CatBoost</w:t>
      </w:r>
      <w:proofErr w:type="spellEnd"/>
      <w:r w:rsidR="00BD5360" w:rsidRPr="00BD5360">
        <w:rPr>
          <w:sz w:val="19"/>
          <w:szCs w:val="19"/>
        </w:rPr>
        <w:t xml:space="preserve"> compare for loan default prediction across different credit datasets?</w:t>
      </w:r>
    </w:p>
    <w:p w14:paraId="33A78B73" w14:textId="77777777" w:rsidR="00BD5360" w:rsidRPr="00BD5360" w:rsidRDefault="00000000" w:rsidP="00BD5360">
      <w:pPr>
        <w:pStyle w:val="ListParagraph"/>
        <w:numPr>
          <w:ilvl w:val="0"/>
          <w:numId w:val="3"/>
        </w:numPr>
        <w:spacing w:after="100" w:line="250" w:lineRule="auto"/>
        <w:jc w:val="both"/>
      </w:pPr>
      <w:r w:rsidRPr="00BD5360">
        <w:rPr>
          <w:sz w:val="19"/>
          <w:szCs w:val="19"/>
        </w:rPr>
        <w:t xml:space="preserve">RQ2: </w:t>
      </w:r>
      <w:r w:rsidR="00BD5360" w:rsidRPr="00BD5360">
        <w:rPr>
          <w:sz w:val="19"/>
          <w:szCs w:val="19"/>
        </w:rPr>
        <w:t>Which machine-learning model provides the most suitable balance between predictive performance and interpretability for credit-risk prediction?</w:t>
      </w:r>
    </w:p>
    <w:p w14:paraId="4CAC3B7C" w14:textId="77777777" w:rsidR="00BD5360" w:rsidRPr="00BD5360" w:rsidRDefault="00000000" w:rsidP="00BD5360">
      <w:pPr>
        <w:pStyle w:val="ListParagraph"/>
        <w:numPr>
          <w:ilvl w:val="0"/>
          <w:numId w:val="3"/>
        </w:numPr>
        <w:spacing w:after="100" w:line="250" w:lineRule="auto"/>
        <w:jc w:val="both"/>
      </w:pPr>
      <w:r w:rsidRPr="00BD5360">
        <w:rPr>
          <w:sz w:val="19"/>
          <w:szCs w:val="19"/>
        </w:rPr>
        <w:t xml:space="preserve">RQ3: </w:t>
      </w:r>
      <w:r w:rsidR="00BD5360" w:rsidRPr="00BD5360">
        <w:rPr>
          <w:sz w:val="19"/>
          <w:szCs w:val="19"/>
        </w:rPr>
        <w:t xml:space="preserve">How consistent are the model performances and important risk-related features across the Lending Club, </w:t>
      </w:r>
      <w:proofErr w:type="spellStart"/>
      <w:r w:rsidR="00BD5360" w:rsidRPr="00BD5360">
        <w:rPr>
          <w:sz w:val="19"/>
          <w:szCs w:val="19"/>
        </w:rPr>
        <w:t>Statlog</w:t>
      </w:r>
      <w:proofErr w:type="spellEnd"/>
      <w:r w:rsidR="00BD5360" w:rsidRPr="00BD5360">
        <w:rPr>
          <w:sz w:val="19"/>
          <w:szCs w:val="19"/>
        </w:rPr>
        <w:t xml:space="preserve"> German Credit, and Home Credit datasets?</w:t>
      </w:r>
    </w:p>
    <w:p w14:paraId="3667F2E4" w14:textId="77777777" w:rsidR="00BD5360" w:rsidRPr="00BD5360" w:rsidRDefault="00000000" w:rsidP="00BD5360">
      <w:pPr>
        <w:pStyle w:val="ListParagraph"/>
        <w:keepNext/>
        <w:numPr>
          <w:ilvl w:val="0"/>
          <w:numId w:val="3"/>
        </w:numPr>
        <w:spacing w:before="180" w:after="100" w:line="250" w:lineRule="auto"/>
        <w:jc w:val="both"/>
      </w:pPr>
      <w:r w:rsidRPr="00BD5360">
        <w:rPr>
          <w:sz w:val="19"/>
          <w:szCs w:val="19"/>
        </w:rPr>
        <w:t xml:space="preserve">RQ4: </w:t>
      </w:r>
      <w:r w:rsidR="00BD5360" w:rsidRPr="00BD5360">
        <w:rPr>
          <w:sz w:val="19"/>
          <w:szCs w:val="19"/>
        </w:rPr>
        <w:t>How can explainable predictions and visualization support practical credit-risk analysis and decision-making?</w:t>
      </w:r>
    </w:p>
    <w:p w14:paraId="3237A30B" w14:textId="3E82AE5D" w:rsidR="0017052F" w:rsidRDefault="00000000" w:rsidP="00BD5360">
      <w:pPr>
        <w:pStyle w:val="ListParagraph"/>
        <w:keepNext/>
        <w:numPr>
          <w:ilvl w:val="0"/>
          <w:numId w:val="3"/>
        </w:numPr>
        <w:spacing w:before="180" w:after="100" w:line="250" w:lineRule="auto"/>
        <w:jc w:val="both"/>
      </w:pPr>
      <w:r w:rsidRPr="00BD5360">
        <w:rPr>
          <w:b/>
          <w:bCs/>
          <w:i/>
          <w:iCs/>
        </w:rPr>
        <w:t>1.6 Contributions</w:t>
      </w:r>
    </w:p>
    <w:p w14:paraId="6BE3617D" w14:textId="548DCD7D" w:rsidR="00BD5360" w:rsidRPr="00BD5360" w:rsidRDefault="00BD5360" w:rsidP="00BD5360">
      <w:pPr>
        <w:pStyle w:val="ListParagraph"/>
        <w:numPr>
          <w:ilvl w:val="0"/>
          <w:numId w:val="3"/>
        </w:numPr>
        <w:spacing w:after="100" w:line="250" w:lineRule="auto"/>
        <w:jc w:val="both"/>
        <w:rPr>
          <w:sz w:val="19"/>
          <w:szCs w:val="19"/>
        </w:rPr>
      </w:pPr>
      <w:r w:rsidRPr="00BD5360">
        <w:rPr>
          <w:sz w:val="19"/>
          <w:szCs w:val="19"/>
        </w:rPr>
        <w:t xml:space="preserve"> An integrated loan default prediction framework combining three public credit datasets, machine learning, explainability, and banking analytics.</w:t>
      </w:r>
    </w:p>
    <w:p w14:paraId="1CEA369E" w14:textId="524B32B9" w:rsidR="00BD5360" w:rsidRPr="00BD5360" w:rsidRDefault="00BD5360" w:rsidP="00BD5360">
      <w:pPr>
        <w:pStyle w:val="ListParagraph"/>
        <w:numPr>
          <w:ilvl w:val="0"/>
          <w:numId w:val="3"/>
        </w:numPr>
        <w:spacing w:after="100" w:line="250" w:lineRule="auto"/>
        <w:jc w:val="both"/>
      </w:pPr>
      <w:r w:rsidRPr="00BD5360">
        <w:rPr>
          <w:sz w:val="19"/>
          <w:szCs w:val="19"/>
        </w:rPr>
        <w:t xml:space="preserve"> A systematic benchmark of five machine-learning models using common credit-risk performance metrics. </w:t>
      </w:r>
    </w:p>
    <w:p w14:paraId="29E4E5F4" w14:textId="77777777" w:rsidR="00BD5360" w:rsidRPr="00BD5360" w:rsidRDefault="00BD5360">
      <w:pPr>
        <w:pStyle w:val="ListParagraph"/>
        <w:numPr>
          <w:ilvl w:val="0"/>
          <w:numId w:val="3"/>
        </w:numPr>
        <w:spacing w:after="100" w:line="250" w:lineRule="auto"/>
        <w:jc w:val="both"/>
      </w:pPr>
      <w:r w:rsidRPr="00BD5360">
        <w:rPr>
          <w:sz w:val="19"/>
          <w:szCs w:val="19"/>
        </w:rPr>
        <w:t xml:space="preserve">An evaluation approach incorporating SHAP and LIME to provide both overall feature-importance analysis and explanations for individual predictions. </w:t>
      </w:r>
    </w:p>
    <w:p w14:paraId="75C697B2" w14:textId="3A10D162" w:rsidR="0017052F" w:rsidRDefault="00BD5360">
      <w:pPr>
        <w:pStyle w:val="ListParagraph"/>
        <w:numPr>
          <w:ilvl w:val="0"/>
          <w:numId w:val="3"/>
        </w:numPr>
        <w:spacing w:after="100" w:line="250" w:lineRule="auto"/>
        <w:jc w:val="both"/>
      </w:pPr>
      <w:r w:rsidRPr="00BD5360">
        <w:t>A visualization dashboard designed to present model results and credit-risk insights in an understandable and practical form.</w:t>
      </w:r>
    </w:p>
    <w:p w14:paraId="5EB67056" w14:textId="77777777" w:rsidR="0017052F" w:rsidRDefault="00000000">
      <w:pPr>
        <w:keepNext/>
        <w:spacing w:before="180" w:after="100"/>
      </w:pPr>
      <w:r>
        <w:rPr>
          <w:b/>
          <w:bCs/>
          <w:i/>
          <w:iCs/>
        </w:rPr>
        <w:t>1.7 Organization of the Paper</w:t>
      </w:r>
    </w:p>
    <w:p w14:paraId="30021CDE" w14:textId="77777777" w:rsidR="00BD5360" w:rsidRPr="00BD5360" w:rsidRDefault="00BD5360">
      <w:pPr>
        <w:keepNext/>
        <w:spacing w:before="260" w:after="120"/>
        <w:rPr>
          <w:i/>
          <w:iCs/>
          <w:color w:val="0D0D0D" w:themeColor="text1" w:themeTint="F2"/>
          <w:sz w:val="19"/>
          <w:szCs w:val="19"/>
        </w:rPr>
      </w:pPr>
      <w:r w:rsidRPr="00BD5360">
        <w:rPr>
          <w:i/>
          <w:iCs/>
          <w:color w:val="0D0D0D" w:themeColor="text1" w:themeTint="F2"/>
          <w:sz w:val="19"/>
          <w:szCs w:val="19"/>
        </w:rPr>
        <w:t xml:space="preserve">Section 2 reviews related work on machine learning, credit-risk prediction, and explainable AI. Section 3 details the proposed methodology, including datasets, preprocessing, feature engineering, models, and explainability techniques. Section 4 describes the experimental setup and evaluation metrics. Section 5 presents the experimental results. Section 6 discusses the findings and their implications. Section 7 </w:t>
      </w:r>
      <w:r w:rsidRPr="00BD5360">
        <w:rPr>
          <w:i/>
          <w:iCs/>
          <w:color w:val="0D0D0D" w:themeColor="text1" w:themeTint="F2"/>
          <w:sz w:val="19"/>
          <w:szCs w:val="19"/>
        </w:rPr>
        <w:t>describes the limitations of the study. Section 8 concludes the paper and presents future work.</w:t>
      </w:r>
    </w:p>
    <w:p w14:paraId="67BB1E61" w14:textId="5FE003E4" w:rsidR="0017052F" w:rsidRDefault="00000000">
      <w:pPr>
        <w:keepNext/>
        <w:spacing w:before="260" w:after="120"/>
      </w:pPr>
      <w:r>
        <w:rPr>
          <w:b/>
          <w:bCs/>
          <w:color w:val="1F3864"/>
          <w:sz w:val="21"/>
          <w:szCs w:val="21"/>
        </w:rPr>
        <w:t>2. RELATED WORK</w:t>
      </w:r>
    </w:p>
    <w:p w14:paraId="10895D29" w14:textId="77777777" w:rsidR="0017052F" w:rsidRDefault="00000000">
      <w:pPr>
        <w:keepNext/>
        <w:spacing w:before="180" w:after="100"/>
      </w:pPr>
      <w:r>
        <w:rPr>
          <w:b/>
          <w:bCs/>
          <w:i/>
          <w:iCs/>
        </w:rPr>
        <w:t>2.1 Existing Approaches</w:t>
      </w:r>
    </w:p>
    <w:p w14:paraId="4E45B8EC" w14:textId="77777777" w:rsidR="004C0943" w:rsidRPr="004C0943" w:rsidRDefault="004C0943" w:rsidP="004C0943">
      <w:pPr>
        <w:keepNext/>
        <w:spacing w:before="180" w:after="100"/>
        <w:rPr>
          <w:i/>
          <w:iCs/>
          <w:color w:val="0D0D0D" w:themeColor="text1" w:themeTint="F2"/>
          <w:sz w:val="19"/>
          <w:szCs w:val="19"/>
        </w:rPr>
      </w:pPr>
      <w:r w:rsidRPr="004C0943">
        <w:rPr>
          <w:i/>
          <w:iCs/>
          <w:color w:val="0D0D0D" w:themeColor="text1" w:themeTint="F2"/>
          <w:sz w:val="19"/>
          <w:szCs w:val="19"/>
        </w:rPr>
        <w:t>Traditional loan and credit-risk assessment methods mainly rely on credit scores, predefined rules, and manual evaluation of borrower information. These approaches are widely used but may have limitations when handling large, complex, and imbalanced credit datasets. Machine-learning techniques have therefore been increasingly explored for identifying borrowers who are likely to default. However, high predictive performance alone is not sufficient for banking applications, where understanding the reasons behind a prediction is also important.</w:t>
      </w:r>
    </w:p>
    <w:p w14:paraId="08358C47" w14:textId="77777777" w:rsidR="0017052F" w:rsidRDefault="00000000">
      <w:pPr>
        <w:keepNext/>
        <w:spacing w:before="180" w:after="100"/>
      </w:pPr>
      <w:r>
        <w:rPr>
          <w:b/>
          <w:bCs/>
          <w:i/>
          <w:iCs/>
        </w:rPr>
        <w:t>2.2 Machine Learning / Computational Approaches</w:t>
      </w:r>
    </w:p>
    <w:p w14:paraId="273A58DB" w14:textId="77777777" w:rsidR="004C0943" w:rsidRPr="004C0943" w:rsidRDefault="004C0943">
      <w:pPr>
        <w:keepNext/>
        <w:spacing w:before="180" w:after="100"/>
        <w:rPr>
          <w:i/>
          <w:iCs/>
          <w:color w:val="0D0D0D" w:themeColor="text1" w:themeTint="F2"/>
          <w:sz w:val="19"/>
          <w:szCs w:val="19"/>
        </w:rPr>
      </w:pPr>
      <w:r w:rsidRPr="004C0943">
        <w:rPr>
          <w:i/>
          <w:iCs/>
          <w:color w:val="0D0D0D" w:themeColor="text1" w:themeTint="F2"/>
          <w:sz w:val="19"/>
          <w:szCs w:val="19"/>
        </w:rPr>
        <w:t xml:space="preserve">Recent studies have evaluated ensemble and machine-learning methods for credit-risk prediction. </w:t>
      </w:r>
      <w:proofErr w:type="spellStart"/>
      <w:r w:rsidRPr="004C0943">
        <w:rPr>
          <w:i/>
          <w:iCs/>
          <w:color w:val="0D0D0D" w:themeColor="text1" w:themeTint="F2"/>
          <w:sz w:val="19"/>
          <w:szCs w:val="19"/>
        </w:rPr>
        <w:t>Aruleba</w:t>
      </w:r>
      <w:proofErr w:type="spellEnd"/>
      <w:r w:rsidRPr="004C0943">
        <w:rPr>
          <w:i/>
          <w:iCs/>
          <w:color w:val="0D0D0D" w:themeColor="text1" w:themeTint="F2"/>
          <w:sz w:val="19"/>
          <w:szCs w:val="19"/>
        </w:rPr>
        <w:t xml:space="preserve"> and Sun [1] compared ensemble classifiers using techniques such as Random Forest, AdaBoost, </w:t>
      </w:r>
      <w:proofErr w:type="spellStart"/>
      <w:r w:rsidRPr="004C0943">
        <w:rPr>
          <w:i/>
          <w:iCs/>
          <w:color w:val="0D0D0D" w:themeColor="text1" w:themeTint="F2"/>
          <w:sz w:val="19"/>
          <w:szCs w:val="19"/>
        </w:rPr>
        <w:t>XGBoost</w:t>
      </w:r>
      <w:proofErr w:type="spellEnd"/>
      <w:r w:rsidRPr="004C0943">
        <w:rPr>
          <w:i/>
          <w:iCs/>
          <w:color w:val="0D0D0D" w:themeColor="text1" w:themeTint="F2"/>
          <w:sz w:val="19"/>
          <w:szCs w:val="19"/>
        </w:rPr>
        <w:t xml:space="preserve">, and </w:t>
      </w:r>
      <w:proofErr w:type="spellStart"/>
      <w:r w:rsidRPr="004C0943">
        <w:rPr>
          <w:i/>
          <w:iCs/>
          <w:color w:val="0D0D0D" w:themeColor="text1" w:themeTint="F2"/>
          <w:sz w:val="19"/>
          <w:szCs w:val="19"/>
        </w:rPr>
        <w:t>LightGBM</w:t>
      </w:r>
      <w:proofErr w:type="spellEnd"/>
      <w:r w:rsidRPr="004C0943">
        <w:rPr>
          <w:i/>
          <w:iCs/>
          <w:color w:val="0D0D0D" w:themeColor="text1" w:themeTint="F2"/>
          <w:sz w:val="19"/>
          <w:szCs w:val="19"/>
        </w:rPr>
        <w:t xml:space="preserve">, together with SMOTE-ENN and SHAP. Zhu et al. [2] proposed a </w:t>
      </w:r>
      <w:proofErr w:type="spellStart"/>
      <w:r w:rsidRPr="004C0943">
        <w:rPr>
          <w:i/>
          <w:iCs/>
          <w:color w:val="0D0D0D" w:themeColor="text1" w:themeTint="F2"/>
          <w:sz w:val="19"/>
          <w:szCs w:val="19"/>
        </w:rPr>
        <w:t>LightGBM-XGBoost-LocalEnsemble</w:t>
      </w:r>
      <w:proofErr w:type="spellEnd"/>
      <w:r w:rsidRPr="004C0943">
        <w:rPr>
          <w:i/>
          <w:iCs/>
          <w:color w:val="0D0D0D" w:themeColor="text1" w:themeTint="F2"/>
          <w:sz w:val="19"/>
          <w:szCs w:val="19"/>
        </w:rPr>
        <w:t xml:space="preserve"> approach for credit-risk prediction. Cai et al. [6] compared seven machine-learning models and reported strong performance from </w:t>
      </w:r>
      <w:proofErr w:type="spellStart"/>
      <w:r w:rsidRPr="004C0943">
        <w:rPr>
          <w:i/>
          <w:iCs/>
          <w:color w:val="0D0D0D" w:themeColor="text1" w:themeTint="F2"/>
          <w:sz w:val="19"/>
          <w:szCs w:val="19"/>
        </w:rPr>
        <w:t>CatBoost</w:t>
      </w:r>
      <w:proofErr w:type="spellEnd"/>
      <w:r w:rsidRPr="004C0943">
        <w:rPr>
          <w:i/>
          <w:iCs/>
          <w:color w:val="0D0D0D" w:themeColor="text1" w:themeTint="F2"/>
          <w:sz w:val="19"/>
          <w:szCs w:val="19"/>
        </w:rPr>
        <w:t>. Zhang [7] applied explainable machine learning to the Home Credit dataset. These studies demonstrate the potential of machine learning for improving credit-risk prediction, but several approaches focus on limited datasets or do not provide an integrated decision-support framework.</w:t>
      </w:r>
    </w:p>
    <w:p w14:paraId="59B1866B" w14:textId="07035E03" w:rsidR="0017052F" w:rsidRDefault="00000000">
      <w:pPr>
        <w:keepNext/>
        <w:spacing w:before="180" w:after="100"/>
      </w:pPr>
      <w:r>
        <w:rPr>
          <w:b/>
          <w:bCs/>
          <w:i/>
          <w:iCs/>
        </w:rPr>
        <w:t>2.3 Advanced / Alternative Approaches</w:t>
      </w:r>
    </w:p>
    <w:p w14:paraId="0AD43B74" w14:textId="77777777" w:rsidR="004C0943" w:rsidRPr="004C0943" w:rsidRDefault="004C0943">
      <w:pPr>
        <w:keepNext/>
        <w:spacing w:before="180" w:after="100"/>
        <w:rPr>
          <w:i/>
          <w:iCs/>
          <w:color w:val="0D0D0D" w:themeColor="text1" w:themeTint="F2"/>
          <w:sz w:val="19"/>
          <w:szCs w:val="19"/>
        </w:rPr>
      </w:pPr>
      <w:r w:rsidRPr="004C0943">
        <w:rPr>
          <w:i/>
          <w:iCs/>
          <w:color w:val="0D0D0D" w:themeColor="text1" w:themeTint="F2"/>
          <w:sz w:val="19"/>
          <w:szCs w:val="19"/>
        </w:rPr>
        <w:t xml:space="preserve">Advanced approaches have also been investigated to improve prediction performance and handle imbalanced credit data. </w:t>
      </w:r>
      <w:proofErr w:type="spellStart"/>
      <w:r w:rsidRPr="004C0943">
        <w:rPr>
          <w:i/>
          <w:iCs/>
          <w:color w:val="0D0D0D" w:themeColor="text1" w:themeTint="F2"/>
          <w:sz w:val="19"/>
          <w:szCs w:val="19"/>
        </w:rPr>
        <w:t>Hartomo</w:t>
      </w:r>
      <w:proofErr w:type="spellEnd"/>
      <w:r w:rsidRPr="004C0943">
        <w:rPr>
          <w:i/>
          <w:iCs/>
          <w:color w:val="0D0D0D" w:themeColor="text1" w:themeTint="F2"/>
          <w:sz w:val="19"/>
          <w:szCs w:val="19"/>
        </w:rPr>
        <w:t xml:space="preserve"> et al. [5] proposed a weighted-loss </w:t>
      </w:r>
      <w:proofErr w:type="spellStart"/>
      <w:r w:rsidRPr="004C0943">
        <w:rPr>
          <w:i/>
          <w:iCs/>
          <w:color w:val="0D0D0D" w:themeColor="text1" w:themeTint="F2"/>
          <w:sz w:val="19"/>
          <w:szCs w:val="19"/>
        </w:rPr>
        <w:t>TabTransformer</w:t>
      </w:r>
      <w:proofErr w:type="spellEnd"/>
      <w:r w:rsidRPr="004C0943">
        <w:rPr>
          <w:i/>
          <w:iCs/>
          <w:color w:val="0D0D0D" w:themeColor="text1" w:themeTint="F2"/>
          <w:sz w:val="19"/>
          <w:szCs w:val="19"/>
        </w:rPr>
        <w:t xml:space="preserve"> for imbalanced credit-risk prediction. Liang et al. [10] investigated explainable deep learning for technology-based SME credit risk. </w:t>
      </w:r>
      <w:proofErr w:type="spellStart"/>
      <w:r w:rsidRPr="004C0943">
        <w:rPr>
          <w:i/>
          <w:iCs/>
          <w:color w:val="0D0D0D" w:themeColor="text1" w:themeTint="F2"/>
          <w:sz w:val="19"/>
          <w:szCs w:val="19"/>
        </w:rPr>
        <w:t>Kofidis</w:t>
      </w:r>
      <w:proofErr w:type="spellEnd"/>
      <w:r w:rsidRPr="004C0943">
        <w:rPr>
          <w:i/>
          <w:iCs/>
          <w:color w:val="0D0D0D" w:themeColor="text1" w:themeTint="F2"/>
          <w:sz w:val="19"/>
          <w:szCs w:val="19"/>
        </w:rPr>
        <w:t xml:space="preserve"> et al. [11] studied balancing techniques across models including CNN, LSTM, Random Forest, and SVM. Although these approaches can improve predictive capability, they may introduce additional complexity and can make model interpretation more difficult.</w:t>
      </w:r>
    </w:p>
    <w:p w14:paraId="34F112C6" w14:textId="3EDEF7C6" w:rsidR="0017052F" w:rsidRDefault="00000000">
      <w:pPr>
        <w:keepNext/>
        <w:spacing w:before="180" w:after="100"/>
      </w:pPr>
      <w:r>
        <w:rPr>
          <w:b/>
          <w:bCs/>
          <w:i/>
          <w:iCs/>
        </w:rPr>
        <w:t xml:space="preserve">2.4 Explainability / Interpretability (or </w:t>
      </w:r>
      <w:proofErr w:type="gramStart"/>
      <w:r>
        <w:rPr>
          <w:b/>
          <w:bCs/>
          <w:i/>
          <w:iCs/>
        </w:rPr>
        <w:t>other</w:t>
      </w:r>
      <w:proofErr w:type="gramEnd"/>
      <w:r>
        <w:rPr>
          <w:b/>
          <w:bCs/>
          <w:i/>
          <w:iCs/>
        </w:rPr>
        <w:t xml:space="preserve"> relevant sub-theme)</w:t>
      </w:r>
    </w:p>
    <w:p w14:paraId="645632F4" w14:textId="77777777" w:rsidR="004C0943" w:rsidRPr="004C0943" w:rsidRDefault="004C0943">
      <w:pPr>
        <w:keepNext/>
        <w:spacing w:before="180" w:after="100"/>
        <w:rPr>
          <w:i/>
          <w:iCs/>
          <w:color w:val="0D0D0D" w:themeColor="text1" w:themeTint="F2"/>
          <w:sz w:val="19"/>
          <w:szCs w:val="19"/>
        </w:rPr>
      </w:pPr>
      <w:r w:rsidRPr="004C0943">
        <w:rPr>
          <w:i/>
          <w:iCs/>
          <w:color w:val="0D0D0D" w:themeColor="text1" w:themeTint="F2"/>
          <w:sz w:val="19"/>
          <w:szCs w:val="19"/>
        </w:rPr>
        <w:t xml:space="preserve">Explainability is particularly important in credit-risk applications because financial decisions require transparency and justification. SHAP can provide feature-level explanations for model predictions, while LIME can explain individual predictions locally. Several recent studies have incorporated explainable AI, but the literature indicates that explainability is often applied after selecting a final model rather than being considered throughout the model-comparison process. This </w:t>
      </w:r>
      <w:r w:rsidRPr="004C0943">
        <w:rPr>
          <w:i/>
          <w:iCs/>
          <w:color w:val="0D0D0D" w:themeColor="text1" w:themeTint="F2"/>
          <w:sz w:val="19"/>
          <w:szCs w:val="19"/>
        </w:rPr>
        <w:lastRenderedPageBreak/>
        <w:t>creates a need for a framework that evaluates predictive performance and interpretability together.</w:t>
      </w:r>
    </w:p>
    <w:p w14:paraId="418D1A04" w14:textId="2F6C2F10" w:rsidR="0017052F" w:rsidRDefault="00000000">
      <w:pPr>
        <w:keepNext/>
        <w:spacing w:before="180" w:after="100"/>
      </w:pPr>
      <w:r>
        <w:rPr>
          <w:b/>
          <w:bCs/>
          <w:i/>
          <w:iCs/>
        </w:rPr>
        <w:t>2.5 Critical Comparison</w:t>
      </w:r>
    </w:p>
    <w:p w14:paraId="5D2BE8E3" w14:textId="77777777" w:rsidR="0017052F" w:rsidRDefault="00000000">
      <w:pPr>
        <w:spacing w:after="140" w:line="252" w:lineRule="auto"/>
        <w:jc w:val="both"/>
      </w:pPr>
      <w:r>
        <w:rPr>
          <w:i/>
          <w:iCs/>
          <w:color w:val="808080"/>
          <w:sz w:val="19"/>
          <w:szCs w:val="19"/>
        </w:rPr>
        <w:t>Table 1 summarizes representative studies from the literature, highlighting their key contributions and limitations.</w:t>
      </w:r>
    </w:p>
    <w:p w14:paraId="789239B5" w14:textId="77777777" w:rsidR="0017052F" w:rsidRDefault="0017052F">
      <w:pPr>
        <w:sectPr w:rsidR="0017052F">
          <w:footerReference w:type="default" r:id="rId8"/>
          <w:type w:val="continuous"/>
          <w:pgSz w:w="12240" w:h="15840"/>
          <w:pgMar w:top="1080" w:right="1080" w:bottom="1080" w:left="1080" w:header="708" w:footer="708" w:gutter="0"/>
          <w:cols w:num="2" w:space="432"/>
          <w:docGrid w:linePitch="360"/>
        </w:sectPr>
      </w:pP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
        <w:gridCol w:w="2350"/>
        <w:gridCol w:w="3450"/>
        <w:gridCol w:w="2870"/>
      </w:tblGrid>
      <w:tr w:rsidR="0017052F" w14:paraId="6A90B442" w14:textId="77777777">
        <w:trPr>
          <w:tblHeader/>
        </w:trPr>
        <w:tc>
          <w:tcPr>
            <w:tcW w:w="430" w:type="dxa"/>
            <w:shd w:val="clear" w:color="auto" w:fill="1F3864"/>
            <w:tcMar>
              <w:top w:w="60" w:type="dxa"/>
              <w:left w:w="80" w:type="dxa"/>
              <w:bottom w:w="60" w:type="dxa"/>
              <w:right w:w="80" w:type="dxa"/>
            </w:tcMar>
            <w:vAlign w:val="center"/>
          </w:tcPr>
          <w:p w14:paraId="1CBCCE84" w14:textId="77777777" w:rsidR="0017052F" w:rsidRDefault="00000000">
            <w:pPr>
              <w:jc w:val="center"/>
            </w:pPr>
            <w:r>
              <w:rPr>
                <w:b/>
                <w:bCs/>
                <w:color w:val="FFFFFF"/>
                <w:sz w:val="17"/>
                <w:szCs w:val="17"/>
              </w:rPr>
              <w:t>#</w:t>
            </w:r>
          </w:p>
        </w:tc>
        <w:tc>
          <w:tcPr>
            <w:tcW w:w="2350" w:type="dxa"/>
            <w:shd w:val="clear" w:color="auto" w:fill="1F3864"/>
            <w:tcMar>
              <w:top w:w="60" w:type="dxa"/>
              <w:left w:w="80" w:type="dxa"/>
              <w:bottom w:w="60" w:type="dxa"/>
              <w:right w:w="80" w:type="dxa"/>
            </w:tcMar>
            <w:vAlign w:val="center"/>
          </w:tcPr>
          <w:p w14:paraId="124B57E0" w14:textId="77777777" w:rsidR="0017052F" w:rsidRDefault="00000000">
            <w:pPr>
              <w:jc w:val="center"/>
            </w:pPr>
            <w:r>
              <w:rPr>
                <w:b/>
                <w:bCs/>
                <w:color w:val="FFFFFF"/>
                <w:sz w:val="17"/>
                <w:szCs w:val="17"/>
              </w:rPr>
              <w:t>Study / Publication</w:t>
            </w:r>
          </w:p>
        </w:tc>
        <w:tc>
          <w:tcPr>
            <w:tcW w:w="3450" w:type="dxa"/>
            <w:shd w:val="clear" w:color="auto" w:fill="1F3864"/>
            <w:tcMar>
              <w:top w:w="60" w:type="dxa"/>
              <w:left w:w="80" w:type="dxa"/>
              <w:bottom w:w="60" w:type="dxa"/>
              <w:right w:w="80" w:type="dxa"/>
            </w:tcMar>
            <w:vAlign w:val="center"/>
          </w:tcPr>
          <w:p w14:paraId="6F76EF82" w14:textId="77777777" w:rsidR="0017052F" w:rsidRDefault="00000000">
            <w:pPr>
              <w:jc w:val="center"/>
            </w:pPr>
            <w:r>
              <w:rPr>
                <w:b/>
                <w:bCs/>
                <w:color w:val="FFFFFF"/>
                <w:sz w:val="17"/>
                <w:szCs w:val="17"/>
              </w:rPr>
              <w:t>Key Contribution</w:t>
            </w:r>
          </w:p>
        </w:tc>
        <w:tc>
          <w:tcPr>
            <w:tcW w:w="2870" w:type="dxa"/>
            <w:shd w:val="clear" w:color="auto" w:fill="1F3864"/>
            <w:tcMar>
              <w:top w:w="60" w:type="dxa"/>
              <w:left w:w="80" w:type="dxa"/>
              <w:bottom w:w="60" w:type="dxa"/>
              <w:right w:w="80" w:type="dxa"/>
            </w:tcMar>
            <w:vAlign w:val="center"/>
          </w:tcPr>
          <w:p w14:paraId="40CF44D7" w14:textId="77777777" w:rsidR="0017052F" w:rsidRDefault="00000000">
            <w:pPr>
              <w:jc w:val="center"/>
            </w:pPr>
            <w:r>
              <w:rPr>
                <w:b/>
                <w:bCs/>
                <w:color w:val="FFFFFF"/>
                <w:sz w:val="17"/>
                <w:szCs w:val="17"/>
              </w:rPr>
              <w:t>Limitation</w:t>
            </w:r>
          </w:p>
        </w:tc>
      </w:tr>
      <w:tr w:rsidR="0017052F" w14:paraId="14F74034" w14:textId="77777777">
        <w:tc>
          <w:tcPr>
            <w:tcW w:w="430" w:type="dxa"/>
            <w:shd w:val="clear" w:color="auto" w:fill="FFFFFF"/>
            <w:tcMar>
              <w:top w:w="60" w:type="dxa"/>
              <w:left w:w="80" w:type="dxa"/>
              <w:bottom w:w="60" w:type="dxa"/>
              <w:right w:w="80" w:type="dxa"/>
            </w:tcMar>
            <w:vAlign w:val="center"/>
          </w:tcPr>
          <w:p w14:paraId="4C60451B" w14:textId="77777777" w:rsidR="0017052F" w:rsidRDefault="00000000">
            <w:r>
              <w:rPr>
                <w:color w:val="000000"/>
                <w:sz w:val="16"/>
                <w:szCs w:val="16"/>
              </w:rPr>
              <w:t>1</w:t>
            </w:r>
          </w:p>
        </w:tc>
        <w:tc>
          <w:tcPr>
            <w:tcW w:w="2350" w:type="dxa"/>
            <w:shd w:val="clear" w:color="auto" w:fill="FFFFFF"/>
            <w:tcMar>
              <w:top w:w="60" w:type="dxa"/>
              <w:left w:w="80" w:type="dxa"/>
              <w:bottom w:w="60" w:type="dxa"/>
              <w:right w:w="80" w:type="dxa"/>
            </w:tcMar>
            <w:vAlign w:val="center"/>
          </w:tcPr>
          <w:p w14:paraId="784B4C86" w14:textId="77777777" w:rsidR="00ED5548" w:rsidRDefault="00ED5548" w:rsidP="00ED5548">
            <w:proofErr w:type="spellStart"/>
            <w:r>
              <w:rPr>
                <w:rStyle w:val="Strong"/>
              </w:rPr>
              <w:t>Aruleba</w:t>
            </w:r>
            <w:proofErr w:type="spellEnd"/>
            <w:r>
              <w:rPr>
                <w:rStyle w:val="Strong"/>
              </w:rPr>
              <w:t xml:space="preserve"> &amp; Sun, IEEE Access, 2024 [1]</w:t>
            </w:r>
          </w:p>
          <w:p w14:paraId="244803B0" w14:textId="3C76F675" w:rsidR="0017052F" w:rsidRDefault="0017052F"/>
        </w:tc>
        <w:tc>
          <w:tcPr>
            <w:tcW w:w="3450" w:type="dxa"/>
            <w:shd w:val="clear" w:color="auto" w:fill="FFFFFF"/>
            <w:tcMar>
              <w:top w:w="60" w:type="dxa"/>
              <w:left w:w="80" w:type="dxa"/>
              <w:bottom w:w="60" w:type="dxa"/>
              <w:right w:w="80" w:type="dxa"/>
            </w:tcMar>
            <w:vAlign w:val="center"/>
          </w:tcPr>
          <w:p w14:paraId="79C23978" w14:textId="579E040C" w:rsidR="0017052F" w:rsidRDefault="00ED5548">
            <w:r w:rsidRPr="00ED5548">
              <w:rPr>
                <w:color w:val="000000"/>
                <w:sz w:val="16"/>
                <w:szCs w:val="16"/>
              </w:rPr>
              <w:t xml:space="preserve">Used ensemble classifiers including RF, AdaBoost, </w:t>
            </w:r>
            <w:proofErr w:type="spellStart"/>
            <w:r w:rsidRPr="00ED5548">
              <w:rPr>
                <w:color w:val="000000"/>
                <w:sz w:val="16"/>
                <w:szCs w:val="16"/>
              </w:rPr>
              <w:t>XGBoost</w:t>
            </w:r>
            <w:proofErr w:type="spellEnd"/>
            <w:r w:rsidRPr="00ED5548">
              <w:rPr>
                <w:color w:val="000000"/>
                <w:sz w:val="16"/>
                <w:szCs w:val="16"/>
              </w:rPr>
              <w:t xml:space="preserve"> and </w:t>
            </w:r>
            <w:proofErr w:type="spellStart"/>
            <w:r w:rsidRPr="00ED5548">
              <w:rPr>
                <w:color w:val="000000"/>
                <w:sz w:val="16"/>
                <w:szCs w:val="16"/>
              </w:rPr>
              <w:t>LightGBM</w:t>
            </w:r>
            <w:proofErr w:type="spellEnd"/>
            <w:r w:rsidRPr="00ED5548">
              <w:rPr>
                <w:color w:val="000000"/>
                <w:sz w:val="16"/>
                <w:szCs w:val="16"/>
              </w:rPr>
              <w:t xml:space="preserve"> with SMOTE-ENN and SHAP for credit-risk prediction.</w:t>
            </w:r>
          </w:p>
        </w:tc>
        <w:tc>
          <w:tcPr>
            <w:tcW w:w="2870" w:type="dxa"/>
            <w:shd w:val="clear" w:color="auto" w:fill="FFFFFF"/>
            <w:tcMar>
              <w:top w:w="60" w:type="dxa"/>
              <w:left w:w="80" w:type="dxa"/>
              <w:bottom w:w="60" w:type="dxa"/>
              <w:right w:w="80" w:type="dxa"/>
            </w:tcMar>
            <w:vAlign w:val="center"/>
          </w:tcPr>
          <w:p w14:paraId="2B23BC30" w14:textId="1B1C51A2" w:rsidR="0017052F" w:rsidRDefault="00ED5548">
            <w:r w:rsidRPr="00ED5548">
              <w:rPr>
                <w:color w:val="000000"/>
                <w:sz w:val="16"/>
                <w:szCs w:val="16"/>
              </w:rPr>
              <w:t>Limited to two datasets; SHAP was applied only after model selection.</w:t>
            </w:r>
          </w:p>
        </w:tc>
      </w:tr>
      <w:tr w:rsidR="0017052F" w14:paraId="16EFD072" w14:textId="77777777">
        <w:tc>
          <w:tcPr>
            <w:tcW w:w="430" w:type="dxa"/>
            <w:shd w:val="clear" w:color="auto" w:fill="F2F2F2"/>
            <w:tcMar>
              <w:top w:w="60" w:type="dxa"/>
              <w:left w:w="80" w:type="dxa"/>
              <w:bottom w:w="60" w:type="dxa"/>
              <w:right w:w="80" w:type="dxa"/>
            </w:tcMar>
            <w:vAlign w:val="center"/>
          </w:tcPr>
          <w:p w14:paraId="6C66B84B" w14:textId="77777777" w:rsidR="0017052F" w:rsidRDefault="00000000">
            <w:r>
              <w:rPr>
                <w:color w:val="000000"/>
                <w:sz w:val="16"/>
                <w:szCs w:val="16"/>
              </w:rPr>
              <w:t>2</w:t>
            </w:r>
          </w:p>
        </w:tc>
        <w:tc>
          <w:tcPr>
            <w:tcW w:w="2350" w:type="dxa"/>
            <w:shd w:val="clear" w:color="auto" w:fill="F2F2F2"/>
            <w:tcMar>
              <w:top w:w="60" w:type="dxa"/>
              <w:left w:w="80" w:type="dxa"/>
              <w:bottom w:w="60" w:type="dxa"/>
              <w:right w:w="80" w:type="dxa"/>
            </w:tcMar>
            <w:vAlign w:val="center"/>
          </w:tcPr>
          <w:p w14:paraId="3BB9184C" w14:textId="7780A125" w:rsidR="0017052F" w:rsidRDefault="00ED5548">
            <w:r w:rsidRPr="00ED5548">
              <w:rPr>
                <w:color w:val="000000"/>
                <w:sz w:val="16"/>
                <w:szCs w:val="16"/>
              </w:rPr>
              <w:t>Zhu et al., IEEE ICETCI, 2024 [2]</w:t>
            </w:r>
          </w:p>
        </w:tc>
        <w:tc>
          <w:tcPr>
            <w:tcW w:w="3450" w:type="dxa"/>
            <w:shd w:val="clear" w:color="auto" w:fill="F2F2F2"/>
            <w:tcMar>
              <w:top w:w="60" w:type="dxa"/>
              <w:left w:w="80" w:type="dxa"/>
              <w:bottom w:w="60" w:type="dxa"/>
              <w:right w:w="80" w:type="dxa"/>
            </w:tcMar>
            <w:vAlign w:val="center"/>
          </w:tcPr>
          <w:p w14:paraId="46E5E99C" w14:textId="370D9466" w:rsidR="0017052F" w:rsidRDefault="00ED5548">
            <w:r w:rsidRPr="00ED5548">
              <w:rPr>
                <w:color w:val="000000"/>
                <w:sz w:val="16"/>
                <w:szCs w:val="16"/>
              </w:rPr>
              <w:t xml:space="preserve">Proposed </w:t>
            </w:r>
            <w:proofErr w:type="spellStart"/>
            <w:r w:rsidRPr="00ED5548">
              <w:rPr>
                <w:color w:val="000000"/>
                <w:sz w:val="16"/>
                <w:szCs w:val="16"/>
              </w:rPr>
              <w:t>LightGBM</w:t>
            </w:r>
            <w:proofErr w:type="spellEnd"/>
            <w:r w:rsidRPr="00ED5548">
              <w:rPr>
                <w:color w:val="000000"/>
                <w:sz w:val="16"/>
                <w:szCs w:val="16"/>
              </w:rPr>
              <w:t>–</w:t>
            </w:r>
            <w:proofErr w:type="spellStart"/>
            <w:r w:rsidRPr="00ED5548">
              <w:rPr>
                <w:color w:val="000000"/>
                <w:sz w:val="16"/>
                <w:szCs w:val="16"/>
              </w:rPr>
              <w:t>XGBoost</w:t>
            </w:r>
            <w:proofErr w:type="spellEnd"/>
            <w:r w:rsidRPr="00ED5548">
              <w:rPr>
                <w:color w:val="000000"/>
                <w:sz w:val="16"/>
                <w:szCs w:val="16"/>
              </w:rPr>
              <w:t>–</w:t>
            </w:r>
            <w:proofErr w:type="spellStart"/>
            <w:r w:rsidRPr="00ED5548">
              <w:rPr>
                <w:color w:val="000000"/>
                <w:sz w:val="16"/>
                <w:szCs w:val="16"/>
              </w:rPr>
              <w:t>LocalEnsemble</w:t>
            </w:r>
            <w:proofErr w:type="spellEnd"/>
            <w:r w:rsidRPr="00ED5548">
              <w:rPr>
                <w:color w:val="000000"/>
                <w:sz w:val="16"/>
                <w:szCs w:val="16"/>
              </w:rPr>
              <w:t xml:space="preserve"> stacking for credit-default prediction.</w:t>
            </w:r>
          </w:p>
        </w:tc>
        <w:tc>
          <w:tcPr>
            <w:tcW w:w="2870" w:type="dxa"/>
            <w:shd w:val="clear" w:color="auto" w:fill="F2F2F2"/>
            <w:tcMar>
              <w:top w:w="60" w:type="dxa"/>
              <w:left w:w="80" w:type="dxa"/>
              <w:bottom w:w="60" w:type="dxa"/>
              <w:right w:w="80" w:type="dxa"/>
            </w:tcMar>
            <w:vAlign w:val="center"/>
          </w:tcPr>
          <w:p w14:paraId="7D3FE2E1" w14:textId="5B40D05D" w:rsidR="0017052F" w:rsidRDefault="00ED5548">
            <w:r w:rsidRPr="00ED5548">
              <w:rPr>
                <w:color w:val="000000"/>
                <w:sz w:val="16"/>
                <w:szCs w:val="16"/>
              </w:rPr>
              <w:t>Did not include an explainability or decision-support layer.</w:t>
            </w:r>
          </w:p>
        </w:tc>
      </w:tr>
      <w:tr w:rsidR="0017052F" w14:paraId="78FFEA5B" w14:textId="77777777">
        <w:tc>
          <w:tcPr>
            <w:tcW w:w="430" w:type="dxa"/>
            <w:shd w:val="clear" w:color="auto" w:fill="FFFFFF"/>
            <w:tcMar>
              <w:top w:w="60" w:type="dxa"/>
              <w:left w:w="80" w:type="dxa"/>
              <w:bottom w:w="60" w:type="dxa"/>
              <w:right w:w="80" w:type="dxa"/>
            </w:tcMar>
            <w:vAlign w:val="center"/>
          </w:tcPr>
          <w:p w14:paraId="091C5EE3" w14:textId="77777777" w:rsidR="0017052F" w:rsidRDefault="00000000">
            <w:r>
              <w:rPr>
                <w:color w:val="000000"/>
                <w:sz w:val="16"/>
                <w:szCs w:val="16"/>
              </w:rPr>
              <w:t>3</w:t>
            </w:r>
          </w:p>
        </w:tc>
        <w:tc>
          <w:tcPr>
            <w:tcW w:w="2350" w:type="dxa"/>
            <w:shd w:val="clear" w:color="auto" w:fill="FFFFFF"/>
            <w:tcMar>
              <w:top w:w="60" w:type="dxa"/>
              <w:left w:w="80" w:type="dxa"/>
              <w:bottom w:w="60" w:type="dxa"/>
              <w:right w:w="80" w:type="dxa"/>
            </w:tcMar>
            <w:vAlign w:val="center"/>
          </w:tcPr>
          <w:p w14:paraId="2070EA28" w14:textId="7C14B78B" w:rsidR="0017052F" w:rsidRDefault="00ED5548">
            <w:proofErr w:type="spellStart"/>
            <w:r w:rsidRPr="00ED5548">
              <w:rPr>
                <w:color w:val="000000"/>
                <w:sz w:val="16"/>
                <w:szCs w:val="16"/>
              </w:rPr>
              <w:t>Vihurskyi</w:t>
            </w:r>
            <w:proofErr w:type="spellEnd"/>
            <w:r w:rsidRPr="00ED5548">
              <w:rPr>
                <w:color w:val="000000"/>
                <w:sz w:val="16"/>
                <w:szCs w:val="16"/>
              </w:rPr>
              <w:t>, IEEE ICDCECE, 2024 [3]</w:t>
            </w:r>
          </w:p>
        </w:tc>
        <w:tc>
          <w:tcPr>
            <w:tcW w:w="3450" w:type="dxa"/>
            <w:shd w:val="clear" w:color="auto" w:fill="FFFFFF"/>
            <w:tcMar>
              <w:top w:w="60" w:type="dxa"/>
              <w:left w:w="80" w:type="dxa"/>
              <w:bottom w:w="60" w:type="dxa"/>
              <w:right w:w="80" w:type="dxa"/>
            </w:tcMar>
            <w:vAlign w:val="center"/>
          </w:tcPr>
          <w:p w14:paraId="26D3C325" w14:textId="556CB8A5" w:rsidR="0017052F" w:rsidRDefault="00ED5548">
            <w:r w:rsidRPr="00ED5548">
              <w:rPr>
                <w:color w:val="000000"/>
                <w:sz w:val="16"/>
                <w:szCs w:val="16"/>
              </w:rPr>
              <w:t>Applied XAI to credit-card fraud/default detection to improve interpretability and analyst trust.</w:t>
            </w:r>
          </w:p>
        </w:tc>
        <w:tc>
          <w:tcPr>
            <w:tcW w:w="2870" w:type="dxa"/>
            <w:shd w:val="clear" w:color="auto" w:fill="FFFFFF"/>
            <w:tcMar>
              <w:top w:w="60" w:type="dxa"/>
              <w:left w:w="80" w:type="dxa"/>
              <w:bottom w:w="60" w:type="dxa"/>
              <w:right w:w="80" w:type="dxa"/>
            </w:tcMar>
            <w:vAlign w:val="center"/>
          </w:tcPr>
          <w:p w14:paraId="24F22847" w14:textId="690D8ADB" w:rsidR="0017052F" w:rsidRDefault="00ED5548">
            <w:r w:rsidRPr="00ED5548">
              <w:rPr>
                <w:color w:val="000000"/>
                <w:sz w:val="16"/>
                <w:szCs w:val="16"/>
              </w:rPr>
              <w:t>Used a single dataset and did not benchmark XAI across candidate models.</w:t>
            </w:r>
          </w:p>
        </w:tc>
      </w:tr>
      <w:tr w:rsidR="0017052F" w14:paraId="71D7622E" w14:textId="77777777">
        <w:tc>
          <w:tcPr>
            <w:tcW w:w="430" w:type="dxa"/>
            <w:shd w:val="clear" w:color="auto" w:fill="F2F2F2"/>
            <w:tcMar>
              <w:top w:w="60" w:type="dxa"/>
              <w:left w:w="80" w:type="dxa"/>
              <w:bottom w:w="60" w:type="dxa"/>
              <w:right w:w="80" w:type="dxa"/>
            </w:tcMar>
            <w:vAlign w:val="center"/>
          </w:tcPr>
          <w:p w14:paraId="0CCE989A" w14:textId="77777777" w:rsidR="0017052F" w:rsidRDefault="00000000">
            <w:r>
              <w:rPr>
                <w:color w:val="000000"/>
                <w:sz w:val="16"/>
                <w:szCs w:val="16"/>
              </w:rPr>
              <w:t>4</w:t>
            </w:r>
          </w:p>
        </w:tc>
        <w:tc>
          <w:tcPr>
            <w:tcW w:w="2350" w:type="dxa"/>
            <w:shd w:val="clear" w:color="auto" w:fill="F2F2F2"/>
            <w:tcMar>
              <w:top w:w="60" w:type="dxa"/>
              <w:left w:w="80" w:type="dxa"/>
              <w:bottom w:w="60" w:type="dxa"/>
              <w:right w:w="80" w:type="dxa"/>
            </w:tcMar>
            <w:vAlign w:val="center"/>
          </w:tcPr>
          <w:p w14:paraId="6CC10304" w14:textId="2ECB7AA8" w:rsidR="0017052F" w:rsidRDefault="00ED5548">
            <w:proofErr w:type="spellStart"/>
            <w:r w:rsidRPr="00ED5548">
              <w:rPr>
                <w:color w:val="000000"/>
                <w:sz w:val="16"/>
                <w:szCs w:val="16"/>
              </w:rPr>
              <w:t>Gonaygunta</w:t>
            </w:r>
            <w:proofErr w:type="spellEnd"/>
            <w:r w:rsidRPr="00ED5548">
              <w:rPr>
                <w:color w:val="000000"/>
                <w:sz w:val="16"/>
                <w:szCs w:val="16"/>
              </w:rPr>
              <w:t xml:space="preserve"> et al., IEEE SIEDS, 2025 [4]</w:t>
            </w:r>
          </w:p>
        </w:tc>
        <w:tc>
          <w:tcPr>
            <w:tcW w:w="3450" w:type="dxa"/>
            <w:shd w:val="clear" w:color="auto" w:fill="F2F2F2"/>
            <w:tcMar>
              <w:top w:w="60" w:type="dxa"/>
              <w:left w:w="80" w:type="dxa"/>
              <w:bottom w:w="60" w:type="dxa"/>
              <w:right w:w="80" w:type="dxa"/>
            </w:tcMar>
            <w:vAlign w:val="center"/>
          </w:tcPr>
          <w:p w14:paraId="439D9DB3" w14:textId="7AD270AB" w:rsidR="0017052F" w:rsidRDefault="00ED5548">
            <w:r w:rsidRPr="00ED5548">
              <w:rPr>
                <w:color w:val="000000"/>
                <w:sz w:val="16"/>
                <w:szCs w:val="16"/>
              </w:rPr>
              <w:t>Developed interpretable credit-scoring models using XAI for financial risk assessment.</w:t>
            </w:r>
          </w:p>
        </w:tc>
        <w:tc>
          <w:tcPr>
            <w:tcW w:w="2870" w:type="dxa"/>
            <w:shd w:val="clear" w:color="auto" w:fill="F2F2F2"/>
            <w:tcMar>
              <w:top w:w="60" w:type="dxa"/>
              <w:left w:w="80" w:type="dxa"/>
              <w:bottom w:w="60" w:type="dxa"/>
              <w:right w:w="80" w:type="dxa"/>
            </w:tcMar>
            <w:vAlign w:val="center"/>
          </w:tcPr>
          <w:p w14:paraId="10B7AF93" w14:textId="5E724574" w:rsidR="0017052F" w:rsidRDefault="00ED5548">
            <w:r w:rsidRPr="00ED5548">
              <w:rPr>
                <w:color w:val="000000"/>
                <w:sz w:val="16"/>
                <w:szCs w:val="16"/>
              </w:rPr>
              <w:t>Focused on metrics and interpretability without a dashboard or decision-support layer.</w:t>
            </w:r>
          </w:p>
        </w:tc>
      </w:tr>
      <w:tr w:rsidR="0017052F" w14:paraId="04A1D80C" w14:textId="77777777">
        <w:tc>
          <w:tcPr>
            <w:tcW w:w="430" w:type="dxa"/>
            <w:shd w:val="clear" w:color="auto" w:fill="FFFFFF"/>
            <w:tcMar>
              <w:top w:w="60" w:type="dxa"/>
              <w:left w:w="80" w:type="dxa"/>
              <w:bottom w:w="60" w:type="dxa"/>
              <w:right w:w="80" w:type="dxa"/>
            </w:tcMar>
            <w:vAlign w:val="center"/>
          </w:tcPr>
          <w:p w14:paraId="6EDE7F5C" w14:textId="77777777" w:rsidR="0017052F" w:rsidRDefault="00000000">
            <w:r>
              <w:rPr>
                <w:color w:val="000000"/>
                <w:sz w:val="16"/>
                <w:szCs w:val="16"/>
              </w:rPr>
              <w:t>5</w:t>
            </w:r>
          </w:p>
        </w:tc>
        <w:tc>
          <w:tcPr>
            <w:tcW w:w="2350" w:type="dxa"/>
            <w:shd w:val="clear" w:color="auto" w:fill="FFFFFF"/>
            <w:tcMar>
              <w:top w:w="60" w:type="dxa"/>
              <w:left w:w="80" w:type="dxa"/>
              <w:bottom w:w="60" w:type="dxa"/>
              <w:right w:w="80" w:type="dxa"/>
            </w:tcMar>
            <w:vAlign w:val="center"/>
          </w:tcPr>
          <w:p w14:paraId="68C8E7FA" w14:textId="117E2377" w:rsidR="0017052F" w:rsidRDefault="00ED5548">
            <w:proofErr w:type="spellStart"/>
            <w:r w:rsidRPr="00ED5548">
              <w:rPr>
                <w:color w:val="000000"/>
                <w:sz w:val="16"/>
                <w:szCs w:val="16"/>
              </w:rPr>
              <w:t>Hartomo</w:t>
            </w:r>
            <w:proofErr w:type="spellEnd"/>
            <w:r w:rsidRPr="00ED5548">
              <w:rPr>
                <w:color w:val="000000"/>
                <w:sz w:val="16"/>
                <w:szCs w:val="16"/>
              </w:rPr>
              <w:t>, Arthur &amp; Nataliani, IEEE Access, 2025 [5]</w:t>
            </w:r>
          </w:p>
        </w:tc>
        <w:tc>
          <w:tcPr>
            <w:tcW w:w="3450" w:type="dxa"/>
            <w:shd w:val="clear" w:color="auto" w:fill="FFFFFF"/>
            <w:tcMar>
              <w:top w:w="60" w:type="dxa"/>
              <w:left w:w="80" w:type="dxa"/>
              <w:bottom w:w="60" w:type="dxa"/>
              <w:right w:w="80" w:type="dxa"/>
            </w:tcMar>
            <w:vAlign w:val="center"/>
          </w:tcPr>
          <w:p w14:paraId="7E784FE3" w14:textId="03D1ACD5" w:rsidR="0017052F" w:rsidRDefault="00ED5548">
            <w:r w:rsidRPr="00ED5548">
              <w:rPr>
                <w:color w:val="000000"/>
                <w:sz w:val="16"/>
                <w:szCs w:val="16"/>
              </w:rPr>
              <w:t xml:space="preserve">Proposed a weighted-loss </w:t>
            </w:r>
            <w:proofErr w:type="spellStart"/>
            <w:r w:rsidRPr="00ED5548">
              <w:rPr>
                <w:color w:val="000000"/>
                <w:sz w:val="16"/>
                <w:szCs w:val="16"/>
              </w:rPr>
              <w:t>TabTransformer</w:t>
            </w:r>
            <w:proofErr w:type="spellEnd"/>
            <w:r w:rsidRPr="00ED5548">
              <w:rPr>
                <w:color w:val="000000"/>
                <w:sz w:val="16"/>
                <w:szCs w:val="16"/>
              </w:rPr>
              <w:t xml:space="preserve"> with explainability for imbalanced credit-risk prediction.</w:t>
            </w:r>
          </w:p>
        </w:tc>
        <w:tc>
          <w:tcPr>
            <w:tcW w:w="2870" w:type="dxa"/>
            <w:shd w:val="clear" w:color="auto" w:fill="FFFFFF"/>
            <w:tcMar>
              <w:top w:w="60" w:type="dxa"/>
              <w:left w:w="80" w:type="dxa"/>
              <w:bottom w:w="60" w:type="dxa"/>
              <w:right w:w="80" w:type="dxa"/>
            </w:tcMar>
            <w:vAlign w:val="center"/>
          </w:tcPr>
          <w:p w14:paraId="689DB125" w14:textId="6EBA1AF3" w:rsidR="0017052F" w:rsidRDefault="00281778">
            <w:r w:rsidRPr="00281778">
              <w:rPr>
                <w:color w:val="000000"/>
                <w:sz w:val="16"/>
                <w:szCs w:val="16"/>
              </w:rPr>
              <w:t>Evaluated on a single dataset and involved a transparency–accuracy trade-off.</w:t>
            </w:r>
          </w:p>
        </w:tc>
      </w:tr>
    </w:tbl>
    <w:p w14:paraId="4FEA04A6" w14:textId="72D5B0BF" w:rsidR="0017052F" w:rsidRDefault="00000000">
      <w:pPr>
        <w:spacing w:before="80" w:after="200"/>
        <w:jc w:val="center"/>
      </w:pPr>
      <w:r>
        <w:rPr>
          <w:i/>
          <w:iCs/>
          <w:sz w:val="18"/>
          <w:szCs w:val="18"/>
        </w:rPr>
        <w:t xml:space="preserve">Table 1. [ </w:t>
      </w:r>
      <w:r w:rsidR="00281778" w:rsidRPr="00281778">
        <w:rPr>
          <w:i/>
          <w:iCs/>
          <w:sz w:val="18"/>
          <w:szCs w:val="18"/>
        </w:rPr>
        <w:t>Comparison of representative studies based on their key contributions and limitations.</w:t>
      </w:r>
      <w:r>
        <w:rPr>
          <w:i/>
          <w:iCs/>
          <w:sz w:val="18"/>
          <w:szCs w:val="18"/>
        </w:rPr>
        <w:t>]</w:t>
      </w:r>
    </w:p>
    <w:p w14:paraId="5FC1284C" w14:textId="77777777" w:rsidR="0017052F" w:rsidRDefault="0017052F">
      <w:pPr>
        <w:sectPr w:rsidR="0017052F">
          <w:footerReference w:type="default" r:id="rId9"/>
          <w:type w:val="continuous"/>
          <w:pgSz w:w="12240" w:h="15840"/>
          <w:pgMar w:top="1080" w:right="1080" w:bottom="1080" w:left="1080" w:header="708" w:footer="708" w:gutter="0"/>
          <w:cols w:space="432"/>
          <w:docGrid w:linePitch="360"/>
        </w:sectPr>
      </w:pPr>
    </w:p>
    <w:p w14:paraId="1033DD34" w14:textId="77777777" w:rsidR="0017052F" w:rsidRDefault="00000000">
      <w:pPr>
        <w:keepNext/>
        <w:spacing w:before="180" w:after="100"/>
      </w:pPr>
      <w:r>
        <w:rPr>
          <w:b/>
          <w:bCs/>
          <w:i/>
          <w:iCs/>
        </w:rPr>
        <w:t>2.6 Research Gap (Summary)</w:t>
      </w:r>
    </w:p>
    <w:p w14:paraId="436D9C6A" w14:textId="77777777" w:rsidR="00ED5548" w:rsidRPr="00ED5548" w:rsidRDefault="00ED5548">
      <w:pPr>
        <w:keepNext/>
        <w:spacing w:before="260" w:after="120"/>
        <w:rPr>
          <w:i/>
          <w:iCs/>
          <w:color w:val="0D0D0D" w:themeColor="text1" w:themeTint="F2"/>
          <w:sz w:val="19"/>
          <w:szCs w:val="19"/>
        </w:rPr>
      </w:pPr>
      <w:r w:rsidRPr="00ED5548">
        <w:rPr>
          <w:i/>
          <w:iCs/>
          <w:color w:val="0D0D0D" w:themeColor="text1" w:themeTint="F2"/>
          <w:sz w:val="19"/>
          <w:szCs w:val="19"/>
        </w:rPr>
        <w:t xml:space="preserve">The reviewed studies show four main gaps: limited multi-dataset validation, explainability often being applied at a later stage, a trade-off between predictive performance and interpretability, and limited practical decision-support or visualization. To address these gaps, the proposed work considers three credit datasets and compares five machine-learning models—Logistic Regression, Decision Tree, Random Forest, </w:t>
      </w:r>
      <w:proofErr w:type="spellStart"/>
      <w:r w:rsidRPr="00ED5548">
        <w:rPr>
          <w:i/>
          <w:iCs/>
          <w:color w:val="0D0D0D" w:themeColor="text1" w:themeTint="F2"/>
          <w:sz w:val="19"/>
          <w:szCs w:val="19"/>
        </w:rPr>
        <w:t>XGBoost</w:t>
      </w:r>
      <w:proofErr w:type="spellEnd"/>
      <w:r w:rsidRPr="00ED5548">
        <w:rPr>
          <w:i/>
          <w:iCs/>
          <w:color w:val="0D0D0D" w:themeColor="text1" w:themeTint="F2"/>
          <w:sz w:val="19"/>
          <w:szCs w:val="19"/>
        </w:rPr>
        <w:t xml:space="preserve">, and </w:t>
      </w:r>
      <w:proofErr w:type="spellStart"/>
      <w:r w:rsidRPr="00ED5548">
        <w:rPr>
          <w:i/>
          <w:iCs/>
          <w:color w:val="0D0D0D" w:themeColor="text1" w:themeTint="F2"/>
          <w:sz w:val="19"/>
          <w:szCs w:val="19"/>
        </w:rPr>
        <w:t>CatBoost</w:t>
      </w:r>
      <w:proofErr w:type="spellEnd"/>
      <w:r w:rsidRPr="00ED5548">
        <w:rPr>
          <w:i/>
          <w:iCs/>
          <w:color w:val="0D0D0D" w:themeColor="text1" w:themeTint="F2"/>
          <w:sz w:val="19"/>
          <w:szCs w:val="19"/>
        </w:rPr>
        <w:t>—while incorporating SHAP, LIME, and a visualization dashboard.</w:t>
      </w:r>
    </w:p>
    <w:p w14:paraId="643E9A81" w14:textId="0851C134" w:rsidR="0017052F" w:rsidRDefault="00000000">
      <w:pPr>
        <w:keepNext/>
        <w:spacing w:before="260" w:after="120"/>
      </w:pPr>
      <w:r>
        <w:rPr>
          <w:b/>
          <w:bCs/>
          <w:color w:val="1F3864"/>
          <w:sz w:val="21"/>
          <w:szCs w:val="21"/>
        </w:rPr>
        <w:t>3. PROPOSED METHODOLOGY</w:t>
      </w:r>
    </w:p>
    <w:p w14:paraId="50BA3F1F" w14:textId="77777777" w:rsidR="0017052F" w:rsidRDefault="00000000">
      <w:pPr>
        <w:keepNext/>
        <w:spacing w:before="180" w:after="100"/>
      </w:pPr>
      <w:r>
        <w:rPr>
          <w:b/>
          <w:bCs/>
          <w:i/>
          <w:iCs/>
        </w:rPr>
        <w:t>3.1 Overall Framework</w:t>
      </w:r>
    </w:p>
    <w:p w14:paraId="3C000408" w14:textId="77777777" w:rsidR="00281778" w:rsidRPr="00281778" w:rsidRDefault="00281778" w:rsidP="00281778">
      <w:pPr>
        <w:spacing w:before="160" w:after="40"/>
        <w:jc w:val="center"/>
        <w:rPr>
          <w:i/>
          <w:iCs/>
          <w:color w:val="0D0D0D" w:themeColor="text1" w:themeTint="F2"/>
          <w:sz w:val="19"/>
          <w:szCs w:val="19"/>
        </w:rPr>
      </w:pPr>
      <w:r w:rsidRPr="00281778">
        <w:rPr>
          <w:i/>
          <w:iCs/>
          <w:color w:val="0D0D0D" w:themeColor="text1" w:themeTint="F2"/>
          <w:sz w:val="19"/>
          <w:szCs w:val="19"/>
        </w:rPr>
        <w:t xml:space="preserve">The proposed framework follows an end-to-end pipeline for explainable loan-default prediction. Three benchmark datasets—Lending Club, </w:t>
      </w:r>
      <w:proofErr w:type="spellStart"/>
      <w:r w:rsidRPr="00281778">
        <w:rPr>
          <w:i/>
          <w:iCs/>
          <w:color w:val="0D0D0D" w:themeColor="text1" w:themeTint="F2"/>
          <w:sz w:val="19"/>
          <w:szCs w:val="19"/>
        </w:rPr>
        <w:t>Statlog</w:t>
      </w:r>
      <w:proofErr w:type="spellEnd"/>
      <w:r w:rsidRPr="00281778">
        <w:rPr>
          <w:i/>
          <w:iCs/>
          <w:color w:val="0D0D0D" w:themeColor="text1" w:themeTint="F2"/>
          <w:sz w:val="19"/>
          <w:szCs w:val="19"/>
        </w:rPr>
        <w:t xml:space="preserve"> German Credit, and Home Credit—are first collected and prepared for analysis. The data then undergo cleaning and exploratory data analysis using more than 12 analytical techniques. Risk-aware features such as debt-to-income ratio, credit utilization, and repayment consistency are engineered before model development. Five machine-learning models are then trained and compared: Logistic Regression, Decision Tree, Random Forest, </w:t>
      </w:r>
      <w:proofErr w:type="spellStart"/>
      <w:r w:rsidRPr="00281778">
        <w:rPr>
          <w:i/>
          <w:iCs/>
          <w:color w:val="0D0D0D" w:themeColor="text1" w:themeTint="F2"/>
          <w:sz w:val="19"/>
          <w:szCs w:val="19"/>
        </w:rPr>
        <w:t>XGBoost</w:t>
      </w:r>
      <w:proofErr w:type="spellEnd"/>
      <w:r w:rsidRPr="00281778">
        <w:rPr>
          <w:i/>
          <w:iCs/>
          <w:color w:val="0D0D0D" w:themeColor="text1" w:themeTint="F2"/>
          <w:sz w:val="19"/>
          <w:szCs w:val="19"/>
        </w:rPr>
        <w:t xml:space="preserve">, and </w:t>
      </w:r>
      <w:proofErr w:type="spellStart"/>
      <w:r w:rsidRPr="00281778">
        <w:rPr>
          <w:i/>
          <w:iCs/>
          <w:color w:val="0D0D0D" w:themeColor="text1" w:themeTint="F2"/>
          <w:sz w:val="19"/>
          <w:szCs w:val="19"/>
        </w:rPr>
        <w:t>CatBoost</w:t>
      </w:r>
      <w:proofErr w:type="spellEnd"/>
      <w:r w:rsidRPr="00281778">
        <w:rPr>
          <w:i/>
          <w:iCs/>
          <w:color w:val="0D0D0D" w:themeColor="text1" w:themeTint="F2"/>
          <w:sz w:val="19"/>
          <w:szCs w:val="19"/>
        </w:rPr>
        <w:t>. SHAP and LIME are used for explainability, followed by a visualization dashboard that presents prediction results and their explanations. The models are evaluated using Accuracy, Precision, Recall, F1-score, and ROC-AUC.</w:t>
      </w:r>
    </w:p>
    <w:p w14:paraId="70150DCF" w14:textId="77777777" w:rsidR="0017052F" w:rsidRDefault="0017052F">
      <w:pPr>
        <w:spacing w:before="160" w:after="40"/>
        <w:jc w:val="center"/>
      </w:pPr>
    </w:p>
    <w:tbl>
      <w:tblPr>
        <w:tblW w:w="4814" w:type="dxa"/>
        <w:jc w:val="center"/>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14"/>
      </w:tblGrid>
      <w:tr w:rsidR="0017052F" w14:paraId="3F06FD9D" w14:textId="77777777" w:rsidTr="00834538">
        <w:trPr>
          <w:jc w:val="center"/>
        </w:trPr>
        <w:tc>
          <w:tcPr>
            <w:tcW w:w="0" w:type="auto"/>
          </w:tcPr>
          <w:p w14:paraId="72BFB170" w14:textId="20727DB7" w:rsidR="0017052F" w:rsidRDefault="00834538">
            <w:pPr>
              <w:jc w:val="center"/>
            </w:pPr>
            <w:r w:rsidRPr="00834538">
              <w:rPr>
                <w:noProof/>
              </w:rPr>
              <w:drawing>
                <wp:inline distT="0" distB="0" distL="0" distR="0" wp14:anchorId="634DA953" wp14:editId="3565B8CF">
                  <wp:extent cx="3063240" cy="2907030"/>
                  <wp:effectExtent l="0" t="0" r="3810" b="7620"/>
                  <wp:docPr id="171046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67949" name=""/>
                          <pic:cNvPicPr/>
                        </pic:nvPicPr>
                        <pic:blipFill>
                          <a:blip r:embed="rId10"/>
                          <a:stretch>
                            <a:fillRect/>
                          </a:stretch>
                        </pic:blipFill>
                        <pic:spPr>
                          <a:xfrm>
                            <a:off x="0" y="0"/>
                            <a:ext cx="3063240" cy="2907030"/>
                          </a:xfrm>
                          <a:prstGeom prst="rect">
                            <a:avLst/>
                          </a:prstGeom>
                        </pic:spPr>
                      </pic:pic>
                    </a:graphicData>
                  </a:graphic>
                </wp:inline>
              </w:drawing>
            </w:r>
          </w:p>
        </w:tc>
      </w:tr>
      <w:tr w:rsidR="0017052F" w14:paraId="458EEC2F" w14:textId="77777777" w:rsidTr="00834538">
        <w:trPr>
          <w:jc w:val="center"/>
        </w:trPr>
        <w:tc>
          <w:tcPr>
            <w:tcW w:w="0" w:type="auto"/>
          </w:tcPr>
          <w:p w14:paraId="0A3C477B" w14:textId="77777777" w:rsidR="0017052F" w:rsidRDefault="0017052F">
            <w:pPr>
              <w:jc w:val="center"/>
            </w:pPr>
          </w:p>
        </w:tc>
      </w:tr>
      <w:tr w:rsidR="0017052F" w14:paraId="1D27A67D" w14:textId="77777777" w:rsidTr="00834538">
        <w:trPr>
          <w:jc w:val="center"/>
        </w:trPr>
        <w:tc>
          <w:tcPr>
            <w:tcW w:w="0" w:type="auto"/>
          </w:tcPr>
          <w:p w14:paraId="1707B140" w14:textId="77777777" w:rsidR="0017052F" w:rsidRDefault="0017052F">
            <w:pPr>
              <w:jc w:val="center"/>
            </w:pPr>
          </w:p>
        </w:tc>
      </w:tr>
      <w:tr w:rsidR="0017052F" w14:paraId="26E47C60" w14:textId="77777777" w:rsidTr="00834538">
        <w:trPr>
          <w:jc w:val="center"/>
        </w:trPr>
        <w:tc>
          <w:tcPr>
            <w:tcW w:w="0" w:type="auto"/>
          </w:tcPr>
          <w:p w14:paraId="152AD2C5" w14:textId="5952D80B" w:rsidR="0017052F" w:rsidRDefault="0017052F" w:rsidP="00834538"/>
        </w:tc>
      </w:tr>
      <w:tr w:rsidR="0017052F" w14:paraId="39B8BF3E" w14:textId="77777777" w:rsidTr="00834538">
        <w:trPr>
          <w:jc w:val="center"/>
        </w:trPr>
        <w:tc>
          <w:tcPr>
            <w:tcW w:w="0" w:type="auto"/>
          </w:tcPr>
          <w:p w14:paraId="26843A2E" w14:textId="77777777" w:rsidR="0017052F" w:rsidRDefault="0017052F">
            <w:pPr>
              <w:jc w:val="center"/>
            </w:pPr>
          </w:p>
        </w:tc>
      </w:tr>
      <w:tr w:rsidR="0017052F" w14:paraId="7291D7D6" w14:textId="77777777" w:rsidTr="00834538">
        <w:trPr>
          <w:jc w:val="center"/>
        </w:trPr>
        <w:tc>
          <w:tcPr>
            <w:tcW w:w="0" w:type="auto"/>
          </w:tcPr>
          <w:p w14:paraId="7F8D80C4" w14:textId="77777777" w:rsidR="0017052F" w:rsidRDefault="0017052F">
            <w:pPr>
              <w:jc w:val="center"/>
            </w:pPr>
          </w:p>
        </w:tc>
      </w:tr>
      <w:tr w:rsidR="0017052F" w14:paraId="3122B664" w14:textId="77777777" w:rsidTr="00834538">
        <w:trPr>
          <w:jc w:val="center"/>
        </w:trPr>
        <w:tc>
          <w:tcPr>
            <w:tcW w:w="0" w:type="auto"/>
          </w:tcPr>
          <w:p w14:paraId="601217AA" w14:textId="77777777" w:rsidR="0017052F" w:rsidRDefault="0017052F">
            <w:pPr>
              <w:jc w:val="center"/>
            </w:pPr>
          </w:p>
        </w:tc>
      </w:tr>
    </w:tbl>
    <w:p w14:paraId="75B2B265" w14:textId="77777777" w:rsidR="00834538" w:rsidRDefault="00834538">
      <w:pPr>
        <w:keepNext/>
        <w:spacing w:before="180" w:after="100"/>
        <w:rPr>
          <w:i/>
          <w:iCs/>
          <w:sz w:val="18"/>
          <w:szCs w:val="18"/>
        </w:rPr>
      </w:pPr>
      <w:r w:rsidRPr="00834538">
        <w:rPr>
          <w:i/>
          <w:iCs/>
          <w:sz w:val="18"/>
          <w:szCs w:val="18"/>
        </w:rPr>
        <w:lastRenderedPageBreak/>
        <w:t>Fig. 1. Overall framework for loan-default prediction using data preprocessing, exploratory analysis, feature engineering, machine-learning models, explainability, and visualization.</w:t>
      </w:r>
    </w:p>
    <w:p w14:paraId="446AD31D" w14:textId="77777777" w:rsidR="00834538" w:rsidRDefault="00834538">
      <w:pPr>
        <w:keepNext/>
        <w:spacing w:before="180" w:after="100"/>
        <w:rPr>
          <w:i/>
          <w:iCs/>
          <w:sz w:val="18"/>
          <w:szCs w:val="18"/>
        </w:rPr>
      </w:pPr>
    </w:p>
    <w:p w14:paraId="12B89CA3" w14:textId="6372C134" w:rsidR="0017052F" w:rsidRDefault="00000000">
      <w:pPr>
        <w:keepNext/>
        <w:spacing w:before="180" w:after="100"/>
      </w:pPr>
      <w:r>
        <w:rPr>
          <w:b/>
          <w:bCs/>
          <w:i/>
          <w:iCs/>
        </w:rPr>
        <w:t>3.2 Dataset(s)</w:t>
      </w:r>
    </w:p>
    <w:p w14:paraId="3C0A3190" w14:textId="77777777" w:rsidR="00437BF2" w:rsidRPr="00437BF2" w:rsidRDefault="00437BF2" w:rsidP="00437BF2">
      <w:pPr>
        <w:keepNext/>
        <w:spacing w:before="180" w:after="100"/>
        <w:rPr>
          <w:i/>
          <w:iCs/>
          <w:color w:val="0D0D0D" w:themeColor="text1" w:themeTint="F2"/>
          <w:sz w:val="19"/>
          <w:szCs w:val="19"/>
        </w:rPr>
      </w:pPr>
      <w:r w:rsidRPr="00437BF2">
        <w:rPr>
          <w:i/>
          <w:iCs/>
          <w:color w:val="0D0D0D" w:themeColor="text1" w:themeTint="F2"/>
          <w:sz w:val="19"/>
          <w:szCs w:val="19"/>
        </w:rPr>
        <w:t xml:space="preserve">• </w:t>
      </w:r>
      <w:r w:rsidRPr="00437BF2">
        <w:rPr>
          <w:b/>
          <w:bCs/>
          <w:i/>
          <w:iCs/>
          <w:color w:val="0D0D0D" w:themeColor="text1" w:themeTint="F2"/>
          <w:sz w:val="19"/>
          <w:szCs w:val="19"/>
        </w:rPr>
        <w:t>Lending Club Dataset</w:t>
      </w:r>
      <w:r w:rsidRPr="00437BF2">
        <w:rPr>
          <w:i/>
          <w:iCs/>
          <w:color w:val="0D0D0D" w:themeColor="text1" w:themeTint="F2"/>
          <w:sz w:val="19"/>
          <w:szCs w:val="19"/>
        </w:rPr>
        <w:t xml:space="preserve"> — </w:t>
      </w:r>
      <w:r w:rsidRPr="00437BF2">
        <w:rPr>
          <w:b/>
          <w:bCs/>
          <w:i/>
          <w:iCs/>
          <w:color w:val="0D0D0D" w:themeColor="text1" w:themeTint="F2"/>
          <w:sz w:val="19"/>
          <w:szCs w:val="19"/>
        </w:rPr>
        <w:t>Source:</w:t>
      </w:r>
      <w:r w:rsidRPr="00437BF2">
        <w:rPr>
          <w:i/>
          <w:iCs/>
          <w:color w:val="0D0D0D" w:themeColor="text1" w:themeTint="F2"/>
          <w:sz w:val="19"/>
          <w:szCs w:val="19"/>
        </w:rPr>
        <w:t xml:space="preserve"> Lending Club public loan data. </w:t>
      </w:r>
      <w:r w:rsidRPr="00437BF2">
        <w:rPr>
          <w:b/>
          <w:bCs/>
          <w:i/>
          <w:iCs/>
          <w:color w:val="0D0D0D" w:themeColor="text1" w:themeTint="F2"/>
          <w:sz w:val="19"/>
          <w:szCs w:val="19"/>
        </w:rPr>
        <w:t>Description:</w:t>
      </w:r>
      <w:r w:rsidRPr="00437BF2">
        <w:rPr>
          <w:i/>
          <w:iCs/>
          <w:color w:val="0D0D0D" w:themeColor="text1" w:themeTint="F2"/>
          <w:sz w:val="19"/>
          <w:szCs w:val="19"/>
        </w:rPr>
        <w:t xml:space="preserve"> Contains borrower and loan-related information used to analyse consumer loan repayment and default risk. It was selected to represent a large-scale consumer lending environment.</w:t>
      </w:r>
    </w:p>
    <w:p w14:paraId="6E1C262B" w14:textId="77777777" w:rsidR="00437BF2" w:rsidRPr="00437BF2" w:rsidRDefault="00437BF2" w:rsidP="00437BF2">
      <w:pPr>
        <w:keepNext/>
        <w:spacing w:before="180" w:after="100"/>
        <w:rPr>
          <w:i/>
          <w:iCs/>
          <w:color w:val="0D0D0D" w:themeColor="text1" w:themeTint="F2"/>
          <w:sz w:val="19"/>
          <w:szCs w:val="19"/>
        </w:rPr>
      </w:pPr>
      <w:r w:rsidRPr="00437BF2">
        <w:rPr>
          <w:i/>
          <w:iCs/>
          <w:color w:val="0D0D0D" w:themeColor="text1" w:themeTint="F2"/>
          <w:sz w:val="19"/>
          <w:szCs w:val="19"/>
        </w:rPr>
        <w:t xml:space="preserve">• </w:t>
      </w:r>
      <w:proofErr w:type="spellStart"/>
      <w:r w:rsidRPr="00437BF2">
        <w:rPr>
          <w:b/>
          <w:bCs/>
          <w:i/>
          <w:iCs/>
          <w:color w:val="0D0D0D" w:themeColor="text1" w:themeTint="F2"/>
          <w:sz w:val="19"/>
          <w:szCs w:val="19"/>
        </w:rPr>
        <w:t>Statlog</w:t>
      </w:r>
      <w:proofErr w:type="spellEnd"/>
      <w:r w:rsidRPr="00437BF2">
        <w:rPr>
          <w:b/>
          <w:bCs/>
          <w:i/>
          <w:iCs/>
          <w:color w:val="0D0D0D" w:themeColor="text1" w:themeTint="F2"/>
          <w:sz w:val="19"/>
          <w:szCs w:val="19"/>
        </w:rPr>
        <w:t xml:space="preserve"> German Credit Dataset</w:t>
      </w:r>
      <w:r w:rsidRPr="00437BF2">
        <w:rPr>
          <w:i/>
          <w:iCs/>
          <w:color w:val="0D0D0D" w:themeColor="text1" w:themeTint="F2"/>
          <w:sz w:val="19"/>
          <w:szCs w:val="19"/>
        </w:rPr>
        <w:t xml:space="preserve"> — </w:t>
      </w:r>
      <w:r w:rsidRPr="00437BF2">
        <w:rPr>
          <w:b/>
          <w:bCs/>
          <w:i/>
          <w:iCs/>
          <w:color w:val="0D0D0D" w:themeColor="text1" w:themeTint="F2"/>
          <w:sz w:val="19"/>
          <w:szCs w:val="19"/>
        </w:rPr>
        <w:t>Source:</w:t>
      </w:r>
      <w:r w:rsidRPr="00437BF2">
        <w:rPr>
          <w:i/>
          <w:iCs/>
          <w:color w:val="0D0D0D" w:themeColor="text1" w:themeTint="F2"/>
          <w:sz w:val="19"/>
          <w:szCs w:val="19"/>
        </w:rPr>
        <w:t xml:space="preserve"> UCI Machine Learning Repository. </w:t>
      </w:r>
      <w:r w:rsidRPr="00437BF2">
        <w:rPr>
          <w:b/>
          <w:bCs/>
          <w:i/>
          <w:iCs/>
          <w:color w:val="0D0D0D" w:themeColor="text1" w:themeTint="F2"/>
          <w:sz w:val="19"/>
          <w:szCs w:val="19"/>
        </w:rPr>
        <w:t>Description:</w:t>
      </w:r>
      <w:r w:rsidRPr="00437BF2">
        <w:rPr>
          <w:i/>
          <w:iCs/>
          <w:color w:val="0D0D0D" w:themeColor="text1" w:themeTint="F2"/>
          <w:sz w:val="19"/>
          <w:szCs w:val="19"/>
        </w:rPr>
        <w:t xml:space="preserve"> A standard credit-scoring dataset containing borrower financial and credit-related attributes with a credit-risk classification. It was selected as a classical benchmark for credit-risk prediction.</w:t>
      </w:r>
    </w:p>
    <w:p w14:paraId="48F13D0D" w14:textId="77777777" w:rsidR="00437BF2" w:rsidRPr="00437BF2" w:rsidRDefault="00437BF2" w:rsidP="00437BF2">
      <w:pPr>
        <w:keepNext/>
        <w:spacing w:before="180" w:after="100"/>
        <w:rPr>
          <w:i/>
          <w:iCs/>
          <w:color w:val="0D0D0D" w:themeColor="text1" w:themeTint="F2"/>
          <w:sz w:val="19"/>
          <w:szCs w:val="19"/>
        </w:rPr>
      </w:pPr>
      <w:r w:rsidRPr="00437BF2">
        <w:rPr>
          <w:i/>
          <w:iCs/>
          <w:color w:val="0D0D0D" w:themeColor="text1" w:themeTint="F2"/>
          <w:sz w:val="19"/>
          <w:szCs w:val="19"/>
        </w:rPr>
        <w:t xml:space="preserve">• </w:t>
      </w:r>
      <w:r w:rsidRPr="00437BF2">
        <w:rPr>
          <w:b/>
          <w:bCs/>
          <w:i/>
          <w:iCs/>
          <w:color w:val="0D0D0D" w:themeColor="text1" w:themeTint="F2"/>
          <w:sz w:val="19"/>
          <w:szCs w:val="19"/>
        </w:rPr>
        <w:t>Home Credit Dataset</w:t>
      </w:r>
      <w:r w:rsidRPr="00437BF2">
        <w:rPr>
          <w:i/>
          <w:iCs/>
          <w:color w:val="0D0D0D" w:themeColor="text1" w:themeTint="F2"/>
          <w:sz w:val="19"/>
          <w:szCs w:val="19"/>
        </w:rPr>
        <w:t xml:space="preserve"> — </w:t>
      </w:r>
      <w:r w:rsidRPr="00437BF2">
        <w:rPr>
          <w:b/>
          <w:bCs/>
          <w:i/>
          <w:iCs/>
          <w:color w:val="0D0D0D" w:themeColor="text1" w:themeTint="F2"/>
          <w:sz w:val="19"/>
          <w:szCs w:val="19"/>
        </w:rPr>
        <w:t>Source:</w:t>
      </w:r>
      <w:r w:rsidRPr="00437BF2">
        <w:rPr>
          <w:i/>
          <w:iCs/>
          <w:color w:val="0D0D0D" w:themeColor="text1" w:themeTint="F2"/>
          <w:sz w:val="19"/>
          <w:szCs w:val="19"/>
        </w:rPr>
        <w:t xml:space="preserve"> Home Credit public dataset. </w:t>
      </w:r>
      <w:r w:rsidRPr="00437BF2">
        <w:rPr>
          <w:b/>
          <w:bCs/>
          <w:i/>
          <w:iCs/>
          <w:color w:val="0D0D0D" w:themeColor="text1" w:themeTint="F2"/>
          <w:sz w:val="19"/>
          <w:szCs w:val="19"/>
        </w:rPr>
        <w:t>Description:</w:t>
      </w:r>
      <w:r w:rsidRPr="00437BF2">
        <w:rPr>
          <w:i/>
          <w:iCs/>
          <w:color w:val="0D0D0D" w:themeColor="text1" w:themeTint="F2"/>
          <w:sz w:val="19"/>
          <w:szCs w:val="19"/>
        </w:rPr>
        <w:t xml:space="preserve"> Contains consumer-finance information used for predicting loan repayment difficulties. It was selected to evaluate the proposed models on a different credit-risk environment and to support comparison with previous Home Credit research.</w:t>
      </w:r>
    </w:p>
    <w:p w14:paraId="69BFF842" w14:textId="77777777" w:rsidR="00437BF2" w:rsidRPr="00437BF2" w:rsidRDefault="00437BF2" w:rsidP="00437BF2">
      <w:pPr>
        <w:keepNext/>
        <w:spacing w:before="180" w:after="100"/>
        <w:rPr>
          <w:i/>
          <w:iCs/>
          <w:color w:val="0D0D0D" w:themeColor="text1" w:themeTint="F2"/>
          <w:sz w:val="19"/>
          <w:szCs w:val="19"/>
        </w:rPr>
      </w:pPr>
      <w:r w:rsidRPr="00437BF2">
        <w:rPr>
          <w:i/>
          <w:iCs/>
          <w:color w:val="0D0D0D" w:themeColor="text1" w:themeTint="F2"/>
          <w:sz w:val="19"/>
          <w:szCs w:val="19"/>
        </w:rPr>
        <w:t>The three datasets are analysed through a common preprocessing, modelling, evaluation, and explainability pipeline. The project uses multiple datasets to address the single-dataset limitation identified in previous studies.</w:t>
      </w:r>
    </w:p>
    <w:p w14:paraId="47FD7540" w14:textId="77777777" w:rsidR="0017052F" w:rsidRDefault="00000000">
      <w:pPr>
        <w:keepNext/>
        <w:spacing w:before="180" w:after="100"/>
      </w:pPr>
      <w:r>
        <w:rPr>
          <w:b/>
          <w:bCs/>
          <w:i/>
          <w:iCs/>
        </w:rPr>
        <w:t>3.3 Data Preprocessing</w:t>
      </w:r>
    </w:p>
    <w:p w14:paraId="36D00E64" w14:textId="77777777" w:rsidR="00437BF2" w:rsidRPr="00437BF2" w:rsidRDefault="00437BF2" w:rsidP="00437BF2">
      <w:pPr>
        <w:keepNext/>
        <w:spacing w:before="180" w:after="100"/>
        <w:rPr>
          <w:i/>
          <w:iCs/>
          <w:color w:val="0D0D0D" w:themeColor="text1" w:themeTint="F2"/>
          <w:sz w:val="19"/>
          <w:szCs w:val="19"/>
        </w:rPr>
      </w:pPr>
      <w:r w:rsidRPr="00437BF2">
        <w:rPr>
          <w:i/>
          <w:iCs/>
          <w:color w:val="0D0D0D" w:themeColor="text1" w:themeTint="F2"/>
          <w:sz w:val="19"/>
          <w:szCs w:val="19"/>
        </w:rPr>
        <w:t>The three datasets are processed separately before model development because their attributes, formats, and target variables differ. The preprocessing stage is designed to produce clean and analysis-ready data while preserving the characteristics of each credit-risk dataset.</w:t>
      </w:r>
    </w:p>
    <w:p w14:paraId="66C4EF3D" w14:textId="77777777" w:rsidR="00437BF2" w:rsidRPr="00437BF2" w:rsidRDefault="00437BF2" w:rsidP="00437BF2">
      <w:pPr>
        <w:keepNext/>
        <w:spacing w:before="180" w:after="100"/>
        <w:rPr>
          <w:i/>
          <w:iCs/>
          <w:color w:val="0D0D0D" w:themeColor="text1" w:themeTint="F2"/>
          <w:sz w:val="19"/>
          <w:szCs w:val="19"/>
        </w:rPr>
      </w:pPr>
      <w:r w:rsidRPr="00437BF2">
        <w:rPr>
          <w:i/>
          <w:iCs/>
          <w:color w:val="0D0D0D" w:themeColor="text1" w:themeTint="F2"/>
          <w:sz w:val="19"/>
          <w:szCs w:val="19"/>
        </w:rPr>
        <w:t>The main preprocessing steps include:</w:t>
      </w:r>
    </w:p>
    <w:p w14:paraId="2C1AD9FE" w14:textId="77777777" w:rsidR="00437BF2" w:rsidRPr="00437BF2" w:rsidRDefault="00437BF2" w:rsidP="00437BF2">
      <w:pPr>
        <w:keepNext/>
        <w:numPr>
          <w:ilvl w:val="0"/>
          <w:numId w:val="6"/>
        </w:numPr>
        <w:spacing w:before="180" w:after="100"/>
        <w:rPr>
          <w:i/>
          <w:iCs/>
          <w:color w:val="0D0D0D" w:themeColor="text1" w:themeTint="F2"/>
          <w:sz w:val="19"/>
          <w:szCs w:val="19"/>
        </w:rPr>
      </w:pPr>
      <w:r w:rsidRPr="00437BF2">
        <w:rPr>
          <w:b/>
          <w:bCs/>
          <w:i/>
          <w:iCs/>
          <w:color w:val="0D0D0D" w:themeColor="text1" w:themeTint="F2"/>
          <w:sz w:val="19"/>
          <w:szCs w:val="19"/>
        </w:rPr>
        <w:t>Missing-value analysis:</w:t>
      </w:r>
      <w:r w:rsidRPr="00437BF2">
        <w:rPr>
          <w:i/>
          <w:iCs/>
          <w:color w:val="0D0D0D" w:themeColor="text1" w:themeTint="F2"/>
          <w:sz w:val="19"/>
          <w:szCs w:val="19"/>
        </w:rPr>
        <w:t xml:space="preserve"> Missing observations are identified and handled using suitable imputation or removal strategies depending on the variable.</w:t>
      </w:r>
    </w:p>
    <w:p w14:paraId="1D29AF28" w14:textId="77777777" w:rsidR="00437BF2" w:rsidRPr="00437BF2" w:rsidRDefault="00437BF2" w:rsidP="00437BF2">
      <w:pPr>
        <w:keepNext/>
        <w:numPr>
          <w:ilvl w:val="0"/>
          <w:numId w:val="6"/>
        </w:numPr>
        <w:spacing w:before="180" w:after="100"/>
        <w:rPr>
          <w:i/>
          <w:iCs/>
          <w:color w:val="0D0D0D" w:themeColor="text1" w:themeTint="F2"/>
          <w:sz w:val="19"/>
          <w:szCs w:val="19"/>
        </w:rPr>
      </w:pPr>
      <w:r w:rsidRPr="00437BF2">
        <w:rPr>
          <w:b/>
          <w:bCs/>
          <w:i/>
          <w:iCs/>
          <w:color w:val="0D0D0D" w:themeColor="text1" w:themeTint="F2"/>
          <w:sz w:val="19"/>
          <w:szCs w:val="19"/>
        </w:rPr>
        <w:t>Duplicate and data-quality checking:</w:t>
      </w:r>
      <w:r w:rsidRPr="00437BF2">
        <w:rPr>
          <w:i/>
          <w:iCs/>
          <w:color w:val="0D0D0D" w:themeColor="text1" w:themeTint="F2"/>
          <w:sz w:val="19"/>
          <w:szCs w:val="19"/>
        </w:rPr>
        <w:t xml:space="preserve"> Duplicate records and inconsistent entries are examined and addressed.</w:t>
      </w:r>
    </w:p>
    <w:p w14:paraId="633148C0" w14:textId="77777777" w:rsidR="00437BF2" w:rsidRPr="00437BF2" w:rsidRDefault="00437BF2" w:rsidP="00437BF2">
      <w:pPr>
        <w:keepNext/>
        <w:numPr>
          <w:ilvl w:val="0"/>
          <w:numId w:val="6"/>
        </w:numPr>
        <w:spacing w:before="180" w:after="100"/>
        <w:rPr>
          <w:i/>
          <w:iCs/>
          <w:color w:val="0D0D0D" w:themeColor="text1" w:themeTint="F2"/>
          <w:sz w:val="19"/>
          <w:szCs w:val="19"/>
        </w:rPr>
      </w:pPr>
      <w:r w:rsidRPr="00437BF2">
        <w:rPr>
          <w:b/>
          <w:bCs/>
          <w:i/>
          <w:iCs/>
          <w:color w:val="0D0D0D" w:themeColor="text1" w:themeTint="F2"/>
          <w:sz w:val="19"/>
          <w:szCs w:val="19"/>
        </w:rPr>
        <w:t>Categorical encoding:</w:t>
      </w:r>
      <w:r w:rsidRPr="00437BF2">
        <w:rPr>
          <w:i/>
          <w:iCs/>
          <w:color w:val="0D0D0D" w:themeColor="text1" w:themeTint="F2"/>
          <w:sz w:val="19"/>
          <w:szCs w:val="19"/>
        </w:rPr>
        <w:t xml:space="preserve"> Categorical variables are converted into numerical representations suitable for machine-learning models.</w:t>
      </w:r>
    </w:p>
    <w:p w14:paraId="74C0E8EE" w14:textId="77777777" w:rsidR="00437BF2" w:rsidRPr="00437BF2" w:rsidRDefault="00437BF2" w:rsidP="00437BF2">
      <w:pPr>
        <w:keepNext/>
        <w:numPr>
          <w:ilvl w:val="0"/>
          <w:numId w:val="6"/>
        </w:numPr>
        <w:spacing w:before="180" w:after="100"/>
        <w:rPr>
          <w:i/>
          <w:iCs/>
          <w:color w:val="0D0D0D" w:themeColor="text1" w:themeTint="F2"/>
          <w:sz w:val="19"/>
          <w:szCs w:val="19"/>
        </w:rPr>
      </w:pPr>
      <w:r w:rsidRPr="00437BF2">
        <w:rPr>
          <w:b/>
          <w:bCs/>
          <w:i/>
          <w:iCs/>
          <w:color w:val="0D0D0D" w:themeColor="text1" w:themeTint="F2"/>
          <w:sz w:val="19"/>
          <w:szCs w:val="19"/>
        </w:rPr>
        <w:t>Outlier analysis:</w:t>
      </w:r>
      <w:r w:rsidRPr="00437BF2">
        <w:rPr>
          <w:i/>
          <w:iCs/>
          <w:color w:val="0D0D0D" w:themeColor="text1" w:themeTint="F2"/>
          <w:sz w:val="19"/>
          <w:szCs w:val="19"/>
        </w:rPr>
        <w:t xml:space="preserve"> Numerical variables are examined for extreme observations and their influence on the analysis.</w:t>
      </w:r>
    </w:p>
    <w:p w14:paraId="27B4E3FB" w14:textId="77777777" w:rsidR="00437BF2" w:rsidRPr="00437BF2" w:rsidRDefault="00437BF2" w:rsidP="00437BF2">
      <w:pPr>
        <w:keepNext/>
        <w:numPr>
          <w:ilvl w:val="0"/>
          <w:numId w:val="6"/>
        </w:numPr>
        <w:spacing w:before="180" w:after="100"/>
        <w:rPr>
          <w:i/>
          <w:iCs/>
          <w:color w:val="0D0D0D" w:themeColor="text1" w:themeTint="F2"/>
          <w:sz w:val="19"/>
          <w:szCs w:val="19"/>
        </w:rPr>
      </w:pPr>
      <w:r w:rsidRPr="00437BF2">
        <w:rPr>
          <w:b/>
          <w:bCs/>
          <w:i/>
          <w:iCs/>
          <w:color w:val="0D0D0D" w:themeColor="text1" w:themeTint="F2"/>
          <w:sz w:val="19"/>
          <w:szCs w:val="19"/>
        </w:rPr>
        <w:t>Class-imbalance analysis:</w:t>
      </w:r>
      <w:r w:rsidRPr="00437BF2">
        <w:rPr>
          <w:i/>
          <w:iCs/>
          <w:color w:val="0D0D0D" w:themeColor="text1" w:themeTint="F2"/>
          <w:sz w:val="19"/>
          <w:szCs w:val="19"/>
        </w:rPr>
        <w:t xml:space="preserve"> The distribution of default and non-default cases is examined because default cases may represent a smaller proportion of the data. </w:t>
      </w:r>
      <w:r w:rsidRPr="00437BF2">
        <w:rPr>
          <w:i/>
          <w:iCs/>
          <w:color w:val="0D0D0D" w:themeColor="text1" w:themeTint="F2"/>
          <w:sz w:val="19"/>
          <w:szCs w:val="19"/>
        </w:rPr>
        <w:t>SMOTE or class-weighting techniques may be considered where required.</w:t>
      </w:r>
    </w:p>
    <w:p w14:paraId="619ACEDA" w14:textId="77777777" w:rsidR="00437BF2" w:rsidRPr="00437BF2" w:rsidRDefault="00437BF2" w:rsidP="00437BF2">
      <w:pPr>
        <w:keepNext/>
        <w:numPr>
          <w:ilvl w:val="0"/>
          <w:numId w:val="6"/>
        </w:numPr>
        <w:spacing w:before="180" w:after="100"/>
        <w:rPr>
          <w:i/>
          <w:iCs/>
          <w:color w:val="0D0D0D" w:themeColor="text1" w:themeTint="F2"/>
          <w:sz w:val="19"/>
          <w:szCs w:val="19"/>
        </w:rPr>
      </w:pPr>
      <w:r w:rsidRPr="00437BF2">
        <w:rPr>
          <w:b/>
          <w:bCs/>
          <w:i/>
          <w:iCs/>
          <w:color w:val="0D0D0D" w:themeColor="text1" w:themeTint="F2"/>
          <w:sz w:val="19"/>
          <w:szCs w:val="19"/>
        </w:rPr>
        <w:t>Feature scaling:</w:t>
      </w:r>
      <w:r w:rsidRPr="00437BF2">
        <w:rPr>
          <w:i/>
          <w:iCs/>
          <w:color w:val="0D0D0D" w:themeColor="text1" w:themeTint="F2"/>
          <w:sz w:val="19"/>
          <w:szCs w:val="19"/>
        </w:rPr>
        <w:t xml:space="preserve"> Scaling is applied where required, particularly for models sensitive to the magnitude of input variables.</w:t>
      </w:r>
    </w:p>
    <w:p w14:paraId="0AFE63A8" w14:textId="77777777" w:rsidR="00437BF2" w:rsidRPr="00437BF2" w:rsidRDefault="00437BF2" w:rsidP="00437BF2">
      <w:pPr>
        <w:keepNext/>
        <w:spacing w:before="180" w:after="100"/>
        <w:rPr>
          <w:i/>
          <w:iCs/>
          <w:color w:val="0D0D0D" w:themeColor="text1" w:themeTint="F2"/>
          <w:sz w:val="19"/>
          <w:szCs w:val="19"/>
        </w:rPr>
      </w:pPr>
      <w:r w:rsidRPr="00437BF2">
        <w:rPr>
          <w:i/>
          <w:iCs/>
          <w:color w:val="0D0D0D" w:themeColor="text1" w:themeTint="F2"/>
          <w:sz w:val="19"/>
          <w:szCs w:val="19"/>
        </w:rPr>
        <w:t>These preprocessing operations are performed before modelling so that encoding and class-imbalance decisions are based on the characteristics observed during exploratory analysis. The project specifically identifies class imbalance as an important issue in credit-risk prediction.</w:t>
      </w:r>
    </w:p>
    <w:p w14:paraId="17EEE376" w14:textId="77777777" w:rsidR="0017052F" w:rsidRDefault="00000000">
      <w:pPr>
        <w:keepNext/>
        <w:spacing w:before="180" w:after="100"/>
      </w:pPr>
      <w:r>
        <w:rPr>
          <w:b/>
          <w:bCs/>
          <w:i/>
          <w:iCs/>
        </w:rPr>
        <w:t xml:space="preserve">3.4 [ Exploratory Analysis / Feature Engineering, as </w:t>
      </w:r>
      <w:proofErr w:type="gramStart"/>
      <w:r>
        <w:rPr>
          <w:b/>
          <w:bCs/>
          <w:i/>
          <w:iCs/>
        </w:rPr>
        <w:t>relevant ]</w:t>
      </w:r>
      <w:proofErr w:type="gramEnd"/>
    </w:p>
    <w:p w14:paraId="4298F537" w14:textId="77777777" w:rsidR="0017052F" w:rsidRDefault="00000000">
      <w:pPr>
        <w:spacing w:after="140" w:line="252" w:lineRule="auto"/>
        <w:jc w:val="both"/>
      </w:pPr>
      <w:r>
        <w:rPr>
          <w:i/>
          <w:iCs/>
          <w:color w:val="808080"/>
          <w:sz w:val="19"/>
          <w:szCs w:val="19"/>
        </w:rPr>
        <w:t xml:space="preserve">[ Describe how you explored or engineered the data before </w:t>
      </w:r>
      <w:proofErr w:type="spellStart"/>
      <w:r>
        <w:rPr>
          <w:i/>
          <w:iCs/>
          <w:color w:val="808080"/>
          <w:sz w:val="19"/>
          <w:szCs w:val="19"/>
        </w:rPr>
        <w:t>modeling</w:t>
      </w:r>
      <w:proofErr w:type="spellEnd"/>
      <w:r>
        <w:rPr>
          <w:i/>
          <w:iCs/>
          <w:color w:val="808080"/>
          <w:sz w:val="19"/>
          <w:szCs w:val="19"/>
        </w:rPr>
        <w:t>, referring to Figure 2 if useful</w:t>
      </w:r>
      <w:proofErr w:type="gramStart"/>
      <w:r>
        <w:rPr>
          <w:i/>
          <w:iCs/>
          <w:color w:val="808080"/>
          <w:sz w:val="19"/>
          <w:szCs w:val="19"/>
        </w:rPr>
        <w:t>. ]</w:t>
      </w:r>
      <w:proofErr w:type="gramEnd"/>
    </w:p>
    <w:p w14:paraId="01042689" w14:textId="77777777" w:rsidR="0017052F" w:rsidRDefault="0017052F">
      <w:pPr>
        <w:spacing w:before="160" w:after="40"/>
        <w:jc w:val="center"/>
      </w:pPr>
    </w:p>
    <w:tbl>
      <w:tblPr>
        <w:tblW w:w="4814" w:type="dxa"/>
        <w:jc w:val="center"/>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14"/>
      </w:tblGrid>
      <w:tr w:rsidR="0017052F" w14:paraId="1B62C5C0" w14:textId="77777777" w:rsidTr="00437BF2">
        <w:trPr>
          <w:jc w:val="center"/>
        </w:trPr>
        <w:tc>
          <w:tcPr>
            <w:tcW w:w="0" w:type="auto"/>
          </w:tcPr>
          <w:p w14:paraId="17470A4C" w14:textId="77777777" w:rsidR="0017052F" w:rsidRDefault="0017052F">
            <w:pPr>
              <w:jc w:val="center"/>
            </w:pPr>
          </w:p>
        </w:tc>
      </w:tr>
      <w:tr w:rsidR="0017052F" w14:paraId="0C9C40D2" w14:textId="77777777" w:rsidTr="00437BF2">
        <w:trPr>
          <w:jc w:val="center"/>
        </w:trPr>
        <w:tc>
          <w:tcPr>
            <w:tcW w:w="0" w:type="auto"/>
          </w:tcPr>
          <w:p w14:paraId="3749284F" w14:textId="6D68E71E" w:rsidR="0017052F" w:rsidRDefault="00D12BDE">
            <w:pPr>
              <w:jc w:val="center"/>
            </w:pPr>
            <w:r w:rsidRPr="00D12BDE">
              <w:drawing>
                <wp:inline distT="0" distB="0" distL="0" distR="0" wp14:anchorId="6C7764C7" wp14:editId="3B62224D">
                  <wp:extent cx="3063240" cy="2781935"/>
                  <wp:effectExtent l="0" t="0" r="3810" b="0"/>
                  <wp:docPr id="6337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4807" name=""/>
                          <pic:cNvPicPr/>
                        </pic:nvPicPr>
                        <pic:blipFill>
                          <a:blip r:embed="rId11"/>
                          <a:stretch>
                            <a:fillRect/>
                          </a:stretch>
                        </pic:blipFill>
                        <pic:spPr>
                          <a:xfrm>
                            <a:off x="0" y="0"/>
                            <a:ext cx="3063240" cy="2781935"/>
                          </a:xfrm>
                          <a:prstGeom prst="rect">
                            <a:avLst/>
                          </a:prstGeom>
                        </pic:spPr>
                      </pic:pic>
                    </a:graphicData>
                  </a:graphic>
                </wp:inline>
              </w:drawing>
            </w:r>
            <w:r w:rsidR="00514D55">
              <w:rPr>
                <w:noProof/>
              </w:rPr>
              <mc:AlternateContent>
                <mc:Choice Requires="wps">
                  <w:drawing>
                    <wp:inline distT="0" distB="0" distL="0" distR="0" wp14:anchorId="08339E0E" wp14:editId="277682D1">
                      <wp:extent cx="304800" cy="304800"/>
                      <wp:effectExtent l="0" t="0" r="0" b="0"/>
                      <wp:docPr id="191379303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963A3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14D55">
              <w:rPr>
                <w:noProof/>
              </w:rPr>
              <mc:AlternateContent>
                <mc:Choice Requires="wps">
                  <w:drawing>
                    <wp:inline distT="0" distB="0" distL="0" distR="0" wp14:anchorId="445B69A3" wp14:editId="73D8AB7A">
                      <wp:extent cx="304800" cy="304800"/>
                      <wp:effectExtent l="0" t="0" r="0" b="0"/>
                      <wp:docPr id="26096207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0A4C9"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17052F" w14:paraId="28F87D57" w14:textId="77777777" w:rsidTr="00437BF2">
        <w:trPr>
          <w:jc w:val="center"/>
        </w:trPr>
        <w:tc>
          <w:tcPr>
            <w:tcW w:w="0" w:type="auto"/>
          </w:tcPr>
          <w:p w14:paraId="78211A3D" w14:textId="77777777" w:rsidR="0017052F" w:rsidRDefault="0017052F" w:rsidP="00437BF2"/>
        </w:tc>
      </w:tr>
      <w:tr w:rsidR="0017052F" w14:paraId="288CFD49" w14:textId="77777777" w:rsidTr="00437BF2">
        <w:trPr>
          <w:jc w:val="center"/>
        </w:trPr>
        <w:tc>
          <w:tcPr>
            <w:tcW w:w="0" w:type="auto"/>
          </w:tcPr>
          <w:p w14:paraId="5FED2ABA" w14:textId="77777777" w:rsidR="0017052F" w:rsidRDefault="0017052F">
            <w:pPr>
              <w:jc w:val="center"/>
            </w:pPr>
          </w:p>
        </w:tc>
      </w:tr>
    </w:tbl>
    <w:p w14:paraId="64FBE9FC" w14:textId="77777777" w:rsidR="00F85AE4" w:rsidRPr="00F85AE4" w:rsidRDefault="00F85AE4" w:rsidP="00F85AE4">
      <w:pPr>
        <w:keepNext/>
        <w:spacing w:before="180" w:after="100"/>
        <w:rPr>
          <w:i/>
          <w:iCs/>
          <w:sz w:val="18"/>
          <w:szCs w:val="18"/>
        </w:rPr>
      </w:pPr>
      <w:r w:rsidRPr="00F85AE4">
        <w:rPr>
          <w:b/>
          <w:bCs/>
          <w:i/>
          <w:iCs/>
          <w:sz w:val="18"/>
          <w:szCs w:val="18"/>
        </w:rPr>
        <w:lastRenderedPageBreak/>
        <w:t>Fig. 2. EDA and risk-aware feature engineering workflow.</w:t>
      </w:r>
    </w:p>
    <w:p w14:paraId="2759CE95" w14:textId="77777777" w:rsidR="0017052F" w:rsidRDefault="00000000">
      <w:pPr>
        <w:keepNext/>
        <w:spacing w:before="180" w:after="100"/>
      </w:pPr>
      <w:r>
        <w:rPr>
          <w:b/>
          <w:bCs/>
          <w:i/>
          <w:iCs/>
        </w:rPr>
        <w:t>3.5 Proposed Model(s) and Baselines</w:t>
      </w:r>
    </w:p>
    <w:p w14:paraId="78D9E679" w14:textId="77777777" w:rsidR="00F85AE4" w:rsidRPr="00F85AE4" w:rsidRDefault="00F85AE4" w:rsidP="00F85AE4">
      <w:pPr>
        <w:keepNext/>
        <w:spacing w:before="180" w:after="100"/>
        <w:rPr>
          <w:i/>
          <w:iCs/>
          <w:color w:val="0D0D0D" w:themeColor="text1" w:themeTint="F2"/>
          <w:sz w:val="19"/>
          <w:szCs w:val="19"/>
        </w:rPr>
      </w:pPr>
      <w:r w:rsidRPr="00F85AE4">
        <w:rPr>
          <w:i/>
          <w:iCs/>
          <w:color w:val="0D0D0D" w:themeColor="text1" w:themeTint="F2"/>
          <w:sz w:val="19"/>
          <w:szCs w:val="19"/>
        </w:rPr>
        <w:t xml:space="preserve">• </w:t>
      </w:r>
      <w:r w:rsidRPr="00F85AE4">
        <w:rPr>
          <w:b/>
          <w:bCs/>
          <w:i/>
          <w:iCs/>
          <w:color w:val="0D0D0D" w:themeColor="text1" w:themeTint="F2"/>
          <w:sz w:val="19"/>
          <w:szCs w:val="19"/>
        </w:rPr>
        <w:t>Logistic Regression</w:t>
      </w:r>
      <w:r w:rsidRPr="00F85AE4">
        <w:rPr>
          <w:i/>
          <w:iCs/>
          <w:color w:val="0D0D0D" w:themeColor="text1" w:themeTint="F2"/>
          <w:sz w:val="19"/>
          <w:szCs w:val="19"/>
        </w:rPr>
        <w:t xml:space="preserve"> — A simple baseline model for binary loan-default classification, included to provide an interpretable reference for comparison.</w:t>
      </w:r>
    </w:p>
    <w:p w14:paraId="5A6BA4EB" w14:textId="77777777" w:rsidR="00F85AE4" w:rsidRPr="00F85AE4" w:rsidRDefault="00F85AE4" w:rsidP="00F85AE4">
      <w:pPr>
        <w:keepNext/>
        <w:spacing w:before="180" w:after="100"/>
        <w:rPr>
          <w:i/>
          <w:iCs/>
          <w:color w:val="0D0D0D" w:themeColor="text1" w:themeTint="F2"/>
          <w:sz w:val="19"/>
          <w:szCs w:val="19"/>
        </w:rPr>
      </w:pPr>
      <w:r w:rsidRPr="00F85AE4">
        <w:rPr>
          <w:i/>
          <w:iCs/>
          <w:color w:val="0D0D0D" w:themeColor="text1" w:themeTint="F2"/>
          <w:sz w:val="19"/>
          <w:szCs w:val="19"/>
        </w:rPr>
        <w:t xml:space="preserve">• </w:t>
      </w:r>
      <w:r w:rsidRPr="00F85AE4">
        <w:rPr>
          <w:b/>
          <w:bCs/>
          <w:i/>
          <w:iCs/>
          <w:color w:val="0D0D0D" w:themeColor="text1" w:themeTint="F2"/>
          <w:sz w:val="19"/>
          <w:szCs w:val="19"/>
        </w:rPr>
        <w:t>Decision Tree</w:t>
      </w:r>
      <w:r w:rsidRPr="00F85AE4">
        <w:rPr>
          <w:i/>
          <w:iCs/>
          <w:color w:val="0D0D0D" w:themeColor="text1" w:themeTint="F2"/>
          <w:sz w:val="19"/>
          <w:szCs w:val="19"/>
        </w:rPr>
        <w:t xml:space="preserve"> — A tree-based model that produces simple decision rules and provides an interpretable benchmark.</w:t>
      </w:r>
    </w:p>
    <w:p w14:paraId="6EA2BA0A" w14:textId="77777777" w:rsidR="00F85AE4" w:rsidRPr="00F85AE4" w:rsidRDefault="00F85AE4" w:rsidP="00F85AE4">
      <w:pPr>
        <w:keepNext/>
        <w:spacing w:before="180" w:after="100"/>
        <w:rPr>
          <w:i/>
          <w:iCs/>
          <w:color w:val="0D0D0D" w:themeColor="text1" w:themeTint="F2"/>
          <w:sz w:val="19"/>
          <w:szCs w:val="19"/>
        </w:rPr>
      </w:pPr>
      <w:r w:rsidRPr="00F85AE4">
        <w:rPr>
          <w:i/>
          <w:iCs/>
          <w:color w:val="0D0D0D" w:themeColor="text1" w:themeTint="F2"/>
          <w:sz w:val="19"/>
          <w:szCs w:val="19"/>
        </w:rPr>
        <w:t xml:space="preserve">• </w:t>
      </w:r>
      <w:r w:rsidRPr="00F85AE4">
        <w:rPr>
          <w:b/>
          <w:bCs/>
          <w:i/>
          <w:iCs/>
          <w:color w:val="0D0D0D" w:themeColor="text1" w:themeTint="F2"/>
          <w:sz w:val="19"/>
          <w:szCs w:val="19"/>
        </w:rPr>
        <w:t>Random Forest</w:t>
      </w:r>
      <w:r w:rsidRPr="00F85AE4">
        <w:rPr>
          <w:i/>
          <w:iCs/>
          <w:color w:val="0D0D0D" w:themeColor="text1" w:themeTint="F2"/>
          <w:sz w:val="19"/>
          <w:szCs w:val="19"/>
        </w:rPr>
        <w:t xml:space="preserve"> — An ensemble of decision trees included to improve predictive performance and handle complex relationships in credit data.</w:t>
      </w:r>
    </w:p>
    <w:p w14:paraId="0B5A5989" w14:textId="77777777" w:rsidR="00F85AE4" w:rsidRPr="00F85AE4" w:rsidRDefault="00F85AE4" w:rsidP="00F85AE4">
      <w:pPr>
        <w:keepNext/>
        <w:spacing w:before="180" w:after="100"/>
        <w:rPr>
          <w:i/>
          <w:iCs/>
          <w:color w:val="0D0D0D" w:themeColor="text1" w:themeTint="F2"/>
          <w:sz w:val="19"/>
          <w:szCs w:val="19"/>
        </w:rPr>
      </w:pPr>
      <w:r w:rsidRPr="00F85AE4">
        <w:rPr>
          <w:i/>
          <w:iCs/>
          <w:color w:val="0D0D0D" w:themeColor="text1" w:themeTint="F2"/>
          <w:sz w:val="19"/>
          <w:szCs w:val="19"/>
        </w:rPr>
        <w:t xml:space="preserve">• </w:t>
      </w:r>
      <w:proofErr w:type="spellStart"/>
      <w:r w:rsidRPr="00F85AE4">
        <w:rPr>
          <w:b/>
          <w:bCs/>
          <w:i/>
          <w:iCs/>
          <w:color w:val="0D0D0D" w:themeColor="text1" w:themeTint="F2"/>
          <w:sz w:val="19"/>
          <w:szCs w:val="19"/>
        </w:rPr>
        <w:t>XGBoost</w:t>
      </w:r>
      <w:proofErr w:type="spellEnd"/>
      <w:r w:rsidRPr="00F85AE4">
        <w:rPr>
          <w:i/>
          <w:iCs/>
          <w:color w:val="0D0D0D" w:themeColor="text1" w:themeTint="F2"/>
          <w:sz w:val="19"/>
          <w:szCs w:val="19"/>
        </w:rPr>
        <w:t xml:space="preserve"> — A gradient-boosting model included for its ability to capture non-linear relationships and strong predictive performance in credit-risk tasks.</w:t>
      </w:r>
    </w:p>
    <w:p w14:paraId="2429950B" w14:textId="77777777" w:rsidR="00F85AE4" w:rsidRPr="00F85AE4" w:rsidRDefault="00F85AE4" w:rsidP="00F85AE4">
      <w:pPr>
        <w:keepNext/>
        <w:spacing w:before="180" w:after="100"/>
        <w:rPr>
          <w:i/>
          <w:iCs/>
          <w:color w:val="0D0D0D" w:themeColor="text1" w:themeTint="F2"/>
          <w:sz w:val="19"/>
          <w:szCs w:val="19"/>
        </w:rPr>
      </w:pPr>
      <w:r w:rsidRPr="00F85AE4">
        <w:rPr>
          <w:i/>
          <w:iCs/>
          <w:color w:val="0D0D0D" w:themeColor="text1" w:themeTint="F2"/>
          <w:sz w:val="19"/>
          <w:szCs w:val="19"/>
        </w:rPr>
        <w:t xml:space="preserve">• </w:t>
      </w:r>
      <w:proofErr w:type="spellStart"/>
      <w:r w:rsidRPr="00F85AE4">
        <w:rPr>
          <w:b/>
          <w:bCs/>
          <w:i/>
          <w:iCs/>
          <w:color w:val="0D0D0D" w:themeColor="text1" w:themeTint="F2"/>
          <w:sz w:val="19"/>
          <w:szCs w:val="19"/>
        </w:rPr>
        <w:t>CatBoost</w:t>
      </w:r>
      <w:proofErr w:type="spellEnd"/>
      <w:r w:rsidRPr="00F85AE4">
        <w:rPr>
          <w:i/>
          <w:iCs/>
          <w:color w:val="0D0D0D" w:themeColor="text1" w:themeTint="F2"/>
          <w:sz w:val="19"/>
          <w:szCs w:val="19"/>
        </w:rPr>
        <w:t xml:space="preserve"> — A boosting model included for effective handling of categorical variables and comparison with other ensemble approaches. These models support the project's simple-to-complex benchmarking strategy. </w:t>
      </w:r>
    </w:p>
    <w:p w14:paraId="7957804F" w14:textId="77777777" w:rsidR="00F85AE4" w:rsidRPr="00F85AE4" w:rsidRDefault="00F85AE4" w:rsidP="00F85AE4">
      <w:pPr>
        <w:keepNext/>
        <w:spacing w:before="180" w:after="100"/>
        <w:rPr>
          <w:i/>
          <w:iCs/>
          <w:color w:val="808080"/>
          <w:sz w:val="19"/>
          <w:szCs w:val="19"/>
        </w:rPr>
      </w:pPr>
    </w:p>
    <w:p w14:paraId="091E171A" w14:textId="77777777" w:rsidR="0017052F" w:rsidRDefault="00000000">
      <w:pPr>
        <w:keepNext/>
        <w:spacing w:before="180" w:after="100"/>
      </w:pPr>
      <w:r>
        <w:rPr>
          <w:b/>
          <w:bCs/>
          <w:i/>
          <w:iCs/>
        </w:rPr>
        <w:t>3.6 Algorithmic / Mathematical Formulation</w:t>
      </w:r>
    </w:p>
    <w:p w14:paraId="49F26CB3" w14:textId="77777777" w:rsidR="00F85AE4" w:rsidRPr="00F85AE4" w:rsidRDefault="00F85AE4" w:rsidP="00F85AE4">
      <w:pPr>
        <w:keepNext/>
        <w:spacing w:before="260" w:after="120"/>
        <w:rPr>
          <w:i/>
          <w:iCs/>
          <w:color w:val="0D0D0D" w:themeColor="text1" w:themeTint="F2"/>
          <w:sz w:val="19"/>
          <w:szCs w:val="19"/>
        </w:rPr>
      </w:pPr>
      <w:r w:rsidRPr="00F85AE4">
        <w:rPr>
          <w:i/>
          <w:iCs/>
          <w:color w:val="0D0D0D" w:themeColor="text1" w:themeTint="F2"/>
          <w:sz w:val="19"/>
          <w:szCs w:val="19"/>
        </w:rPr>
        <w:t>For binary loan-default prediction, Logistic Regression estimates the probability of default as:</w:t>
      </w:r>
    </w:p>
    <w:p w14:paraId="7440DB9A" w14:textId="25E3B519" w:rsidR="00F85AE4" w:rsidRPr="00F85AE4" w:rsidRDefault="00000000" w:rsidP="00F85AE4">
      <w:pPr>
        <w:keepNext/>
        <w:spacing w:before="260" w:after="120"/>
        <w:rPr>
          <w:i/>
          <w:iCs/>
          <w:color w:val="0D0D0D" w:themeColor="text1" w:themeTint="F2"/>
          <w:sz w:val="19"/>
          <w:szCs w:val="19"/>
        </w:rPr>
      </w:pPr>
      <m:oMathPara>
        <m:oMath>
          <m:m>
            <m:mPr>
              <m:plcHide m:val="1"/>
              <m:mcs>
                <m:mc>
                  <m:mcPr>
                    <m:count m:val="4"/>
                    <m:mcJc m:val="center"/>
                  </m:mcPr>
                </m:mc>
              </m:mcs>
              <m:ctrlPr>
                <w:rPr>
                  <w:rFonts w:ascii="Cambria Math" w:hAnsi="Cambria Math"/>
                  <w:i/>
                  <w:iCs/>
                  <w:color w:val="0D0D0D" w:themeColor="text1" w:themeTint="F2"/>
                  <w:sz w:val="19"/>
                  <w:szCs w:val="19"/>
                </w:rPr>
              </m:ctrlPr>
            </m:mPr>
            <m:mr>
              <m:e>
                <m:r>
                  <w:rPr>
                    <w:rFonts w:ascii="Cambria Math" w:hAnsi="Cambria Math"/>
                    <w:color w:val="0D0D0D" w:themeColor="text1" w:themeTint="F2"/>
                    <w:sz w:val="19"/>
                    <w:szCs w:val="19"/>
                  </w:rPr>
                  <m:t xml:space="preserve"> </m:t>
                </m:r>
              </m:e>
              <m:e>
                <m:r>
                  <w:rPr>
                    <w:rFonts w:ascii="Cambria Math" w:hAnsi="Cambria Math"/>
                    <w:color w:val="0D0D0D" w:themeColor="text1" w:themeTint="F2"/>
                    <w:sz w:val="19"/>
                    <w:szCs w:val="19"/>
                  </w:rPr>
                  <m:t>P</m:t>
                </m:r>
                <m:d>
                  <m:dPr>
                    <m:ctrlPr>
                      <w:rPr>
                        <w:rFonts w:ascii="Cambria Math" w:hAnsi="Cambria Math"/>
                        <w:i/>
                        <w:iCs/>
                        <w:color w:val="0D0D0D" w:themeColor="text1" w:themeTint="F2"/>
                        <w:sz w:val="19"/>
                        <w:szCs w:val="19"/>
                      </w:rPr>
                    </m:ctrlPr>
                  </m:dPr>
                  <m:e>
                    <m:r>
                      <w:rPr>
                        <w:rFonts w:ascii="Cambria Math" w:hAnsi="Cambria Math"/>
                        <w:color w:val="0D0D0D" w:themeColor="text1" w:themeTint="F2"/>
                        <w:sz w:val="19"/>
                        <w:szCs w:val="19"/>
                      </w:rPr>
                      <m:t>Y=1∣X</m:t>
                    </m:r>
                  </m:e>
                </m:d>
                <m:r>
                  <w:rPr>
                    <w:rFonts w:ascii="Cambria Math" w:hAnsi="Cambria Math"/>
                    <w:color w:val="0D0D0D" w:themeColor="text1" w:themeTint="F2"/>
                    <w:sz w:val="19"/>
                    <w:szCs w:val="19"/>
                  </w:rPr>
                  <m:t>=</m:t>
                </m:r>
                <m:f>
                  <m:fPr>
                    <m:ctrlPr>
                      <w:rPr>
                        <w:rFonts w:ascii="Cambria Math" w:hAnsi="Cambria Math"/>
                        <w:i/>
                        <w:iCs/>
                        <w:color w:val="0D0D0D" w:themeColor="text1" w:themeTint="F2"/>
                        <w:sz w:val="19"/>
                        <w:szCs w:val="19"/>
                      </w:rPr>
                    </m:ctrlPr>
                  </m:fPr>
                  <m:num>
                    <m:r>
                      <w:rPr>
                        <w:rFonts w:ascii="Cambria Math" w:hAnsi="Cambria Math"/>
                        <w:color w:val="0D0D0D" w:themeColor="text1" w:themeTint="F2"/>
                        <w:sz w:val="19"/>
                        <w:szCs w:val="19"/>
                      </w:rPr>
                      <m:t>1</m:t>
                    </m:r>
                  </m:num>
                  <m:den>
                    <m:r>
                      <w:rPr>
                        <w:rFonts w:ascii="Cambria Math" w:hAnsi="Cambria Math"/>
                        <w:color w:val="0D0D0D" w:themeColor="text1" w:themeTint="F2"/>
                        <w:sz w:val="19"/>
                        <w:szCs w:val="19"/>
                      </w:rPr>
                      <m:t>1+</m:t>
                    </m:r>
                    <m:sSup>
                      <m:sSupPr>
                        <m:ctrlPr>
                          <w:rPr>
                            <w:rFonts w:ascii="Cambria Math" w:hAnsi="Cambria Math"/>
                            <w:i/>
                            <w:iCs/>
                            <w:color w:val="0D0D0D" w:themeColor="text1" w:themeTint="F2"/>
                            <w:sz w:val="19"/>
                            <w:szCs w:val="19"/>
                          </w:rPr>
                        </m:ctrlPr>
                      </m:sSupPr>
                      <m:e>
                        <m:r>
                          <w:rPr>
                            <w:rFonts w:ascii="Cambria Math" w:hAnsi="Cambria Math"/>
                            <w:color w:val="0D0D0D" w:themeColor="text1" w:themeTint="F2"/>
                            <w:sz w:val="19"/>
                            <w:szCs w:val="19"/>
                          </w:rPr>
                          <m:t>e</m:t>
                        </m:r>
                      </m:e>
                      <m:sup>
                        <m:r>
                          <w:rPr>
                            <w:rFonts w:ascii="Cambria Math" w:hAnsi="Cambria Math"/>
                            <w:color w:val="0D0D0D" w:themeColor="text1" w:themeTint="F2"/>
                            <w:sz w:val="19"/>
                            <w:szCs w:val="19"/>
                          </w:rPr>
                          <m:t>-</m:t>
                        </m:r>
                        <m:d>
                          <m:dPr>
                            <m:ctrlPr>
                              <w:rPr>
                                <w:rFonts w:ascii="Cambria Math" w:hAnsi="Cambria Math"/>
                                <w:i/>
                                <w:iCs/>
                                <w:color w:val="0D0D0D" w:themeColor="text1" w:themeTint="F2"/>
                                <w:sz w:val="19"/>
                                <w:szCs w:val="19"/>
                              </w:rPr>
                            </m:ctrlPr>
                          </m:dPr>
                          <m:e>
                            <m:sSub>
                              <m:sSubPr>
                                <m:ctrlPr>
                                  <w:rPr>
                                    <w:rFonts w:ascii="Cambria Math" w:hAnsi="Cambria Math"/>
                                    <w:i/>
                                    <w:iCs/>
                                    <w:color w:val="0D0D0D" w:themeColor="text1" w:themeTint="F2"/>
                                    <w:sz w:val="19"/>
                                    <w:szCs w:val="19"/>
                                  </w:rPr>
                                </m:ctrlPr>
                              </m:sSubPr>
                              <m:e>
                                <m:r>
                                  <w:rPr>
                                    <w:rFonts w:ascii="Cambria Math" w:hAnsi="Cambria Math"/>
                                    <w:color w:val="0D0D0D" w:themeColor="text1" w:themeTint="F2"/>
                                    <w:sz w:val="19"/>
                                    <w:szCs w:val="19"/>
                                  </w:rPr>
                                  <m:t>β</m:t>
                                </m:r>
                              </m:e>
                              <m:sub>
                                <m:r>
                                  <w:rPr>
                                    <w:rFonts w:ascii="Cambria Math" w:hAnsi="Cambria Math"/>
                                    <w:color w:val="0D0D0D" w:themeColor="text1" w:themeTint="F2"/>
                                    <w:sz w:val="19"/>
                                    <w:szCs w:val="19"/>
                                  </w:rPr>
                                  <m:t>0</m:t>
                                </m:r>
                              </m:sub>
                            </m:sSub>
                            <m:r>
                              <w:rPr>
                                <w:rFonts w:ascii="Cambria Math" w:hAnsi="Cambria Math"/>
                                <w:color w:val="0D0D0D" w:themeColor="text1" w:themeTint="F2"/>
                                <w:sz w:val="19"/>
                                <w:szCs w:val="19"/>
                              </w:rPr>
                              <m:t>+</m:t>
                            </m:r>
                            <m:sSub>
                              <m:sSubPr>
                                <m:ctrlPr>
                                  <w:rPr>
                                    <w:rFonts w:ascii="Cambria Math" w:hAnsi="Cambria Math"/>
                                    <w:i/>
                                    <w:iCs/>
                                    <w:color w:val="0D0D0D" w:themeColor="text1" w:themeTint="F2"/>
                                    <w:sz w:val="19"/>
                                    <w:szCs w:val="19"/>
                                  </w:rPr>
                                </m:ctrlPr>
                              </m:sSubPr>
                              <m:e>
                                <m:r>
                                  <w:rPr>
                                    <w:rFonts w:ascii="Cambria Math" w:hAnsi="Cambria Math"/>
                                    <w:color w:val="0D0D0D" w:themeColor="text1" w:themeTint="F2"/>
                                    <w:sz w:val="19"/>
                                    <w:szCs w:val="19"/>
                                  </w:rPr>
                                  <m:t>β</m:t>
                                </m:r>
                              </m:e>
                              <m:sub>
                                <m:r>
                                  <w:rPr>
                                    <w:rFonts w:ascii="Cambria Math" w:hAnsi="Cambria Math"/>
                                    <w:color w:val="0D0D0D" w:themeColor="text1" w:themeTint="F2"/>
                                    <w:sz w:val="19"/>
                                    <w:szCs w:val="19"/>
                                  </w:rPr>
                                  <m:t>1</m:t>
                                </m:r>
                              </m:sub>
                            </m:sSub>
                            <m:sSub>
                              <m:sSubPr>
                                <m:ctrlPr>
                                  <w:rPr>
                                    <w:rFonts w:ascii="Cambria Math" w:hAnsi="Cambria Math"/>
                                    <w:i/>
                                    <w:iCs/>
                                    <w:color w:val="0D0D0D" w:themeColor="text1" w:themeTint="F2"/>
                                    <w:sz w:val="19"/>
                                    <w:szCs w:val="19"/>
                                  </w:rPr>
                                </m:ctrlPr>
                              </m:sSubPr>
                              <m:e>
                                <m:r>
                                  <w:rPr>
                                    <w:rFonts w:ascii="Cambria Math" w:hAnsi="Cambria Math"/>
                                    <w:color w:val="0D0D0D" w:themeColor="text1" w:themeTint="F2"/>
                                    <w:sz w:val="19"/>
                                    <w:szCs w:val="19"/>
                                  </w:rPr>
                                  <m:t>X</m:t>
                                </m:r>
                              </m:e>
                              <m:sub>
                                <m:r>
                                  <w:rPr>
                                    <w:rFonts w:ascii="Cambria Math" w:hAnsi="Cambria Math"/>
                                    <w:color w:val="0D0D0D" w:themeColor="text1" w:themeTint="F2"/>
                                    <w:sz w:val="19"/>
                                    <w:szCs w:val="19"/>
                                  </w:rPr>
                                  <m:t>1</m:t>
                                </m:r>
                              </m:sub>
                            </m:sSub>
                            <m:r>
                              <w:rPr>
                                <w:rFonts w:ascii="Cambria Math" w:hAnsi="Cambria Math"/>
                                <w:color w:val="0D0D0D" w:themeColor="text1" w:themeTint="F2"/>
                                <w:sz w:val="19"/>
                                <w:szCs w:val="19"/>
                              </w:rPr>
                              <m:t>+⋯+</m:t>
                            </m:r>
                            <m:sSub>
                              <m:sSubPr>
                                <m:ctrlPr>
                                  <w:rPr>
                                    <w:rFonts w:ascii="Cambria Math" w:hAnsi="Cambria Math"/>
                                    <w:i/>
                                    <w:iCs/>
                                    <w:color w:val="0D0D0D" w:themeColor="text1" w:themeTint="F2"/>
                                    <w:sz w:val="19"/>
                                    <w:szCs w:val="19"/>
                                  </w:rPr>
                                </m:ctrlPr>
                              </m:sSubPr>
                              <m:e>
                                <m:r>
                                  <w:rPr>
                                    <w:rFonts w:ascii="Cambria Math" w:hAnsi="Cambria Math"/>
                                    <w:color w:val="0D0D0D" w:themeColor="text1" w:themeTint="F2"/>
                                    <w:sz w:val="19"/>
                                    <w:szCs w:val="19"/>
                                  </w:rPr>
                                  <m:t>β</m:t>
                                </m:r>
                              </m:e>
                              <m:sub>
                                <m:r>
                                  <w:rPr>
                                    <w:rFonts w:ascii="Cambria Math" w:hAnsi="Cambria Math"/>
                                    <w:color w:val="0D0D0D" w:themeColor="text1" w:themeTint="F2"/>
                                    <w:sz w:val="19"/>
                                    <w:szCs w:val="19"/>
                                  </w:rPr>
                                  <m:t>n</m:t>
                                </m:r>
                              </m:sub>
                            </m:sSub>
                            <m:sSub>
                              <m:sSubPr>
                                <m:ctrlPr>
                                  <w:rPr>
                                    <w:rFonts w:ascii="Cambria Math" w:hAnsi="Cambria Math"/>
                                    <w:i/>
                                    <w:iCs/>
                                    <w:color w:val="0D0D0D" w:themeColor="text1" w:themeTint="F2"/>
                                    <w:sz w:val="19"/>
                                    <w:szCs w:val="19"/>
                                  </w:rPr>
                                </m:ctrlPr>
                              </m:sSubPr>
                              <m:e>
                                <m:r>
                                  <w:rPr>
                                    <w:rFonts w:ascii="Cambria Math" w:hAnsi="Cambria Math"/>
                                    <w:color w:val="0D0D0D" w:themeColor="text1" w:themeTint="F2"/>
                                    <w:sz w:val="19"/>
                                    <w:szCs w:val="19"/>
                                  </w:rPr>
                                  <m:t>X</m:t>
                                </m:r>
                              </m:e>
                              <m:sub>
                                <m:r>
                                  <w:rPr>
                                    <w:rFonts w:ascii="Cambria Math" w:hAnsi="Cambria Math"/>
                                    <w:color w:val="0D0D0D" w:themeColor="text1" w:themeTint="F2"/>
                                    <w:sz w:val="19"/>
                                    <w:szCs w:val="19"/>
                                  </w:rPr>
                                  <m:t>n</m:t>
                                </m:r>
                              </m:sub>
                            </m:sSub>
                          </m:e>
                        </m:d>
                      </m:sup>
                    </m:sSup>
                  </m:den>
                </m:f>
              </m:e>
              <m:e>
                <m:r>
                  <w:rPr>
                    <w:rFonts w:ascii="Cambria Math" w:hAnsi="Cambria Math"/>
                    <w:color w:val="0D0D0D" w:themeColor="text1" w:themeTint="F2"/>
                    <w:sz w:val="19"/>
                    <w:szCs w:val="19"/>
                  </w:rPr>
                  <m:t xml:space="preserve"> </m:t>
                </m:r>
              </m:e>
              <m:e>
                <m:r>
                  <m:rPr>
                    <m:nor/>
                  </m:rPr>
                  <w:rPr>
                    <w:i/>
                    <w:iCs/>
                    <w:color w:val="0D0D0D" w:themeColor="text1" w:themeTint="F2"/>
                    <w:sz w:val="19"/>
                    <w:szCs w:val="19"/>
                  </w:rPr>
                  <m:t>(1)</m:t>
                </m:r>
              </m:e>
            </m:mr>
          </m:m>
          <m:r>
            <m:rPr>
              <m:sty m:val="p"/>
            </m:rPr>
            <w:rPr>
              <w:color w:val="0D0D0D" w:themeColor="text1" w:themeTint="F2"/>
              <w:sz w:val="19"/>
              <w:szCs w:val="19"/>
            </w:rPr>
            <w:br/>
          </m:r>
        </m:oMath>
      </m:oMathPara>
    </w:p>
    <w:p w14:paraId="77359535" w14:textId="5429DEA4" w:rsidR="00F85AE4" w:rsidRPr="00F85AE4" w:rsidRDefault="00F85AE4" w:rsidP="00F85AE4">
      <w:pPr>
        <w:keepNext/>
        <w:spacing w:before="260" w:after="120"/>
        <w:rPr>
          <w:i/>
          <w:iCs/>
          <w:color w:val="0D0D0D" w:themeColor="text1" w:themeTint="F2"/>
          <w:sz w:val="19"/>
          <w:szCs w:val="19"/>
        </w:rPr>
      </w:pPr>
      <w:r w:rsidRPr="00F85AE4">
        <w:rPr>
          <w:i/>
          <w:iCs/>
          <w:color w:val="0D0D0D" w:themeColor="text1" w:themeTint="F2"/>
          <w:sz w:val="19"/>
          <w:szCs w:val="19"/>
        </w:rPr>
        <w:t xml:space="preserve">where </w:t>
      </w:r>
      <m:oMath>
        <m:r>
          <w:rPr>
            <w:rFonts w:ascii="Cambria Math" w:hAnsi="Cambria Math"/>
            <w:color w:val="0D0D0D" w:themeColor="text1" w:themeTint="F2"/>
            <w:sz w:val="19"/>
            <w:szCs w:val="19"/>
          </w:rPr>
          <m:t>Y</m:t>
        </m:r>
      </m:oMath>
      <w:r w:rsidRPr="00F85AE4">
        <w:rPr>
          <w:i/>
          <w:iCs/>
          <w:color w:val="0D0D0D" w:themeColor="text1" w:themeTint="F2"/>
          <w:sz w:val="19"/>
          <w:szCs w:val="19"/>
        </w:rPr>
        <w:t xml:space="preserve">represents the default outcome, </w:t>
      </w:r>
      <m:oMath>
        <m:sSub>
          <m:sSubPr>
            <m:ctrlPr>
              <w:rPr>
                <w:rFonts w:ascii="Cambria Math" w:hAnsi="Cambria Math"/>
                <w:i/>
                <w:iCs/>
                <w:color w:val="0D0D0D" w:themeColor="text1" w:themeTint="F2"/>
                <w:sz w:val="19"/>
                <w:szCs w:val="19"/>
              </w:rPr>
            </m:ctrlPr>
          </m:sSubPr>
          <m:e>
            <m:r>
              <w:rPr>
                <w:rFonts w:ascii="Cambria Math" w:hAnsi="Cambria Math"/>
                <w:color w:val="0D0D0D" w:themeColor="text1" w:themeTint="F2"/>
                <w:sz w:val="19"/>
                <w:szCs w:val="19"/>
              </w:rPr>
              <m:t>X</m:t>
            </m:r>
          </m:e>
          <m:sub>
            <m:r>
              <w:rPr>
                <w:rFonts w:ascii="Cambria Math" w:hAnsi="Cambria Math"/>
                <w:color w:val="0D0D0D" w:themeColor="text1" w:themeTint="F2"/>
                <w:sz w:val="19"/>
                <w:szCs w:val="19"/>
              </w:rPr>
              <m:t>1</m:t>
            </m:r>
          </m:sub>
        </m:sSub>
        <m:r>
          <w:rPr>
            <w:rFonts w:ascii="Cambria Math" w:hAnsi="Cambria Math"/>
            <w:color w:val="0D0D0D" w:themeColor="text1" w:themeTint="F2"/>
            <w:sz w:val="19"/>
            <w:szCs w:val="19"/>
          </w:rPr>
          <m:t>,…,</m:t>
        </m:r>
        <m:sSub>
          <m:sSubPr>
            <m:ctrlPr>
              <w:rPr>
                <w:rFonts w:ascii="Cambria Math" w:hAnsi="Cambria Math"/>
                <w:i/>
                <w:iCs/>
                <w:color w:val="0D0D0D" w:themeColor="text1" w:themeTint="F2"/>
                <w:sz w:val="19"/>
                <w:szCs w:val="19"/>
              </w:rPr>
            </m:ctrlPr>
          </m:sSubPr>
          <m:e>
            <m:r>
              <w:rPr>
                <w:rFonts w:ascii="Cambria Math" w:hAnsi="Cambria Math"/>
                <w:color w:val="0D0D0D" w:themeColor="text1" w:themeTint="F2"/>
                <w:sz w:val="19"/>
                <w:szCs w:val="19"/>
              </w:rPr>
              <m:t>X</m:t>
            </m:r>
          </m:e>
          <m:sub>
            <m:r>
              <w:rPr>
                <w:rFonts w:ascii="Cambria Math" w:hAnsi="Cambria Math"/>
                <w:color w:val="0D0D0D" w:themeColor="text1" w:themeTint="F2"/>
                <w:sz w:val="19"/>
                <w:szCs w:val="19"/>
              </w:rPr>
              <m:t>n</m:t>
            </m:r>
          </m:sub>
        </m:sSub>
      </m:oMath>
      <w:r w:rsidRPr="00F85AE4">
        <w:rPr>
          <w:i/>
          <w:iCs/>
          <w:color w:val="0D0D0D" w:themeColor="text1" w:themeTint="F2"/>
          <w:sz w:val="19"/>
          <w:szCs w:val="19"/>
        </w:rPr>
        <w:t xml:space="preserve">are the input features, and </w:t>
      </w:r>
      <m:oMath>
        <m:sSub>
          <m:sSubPr>
            <m:ctrlPr>
              <w:rPr>
                <w:rFonts w:ascii="Cambria Math" w:hAnsi="Cambria Math"/>
                <w:i/>
                <w:iCs/>
                <w:color w:val="0D0D0D" w:themeColor="text1" w:themeTint="F2"/>
                <w:sz w:val="19"/>
                <w:szCs w:val="19"/>
              </w:rPr>
            </m:ctrlPr>
          </m:sSubPr>
          <m:e>
            <m:r>
              <w:rPr>
                <w:rFonts w:ascii="Cambria Math" w:hAnsi="Cambria Math"/>
                <w:color w:val="0D0D0D" w:themeColor="text1" w:themeTint="F2"/>
                <w:sz w:val="19"/>
                <w:szCs w:val="19"/>
              </w:rPr>
              <m:t>β</m:t>
            </m:r>
          </m:e>
          <m:sub>
            <m:r>
              <w:rPr>
                <w:rFonts w:ascii="Cambria Math" w:hAnsi="Cambria Math"/>
                <w:color w:val="0D0D0D" w:themeColor="text1" w:themeTint="F2"/>
                <w:sz w:val="19"/>
                <w:szCs w:val="19"/>
              </w:rPr>
              <m:t>0</m:t>
            </m:r>
          </m:sub>
        </m:sSub>
        <m:r>
          <w:rPr>
            <w:rFonts w:ascii="Cambria Math" w:hAnsi="Cambria Math"/>
            <w:color w:val="0D0D0D" w:themeColor="text1" w:themeTint="F2"/>
            <w:sz w:val="19"/>
            <w:szCs w:val="19"/>
          </w:rPr>
          <m:t>,…,</m:t>
        </m:r>
        <m:sSub>
          <m:sSubPr>
            <m:ctrlPr>
              <w:rPr>
                <w:rFonts w:ascii="Cambria Math" w:hAnsi="Cambria Math"/>
                <w:i/>
                <w:iCs/>
                <w:color w:val="0D0D0D" w:themeColor="text1" w:themeTint="F2"/>
                <w:sz w:val="19"/>
                <w:szCs w:val="19"/>
              </w:rPr>
            </m:ctrlPr>
          </m:sSubPr>
          <m:e>
            <m:r>
              <w:rPr>
                <w:rFonts w:ascii="Cambria Math" w:hAnsi="Cambria Math"/>
                <w:color w:val="0D0D0D" w:themeColor="text1" w:themeTint="F2"/>
                <w:sz w:val="19"/>
                <w:szCs w:val="19"/>
              </w:rPr>
              <m:t>β</m:t>
            </m:r>
          </m:e>
          <m:sub>
            <m:r>
              <w:rPr>
                <w:rFonts w:ascii="Cambria Math" w:hAnsi="Cambria Math"/>
                <w:color w:val="0D0D0D" w:themeColor="text1" w:themeTint="F2"/>
                <w:sz w:val="19"/>
                <w:szCs w:val="19"/>
              </w:rPr>
              <m:t>n</m:t>
            </m:r>
          </m:sub>
        </m:sSub>
      </m:oMath>
      <w:r w:rsidRPr="00F85AE4">
        <w:rPr>
          <w:i/>
          <w:iCs/>
          <w:color w:val="0D0D0D" w:themeColor="text1" w:themeTint="F2"/>
          <w:sz w:val="19"/>
          <w:szCs w:val="19"/>
        </w:rPr>
        <w:t>are the model parameters.</w:t>
      </w:r>
    </w:p>
    <w:p w14:paraId="68BD2EF2" w14:textId="77777777" w:rsidR="0017052F" w:rsidRDefault="00000000">
      <w:pPr>
        <w:keepNext/>
        <w:spacing w:before="260" w:after="120"/>
      </w:pPr>
      <w:r>
        <w:rPr>
          <w:b/>
          <w:bCs/>
          <w:color w:val="1F3864"/>
          <w:sz w:val="21"/>
          <w:szCs w:val="21"/>
        </w:rPr>
        <w:t>4. EXPERIMENTAL SETUP</w:t>
      </w:r>
    </w:p>
    <w:p w14:paraId="3CBEE5BD" w14:textId="77777777" w:rsidR="0017052F" w:rsidRDefault="00000000">
      <w:pPr>
        <w:keepNext/>
        <w:spacing w:before="180" w:after="100"/>
      </w:pPr>
      <w:r>
        <w:rPr>
          <w:b/>
          <w:bCs/>
          <w:i/>
          <w:iCs/>
        </w:rPr>
        <w:t>4.1 Hardware and Software</w:t>
      </w:r>
    </w:p>
    <w:p w14:paraId="2DDB4DF5" w14:textId="77777777" w:rsidR="00F85AE4" w:rsidRPr="00F85AE4" w:rsidRDefault="00F85AE4">
      <w:pPr>
        <w:keepNext/>
        <w:spacing w:before="180" w:after="100"/>
        <w:rPr>
          <w:i/>
          <w:iCs/>
          <w:color w:val="0D0D0D" w:themeColor="text1" w:themeTint="F2"/>
          <w:sz w:val="19"/>
          <w:szCs w:val="19"/>
        </w:rPr>
      </w:pPr>
      <w:r w:rsidRPr="00F85AE4">
        <w:rPr>
          <w:i/>
          <w:iCs/>
          <w:color w:val="0D0D0D" w:themeColor="text1" w:themeTint="F2"/>
          <w:sz w:val="19"/>
          <w:szCs w:val="19"/>
        </w:rPr>
        <w:t xml:space="preserve">The proposed implementation uses </w:t>
      </w:r>
      <w:r w:rsidRPr="00F85AE4">
        <w:rPr>
          <w:b/>
          <w:bCs/>
          <w:i/>
          <w:iCs/>
          <w:color w:val="0D0D0D" w:themeColor="text1" w:themeTint="F2"/>
          <w:sz w:val="19"/>
          <w:szCs w:val="19"/>
        </w:rPr>
        <w:t>Python</w:t>
      </w:r>
      <w:r w:rsidRPr="00F85AE4">
        <w:rPr>
          <w:i/>
          <w:iCs/>
          <w:color w:val="0D0D0D" w:themeColor="text1" w:themeTint="F2"/>
          <w:sz w:val="19"/>
          <w:szCs w:val="19"/>
        </w:rPr>
        <w:t xml:space="preserve"> and open-source machine-learning and data-analysis libraries. The framework is designed to run on standard student computing hardware or free cloud-based environments. The main tools include Python, data-analysis libraries, machine-learning libraries, and visualization tools for EDA, model evaluation, SHAP, and LIME analysis. </w:t>
      </w:r>
    </w:p>
    <w:p w14:paraId="0E00922C" w14:textId="59550630" w:rsidR="0017052F" w:rsidRDefault="00000000">
      <w:pPr>
        <w:keepNext/>
        <w:spacing w:before="180" w:after="100"/>
      </w:pPr>
      <w:r>
        <w:rPr>
          <w:b/>
          <w:bCs/>
          <w:i/>
          <w:iCs/>
        </w:rPr>
        <w:t>4.2 Dataset Split / Design</w:t>
      </w:r>
    </w:p>
    <w:p w14:paraId="3F57BB05" w14:textId="77777777" w:rsidR="00F85AE4" w:rsidRDefault="00F85AE4">
      <w:pPr>
        <w:keepNext/>
        <w:spacing w:before="180" w:after="100"/>
        <w:rPr>
          <w:b/>
          <w:bCs/>
          <w:i/>
          <w:iCs/>
        </w:rPr>
      </w:pPr>
      <w:r w:rsidRPr="00F85AE4">
        <w:rPr>
          <w:i/>
          <w:iCs/>
          <w:color w:val="0D0D0D" w:themeColor="text1" w:themeTint="F2"/>
          <w:sz w:val="19"/>
          <w:szCs w:val="19"/>
        </w:rPr>
        <w:t xml:space="preserve">Each dataset is processed separately and evaluated using a common modelling framework. A stratified train-test split is planned so that the class distribution is maintained between training and testing data. The test portion is kept separate </w:t>
      </w:r>
      <w:r w:rsidRPr="00F85AE4">
        <w:rPr>
          <w:i/>
          <w:iCs/>
          <w:color w:val="0D0D0D" w:themeColor="text1" w:themeTint="F2"/>
          <w:sz w:val="19"/>
          <w:szCs w:val="19"/>
        </w:rPr>
        <w:t>from model training and tuning to provide an unbiased evaluation.</w:t>
      </w:r>
    </w:p>
    <w:p w14:paraId="26BBD5D4" w14:textId="37D34701" w:rsidR="0017052F" w:rsidRDefault="00000000">
      <w:pPr>
        <w:keepNext/>
        <w:spacing w:before="180" w:after="100"/>
      </w:pPr>
      <w:r>
        <w:rPr>
          <w:b/>
          <w:bCs/>
          <w:i/>
          <w:iCs/>
        </w:rPr>
        <w:t>4.3 Hyperparameter Configuration</w:t>
      </w:r>
    </w:p>
    <w:p w14:paraId="09187C31" w14:textId="77777777" w:rsidR="00F85AE4" w:rsidRPr="00F85AE4" w:rsidRDefault="00F85AE4">
      <w:pPr>
        <w:keepNext/>
        <w:spacing w:before="180" w:after="100"/>
        <w:rPr>
          <w:i/>
          <w:iCs/>
          <w:color w:val="0D0D0D" w:themeColor="text1" w:themeTint="F2"/>
          <w:sz w:val="19"/>
          <w:szCs w:val="19"/>
        </w:rPr>
      </w:pPr>
      <w:r w:rsidRPr="00F85AE4">
        <w:rPr>
          <w:i/>
          <w:iCs/>
          <w:color w:val="0D0D0D" w:themeColor="text1" w:themeTint="F2"/>
          <w:sz w:val="19"/>
          <w:szCs w:val="19"/>
        </w:rPr>
        <w:t>Model hyperparameters will be selected using model-appropriate tuning procedures on the training data. The test data will not be used for hyperparameter selection in order to avoid data leakage and maintain reliable performance evaluation.</w:t>
      </w:r>
    </w:p>
    <w:p w14:paraId="17ACA799" w14:textId="592204A1" w:rsidR="0017052F" w:rsidRPr="00F85AE4" w:rsidRDefault="00000000">
      <w:pPr>
        <w:keepNext/>
        <w:spacing w:before="180" w:after="100"/>
        <w:rPr>
          <w:color w:val="0D0D0D" w:themeColor="text1" w:themeTint="F2"/>
        </w:rPr>
      </w:pPr>
      <w:r w:rsidRPr="00F85AE4">
        <w:rPr>
          <w:b/>
          <w:bCs/>
          <w:i/>
          <w:iCs/>
          <w:color w:val="0D0D0D" w:themeColor="text1" w:themeTint="F2"/>
        </w:rPr>
        <w:t>4.4 Validation Strategy</w:t>
      </w:r>
    </w:p>
    <w:p w14:paraId="29ACB31F" w14:textId="77777777" w:rsidR="00F85AE4" w:rsidRDefault="00F85AE4">
      <w:pPr>
        <w:keepNext/>
        <w:spacing w:before="180" w:after="100"/>
        <w:rPr>
          <w:i/>
          <w:iCs/>
          <w:color w:val="0D0D0D" w:themeColor="text1" w:themeTint="F2"/>
          <w:sz w:val="19"/>
          <w:szCs w:val="19"/>
        </w:rPr>
      </w:pPr>
      <w:r w:rsidRPr="00F85AE4">
        <w:rPr>
          <w:i/>
          <w:iCs/>
          <w:color w:val="0D0D0D" w:themeColor="text1" w:themeTint="F2"/>
          <w:sz w:val="19"/>
          <w:szCs w:val="19"/>
        </w:rPr>
        <w:t xml:space="preserve">The models will be evaluated consistently across the three datasets using the same evaluation metrics. Class imbalance will be considered during preprocessing, with techniques such as </w:t>
      </w:r>
      <w:r w:rsidRPr="00F85AE4">
        <w:rPr>
          <w:b/>
          <w:bCs/>
          <w:i/>
          <w:iCs/>
          <w:color w:val="0D0D0D" w:themeColor="text1" w:themeTint="F2"/>
          <w:sz w:val="19"/>
          <w:szCs w:val="19"/>
        </w:rPr>
        <w:t>SMOTE or class-weighting</w:t>
      </w:r>
      <w:r w:rsidRPr="00F85AE4">
        <w:rPr>
          <w:i/>
          <w:iCs/>
          <w:color w:val="0D0D0D" w:themeColor="text1" w:themeTint="F2"/>
          <w:sz w:val="19"/>
          <w:szCs w:val="19"/>
        </w:rPr>
        <w:t xml:space="preserve"> considered where appropriate.</w:t>
      </w:r>
    </w:p>
    <w:p w14:paraId="6BCB7E90" w14:textId="7C1E18DC" w:rsidR="0017052F" w:rsidRPr="00F85AE4" w:rsidRDefault="00000000">
      <w:pPr>
        <w:keepNext/>
        <w:spacing w:before="180" w:after="100"/>
        <w:rPr>
          <w:color w:val="0D0D0D" w:themeColor="text1" w:themeTint="F2"/>
        </w:rPr>
      </w:pPr>
      <w:r w:rsidRPr="00F85AE4">
        <w:rPr>
          <w:b/>
          <w:bCs/>
          <w:i/>
          <w:iCs/>
          <w:color w:val="0D0D0D" w:themeColor="text1" w:themeTint="F2"/>
        </w:rPr>
        <w:t>4.5 Evaluation Metrics</w:t>
      </w:r>
    </w:p>
    <w:p w14:paraId="34923DFA" w14:textId="77777777" w:rsidR="00F85AE4" w:rsidRPr="00F85AE4" w:rsidRDefault="00F85AE4" w:rsidP="00F85AE4">
      <w:pPr>
        <w:keepNext/>
        <w:spacing w:before="180" w:after="100"/>
        <w:rPr>
          <w:color w:val="0D0D0D" w:themeColor="text1" w:themeTint="F2"/>
          <w:sz w:val="19"/>
          <w:szCs w:val="19"/>
        </w:rPr>
      </w:pPr>
      <w:r w:rsidRPr="00F85AE4">
        <w:rPr>
          <w:b/>
          <w:bCs/>
          <w:color w:val="0D0D0D" w:themeColor="text1" w:themeTint="F2"/>
          <w:sz w:val="19"/>
          <w:szCs w:val="19"/>
        </w:rPr>
        <w:t>Accuracy</w:t>
      </w:r>
      <w:r w:rsidRPr="00F85AE4">
        <w:rPr>
          <w:color w:val="0D0D0D" w:themeColor="text1" w:themeTint="F2"/>
          <w:sz w:val="19"/>
          <w:szCs w:val="19"/>
        </w:rPr>
        <w:t xml:space="preserve"> — Measures the proportion of correctly classified instances; higher values indicate better overall classification accuracy.</w:t>
      </w:r>
    </w:p>
    <w:p w14:paraId="69606221" w14:textId="77777777" w:rsidR="00F85AE4" w:rsidRPr="00F85AE4" w:rsidRDefault="00F85AE4" w:rsidP="00F85AE4">
      <w:pPr>
        <w:keepNext/>
        <w:spacing w:before="180" w:after="100"/>
        <w:rPr>
          <w:color w:val="0D0D0D" w:themeColor="text1" w:themeTint="F2"/>
          <w:sz w:val="19"/>
          <w:szCs w:val="19"/>
        </w:rPr>
      </w:pPr>
      <w:r w:rsidRPr="00F85AE4">
        <w:rPr>
          <w:color w:val="0D0D0D" w:themeColor="text1" w:themeTint="F2"/>
          <w:sz w:val="19"/>
          <w:szCs w:val="19"/>
        </w:rPr>
        <w:t xml:space="preserve">• </w:t>
      </w:r>
      <w:r w:rsidRPr="00F85AE4">
        <w:rPr>
          <w:b/>
          <w:bCs/>
          <w:color w:val="0D0D0D" w:themeColor="text1" w:themeTint="F2"/>
          <w:sz w:val="19"/>
          <w:szCs w:val="19"/>
        </w:rPr>
        <w:t>Precision</w:t>
      </w:r>
      <w:r w:rsidRPr="00F85AE4">
        <w:rPr>
          <w:color w:val="0D0D0D" w:themeColor="text1" w:themeTint="F2"/>
          <w:sz w:val="19"/>
          <w:szCs w:val="19"/>
        </w:rPr>
        <w:t xml:space="preserve"> — Measures the proportion of predicted defaults that are actually defaults; higher values indicate fewer false-positive predictions.</w:t>
      </w:r>
    </w:p>
    <w:p w14:paraId="31A182AD" w14:textId="77777777" w:rsidR="00F85AE4" w:rsidRPr="00F85AE4" w:rsidRDefault="00F85AE4" w:rsidP="00F85AE4">
      <w:pPr>
        <w:keepNext/>
        <w:spacing w:before="180" w:after="100"/>
        <w:rPr>
          <w:color w:val="0D0D0D" w:themeColor="text1" w:themeTint="F2"/>
          <w:sz w:val="19"/>
          <w:szCs w:val="19"/>
        </w:rPr>
      </w:pPr>
      <w:r w:rsidRPr="00F85AE4">
        <w:rPr>
          <w:color w:val="0D0D0D" w:themeColor="text1" w:themeTint="F2"/>
          <w:sz w:val="19"/>
          <w:szCs w:val="19"/>
        </w:rPr>
        <w:t xml:space="preserve">• </w:t>
      </w:r>
      <w:r w:rsidRPr="00F85AE4">
        <w:rPr>
          <w:b/>
          <w:bCs/>
          <w:color w:val="0D0D0D" w:themeColor="text1" w:themeTint="F2"/>
          <w:sz w:val="19"/>
          <w:szCs w:val="19"/>
        </w:rPr>
        <w:t>Recall</w:t>
      </w:r>
      <w:r w:rsidRPr="00F85AE4">
        <w:rPr>
          <w:color w:val="0D0D0D" w:themeColor="text1" w:themeTint="F2"/>
          <w:sz w:val="19"/>
          <w:szCs w:val="19"/>
        </w:rPr>
        <w:t xml:space="preserve"> — Measures the proportion of actual defaults correctly identified; higher values indicate better detection of risky borrowers.</w:t>
      </w:r>
    </w:p>
    <w:p w14:paraId="1C1EF5E6" w14:textId="77777777" w:rsidR="00F85AE4" w:rsidRPr="00F85AE4" w:rsidRDefault="00F85AE4" w:rsidP="00F85AE4">
      <w:pPr>
        <w:keepNext/>
        <w:spacing w:before="180" w:after="100"/>
        <w:rPr>
          <w:color w:val="0D0D0D" w:themeColor="text1" w:themeTint="F2"/>
          <w:sz w:val="19"/>
          <w:szCs w:val="19"/>
        </w:rPr>
      </w:pPr>
      <w:r w:rsidRPr="00F85AE4">
        <w:rPr>
          <w:color w:val="0D0D0D" w:themeColor="text1" w:themeTint="F2"/>
          <w:sz w:val="19"/>
          <w:szCs w:val="19"/>
        </w:rPr>
        <w:t xml:space="preserve">• </w:t>
      </w:r>
      <w:r w:rsidRPr="00F85AE4">
        <w:rPr>
          <w:b/>
          <w:bCs/>
          <w:color w:val="0D0D0D" w:themeColor="text1" w:themeTint="F2"/>
          <w:sz w:val="19"/>
          <w:szCs w:val="19"/>
        </w:rPr>
        <w:t>F1-score</w:t>
      </w:r>
      <w:r w:rsidRPr="00F85AE4">
        <w:rPr>
          <w:color w:val="0D0D0D" w:themeColor="text1" w:themeTint="F2"/>
          <w:sz w:val="19"/>
          <w:szCs w:val="19"/>
        </w:rPr>
        <w:t xml:space="preserve"> — Harmonic mean of precision and recall; higher values indicate a better balance between the two.</w:t>
      </w:r>
    </w:p>
    <w:p w14:paraId="0774C30D" w14:textId="77777777" w:rsidR="0017052F" w:rsidRPr="00F85AE4" w:rsidRDefault="00000000">
      <w:pPr>
        <w:keepNext/>
        <w:spacing w:before="180" w:after="100"/>
        <w:rPr>
          <w:color w:val="0D0D0D" w:themeColor="text1" w:themeTint="F2"/>
        </w:rPr>
      </w:pPr>
      <w:r w:rsidRPr="00F85AE4">
        <w:rPr>
          <w:b/>
          <w:bCs/>
          <w:i/>
          <w:iCs/>
          <w:color w:val="0D0D0D" w:themeColor="text1" w:themeTint="F2"/>
        </w:rPr>
        <w:t>4.6 Statistical Testing</w:t>
      </w:r>
    </w:p>
    <w:p w14:paraId="28E45BF1" w14:textId="77777777" w:rsidR="00F85AE4" w:rsidRDefault="00F85AE4">
      <w:pPr>
        <w:keepNext/>
        <w:spacing w:before="260" w:after="120"/>
        <w:rPr>
          <w:i/>
          <w:iCs/>
          <w:color w:val="0D0D0D" w:themeColor="text1" w:themeTint="F2"/>
          <w:sz w:val="19"/>
          <w:szCs w:val="19"/>
        </w:rPr>
      </w:pPr>
      <w:r w:rsidRPr="00F85AE4">
        <w:rPr>
          <w:i/>
          <w:iCs/>
          <w:color w:val="0D0D0D" w:themeColor="text1" w:themeTint="F2"/>
          <w:sz w:val="19"/>
          <w:szCs w:val="19"/>
        </w:rPr>
        <w:t>At the current project stage, no specific statistical significance test has been finalized. Statistical testing may be considered after model implementation to determine whether observed differences between models are statistically meaningful.</w:t>
      </w:r>
    </w:p>
    <w:p w14:paraId="26CBC96B" w14:textId="471C6F3D" w:rsidR="0017052F" w:rsidRPr="00F85AE4" w:rsidRDefault="00000000">
      <w:pPr>
        <w:keepNext/>
        <w:spacing w:before="260" w:after="120"/>
        <w:rPr>
          <w:color w:val="0D0D0D" w:themeColor="text1" w:themeTint="F2"/>
        </w:rPr>
      </w:pPr>
      <w:r w:rsidRPr="00F85AE4">
        <w:rPr>
          <w:b/>
          <w:bCs/>
          <w:color w:val="0D0D0D" w:themeColor="text1" w:themeTint="F2"/>
          <w:sz w:val="21"/>
          <w:szCs w:val="21"/>
        </w:rPr>
        <w:t>5. RESULTS</w:t>
      </w:r>
    </w:p>
    <w:p w14:paraId="0CF8FF47" w14:textId="77777777" w:rsidR="00F85AE4" w:rsidRDefault="00F85AE4">
      <w:pPr>
        <w:keepNext/>
        <w:spacing w:before="180" w:after="100"/>
        <w:rPr>
          <w:i/>
          <w:iCs/>
          <w:color w:val="0D0D0D" w:themeColor="text1" w:themeTint="F2"/>
          <w:sz w:val="19"/>
          <w:szCs w:val="19"/>
        </w:rPr>
      </w:pPr>
      <w:r w:rsidRPr="00F85AE4">
        <w:rPr>
          <w:i/>
          <w:iCs/>
          <w:color w:val="0D0D0D" w:themeColor="text1" w:themeTint="F2"/>
          <w:sz w:val="19"/>
          <w:szCs w:val="19"/>
        </w:rPr>
        <w:t xml:space="preserve">The study is currently at the proposed methodology and evaluation stage; therefore, </w:t>
      </w:r>
      <w:r w:rsidRPr="00F85AE4">
        <w:rPr>
          <w:b/>
          <w:bCs/>
          <w:i/>
          <w:iCs/>
          <w:color w:val="0D0D0D" w:themeColor="text1" w:themeTint="F2"/>
          <w:sz w:val="19"/>
          <w:szCs w:val="19"/>
        </w:rPr>
        <w:t>confirmed empirical results are not yet available</w:t>
      </w:r>
      <w:r w:rsidRPr="00F85AE4">
        <w:rPr>
          <w:i/>
          <w:iCs/>
          <w:color w:val="0D0D0D" w:themeColor="text1" w:themeTint="F2"/>
          <w:sz w:val="19"/>
          <w:szCs w:val="19"/>
        </w:rPr>
        <w:t>. The following results structure will be populated after implementation and testing.</w:t>
      </w:r>
    </w:p>
    <w:p w14:paraId="1B92C595" w14:textId="24E1FECF" w:rsidR="0017052F" w:rsidRPr="00F85AE4" w:rsidRDefault="00000000">
      <w:pPr>
        <w:keepNext/>
        <w:spacing w:before="180" w:after="100"/>
        <w:rPr>
          <w:color w:val="0D0D0D" w:themeColor="text1" w:themeTint="F2"/>
        </w:rPr>
      </w:pPr>
      <w:r w:rsidRPr="00F85AE4">
        <w:rPr>
          <w:b/>
          <w:bCs/>
          <w:i/>
          <w:iCs/>
          <w:color w:val="0D0D0D" w:themeColor="text1" w:themeTint="F2"/>
        </w:rPr>
        <w:t>5.1 Overall Performance</w:t>
      </w:r>
    </w:p>
    <w:p w14:paraId="48D30CC6" w14:textId="77777777" w:rsidR="00F85AE4" w:rsidRDefault="00F85AE4">
      <w:pPr>
        <w:keepNext/>
        <w:spacing w:before="180" w:after="100"/>
        <w:rPr>
          <w:i/>
          <w:iCs/>
          <w:color w:val="0D0D0D" w:themeColor="text1" w:themeTint="F2"/>
          <w:sz w:val="19"/>
          <w:szCs w:val="19"/>
        </w:rPr>
      </w:pPr>
      <w:r w:rsidRPr="00F85AE4">
        <w:rPr>
          <w:i/>
          <w:iCs/>
          <w:color w:val="0D0D0D" w:themeColor="text1" w:themeTint="F2"/>
          <w:sz w:val="19"/>
          <w:szCs w:val="19"/>
        </w:rPr>
        <w:t xml:space="preserve">The performance of Logistic Regression, Decision Tree, Random Forest, </w:t>
      </w:r>
      <w:proofErr w:type="spellStart"/>
      <w:r w:rsidRPr="00F85AE4">
        <w:rPr>
          <w:i/>
          <w:iCs/>
          <w:color w:val="0D0D0D" w:themeColor="text1" w:themeTint="F2"/>
          <w:sz w:val="19"/>
          <w:szCs w:val="19"/>
        </w:rPr>
        <w:t>XGBoost</w:t>
      </w:r>
      <w:proofErr w:type="spellEnd"/>
      <w:r w:rsidRPr="00F85AE4">
        <w:rPr>
          <w:i/>
          <w:iCs/>
          <w:color w:val="0D0D0D" w:themeColor="text1" w:themeTint="F2"/>
          <w:sz w:val="19"/>
          <w:szCs w:val="19"/>
        </w:rPr>
        <w:t xml:space="preserve">, and </w:t>
      </w:r>
      <w:proofErr w:type="spellStart"/>
      <w:r w:rsidRPr="00F85AE4">
        <w:rPr>
          <w:i/>
          <w:iCs/>
          <w:color w:val="0D0D0D" w:themeColor="text1" w:themeTint="F2"/>
          <w:sz w:val="19"/>
          <w:szCs w:val="19"/>
        </w:rPr>
        <w:t>CatBoost</w:t>
      </w:r>
      <w:proofErr w:type="spellEnd"/>
      <w:r w:rsidRPr="00F85AE4">
        <w:rPr>
          <w:i/>
          <w:iCs/>
          <w:color w:val="0D0D0D" w:themeColor="text1" w:themeTint="F2"/>
          <w:sz w:val="19"/>
          <w:szCs w:val="19"/>
        </w:rPr>
        <w:t xml:space="preserve"> will be compared using Accuracy, Precision, Recall, F1-score, and ROC-AUC. The final results will identify the model providing the most suitable balance between predictive performance and interpretability across the evaluated datasets.</w:t>
      </w:r>
    </w:p>
    <w:p w14:paraId="25EE8B7C" w14:textId="175C3E69" w:rsidR="0017052F" w:rsidRPr="00F85AE4" w:rsidRDefault="00000000">
      <w:pPr>
        <w:keepNext/>
        <w:spacing w:before="180" w:after="100"/>
        <w:rPr>
          <w:i/>
          <w:iCs/>
          <w:color w:val="0D0D0D" w:themeColor="text1" w:themeTint="F2"/>
          <w:sz w:val="19"/>
          <w:szCs w:val="19"/>
        </w:rPr>
      </w:pPr>
      <w:r w:rsidRPr="00F85AE4">
        <w:rPr>
          <w:b/>
          <w:bCs/>
          <w:i/>
          <w:iCs/>
          <w:color w:val="0D0D0D" w:themeColor="text1" w:themeTint="F2"/>
        </w:rPr>
        <w:t>5.2 Model / Method Comparison</w:t>
      </w:r>
    </w:p>
    <w:p w14:paraId="4B69CFEA" w14:textId="77777777" w:rsidR="0017052F" w:rsidRDefault="00000000">
      <w:pPr>
        <w:spacing w:after="140" w:line="252" w:lineRule="auto"/>
        <w:jc w:val="both"/>
      </w:pPr>
      <w:r w:rsidRPr="00F85AE4">
        <w:rPr>
          <w:i/>
          <w:iCs/>
          <w:color w:val="0D0D0D" w:themeColor="text1" w:themeTint="F2"/>
          <w:sz w:val="19"/>
          <w:szCs w:val="19"/>
        </w:rPr>
        <w:t>Table 2 compares the performance of each method/model considered in this study</w:t>
      </w:r>
      <w:r>
        <w:rPr>
          <w:i/>
          <w:iCs/>
          <w:color w:val="808080"/>
          <w:sz w:val="19"/>
          <w:szCs w:val="19"/>
        </w:rPr>
        <w:t>.</w:t>
      </w:r>
    </w:p>
    <w:p w14:paraId="355A22DE" w14:textId="77777777" w:rsidR="0017052F" w:rsidRDefault="0017052F">
      <w:pPr>
        <w:sectPr w:rsidR="0017052F">
          <w:footerReference w:type="default" r:id="rId12"/>
          <w:type w:val="continuous"/>
          <w:pgSz w:w="12240" w:h="15840"/>
          <w:pgMar w:top="1080" w:right="1080" w:bottom="1080" w:left="1080" w:header="708" w:footer="708" w:gutter="0"/>
          <w:cols w:num="2" w:space="432"/>
          <w:docGrid w:linePitch="360"/>
        </w:sectPr>
      </w:pP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1400"/>
        <w:gridCol w:w="3600"/>
      </w:tblGrid>
      <w:tr w:rsidR="0017052F" w14:paraId="44F675C8" w14:textId="77777777">
        <w:trPr>
          <w:tblHeader/>
        </w:trPr>
        <w:tc>
          <w:tcPr>
            <w:tcW w:w="1900" w:type="dxa"/>
            <w:shd w:val="clear" w:color="auto" w:fill="1F3864"/>
            <w:tcMar>
              <w:top w:w="60" w:type="dxa"/>
              <w:left w:w="80" w:type="dxa"/>
              <w:bottom w:w="60" w:type="dxa"/>
              <w:right w:w="80" w:type="dxa"/>
            </w:tcMar>
            <w:vAlign w:val="center"/>
          </w:tcPr>
          <w:p w14:paraId="5DF876D6" w14:textId="77777777" w:rsidR="0017052F" w:rsidRDefault="00000000">
            <w:pPr>
              <w:jc w:val="center"/>
            </w:pPr>
            <w:r>
              <w:rPr>
                <w:b/>
                <w:bCs/>
                <w:color w:val="FFFFFF"/>
                <w:sz w:val="17"/>
                <w:szCs w:val="17"/>
              </w:rPr>
              <w:lastRenderedPageBreak/>
              <w:t>Method</w:t>
            </w:r>
          </w:p>
        </w:tc>
        <w:tc>
          <w:tcPr>
            <w:tcW w:w="2200" w:type="dxa"/>
            <w:shd w:val="clear" w:color="auto" w:fill="1F3864"/>
            <w:tcMar>
              <w:top w:w="60" w:type="dxa"/>
              <w:left w:w="80" w:type="dxa"/>
              <w:bottom w:w="60" w:type="dxa"/>
              <w:right w:w="80" w:type="dxa"/>
            </w:tcMar>
            <w:vAlign w:val="center"/>
          </w:tcPr>
          <w:p w14:paraId="1FF3E7EE" w14:textId="77777777" w:rsidR="0017052F" w:rsidRDefault="00000000">
            <w:pPr>
              <w:jc w:val="center"/>
            </w:pPr>
            <w:r>
              <w:rPr>
                <w:b/>
                <w:bCs/>
                <w:color w:val="FFFFFF"/>
                <w:sz w:val="17"/>
                <w:szCs w:val="17"/>
              </w:rPr>
              <w:t>Metric A</w:t>
            </w:r>
          </w:p>
        </w:tc>
        <w:tc>
          <w:tcPr>
            <w:tcW w:w="1400" w:type="dxa"/>
            <w:shd w:val="clear" w:color="auto" w:fill="1F3864"/>
            <w:tcMar>
              <w:top w:w="60" w:type="dxa"/>
              <w:left w:w="80" w:type="dxa"/>
              <w:bottom w:w="60" w:type="dxa"/>
              <w:right w:w="80" w:type="dxa"/>
            </w:tcMar>
            <w:vAlign w:val="center"/>
          </w:tcPr>
          <w:p w14:paraId="6B15566C" w14:textId="77777777" w:rsidR="0017052F" w:rsidRDefault="00000000">
            <w:pPr>
              <w:jc w:val="center"/>
            </w:pPr>
            <w:r>
              <w:rPr>
                <w:b/>
                <w:bCs/>
                <w:color w:val="FFFFFF"/>
                <w:sz w:val="17"/>
                <w:szCs w:val="17"/>
              </w:rPr>
              <w:t>Metric B</w:t>
            </w:r>
          </w:p>
        </w:tc>
        <w:tc>
          <w:tcPr>
            <w:tcW w:w="3600" w:type="dxa"/>
            <w:shd w:val="clear" w:color="auto" w:fill="1F3864"/>
            <w:tcMar>
              <w:top w:w="60" w:type="dxa"/>
              <w:left w:w="80" w:type="dxa"/>
              <w:bottom w:w="60" w:type="dxa"/>
              <w:right w:w="80" w:type="dxa"/>
            </w:tcMar>
            <w:vAlign w:val="center"/>
          </w:tcPr>
          <w:p w14:paraId="2CA15995" w14:textId="77777777" w:rsidR="0017052F" w:rsidRDefault="00000000">
            <w:pPr>
              <w:jc w:val="center"/>
            </w:pPr>
            <w:r>
              <w:rPr>
                <w:b/>
                <w:bCs/>
                <w:color w:val="FFFFFF"/>
                <w:sz w:val="17"/>
                <w:szCs w:val="17"/>
              </w:rPr>
              <w:t>Notes</w:t>
            </w:r>
          </w:p>
        </w:tc>
      </w:tr>
      <w:tr w:rsidR="0017052F" w14:paraId="74035510" w14:textId="77777777">
        <w:tc>
          <w:tcPr>
            <w:tcW w:w="1900" w:type="dxa"/>
            <w:shd w:val="clear" w:color="auto" w:fill="FFFFFF"/>
            <w:tcMar>
              <w:top w:w="60" w:type="dxa"/>
              <w:left w:w="80" w:type="dxa"/>
              <w:bottom w:w="60" w:type="dxa"/>
              <w:right w:w="80" w:type="dxa"/>
            </w:tcMar>
            <w:vAlign w:val="center"/>
          </w:tcPr>
          <w:p w14:paraId="3E114C87" w14:textId="37F5AE28" w:rsidR="0017052F" w:rsidRDefault="006152BC">
            <w:r w:rsidRPr="006152BC">
              <w:rPr>
                <w:color w:val="000000"/>
                <w:sz w:val="16"/>
                <w:szCs w:val="16"/>
              </w:rPr>
              <w:t>Logistic Regression</w:t>
            </w:r>
          </w:p>
        </w:tc>
        <w:tc>
          <w:tcPr>
            <w:tcW w:w="2200" w:type="dxa"/>
            <w:shd w:val="clear" w:color="auto" w:fill="FFFFFF"/>
            <w:tcMar>
              <w:top w:w="60" w:type="dxa"/>
              <w:left w:w="80" w:type="dxa"/>
              <w:bottom w:w="60" w:type="dxa"/>
              <w:right w:w="80" w:type="dxa"/>
            </w:tcMar>
            <w:vAlign w:val="center"/>
          </w:tcPr>
          <w:p w14:paraId="38B1ACD6" w14:textId="26364335" w:rsidR="0017052F" w:rsidRDefault="006152BC">
            <w:r w:rsidRPr="006152BC">
              <w:rPr>
                <w:color w:val="000000"/>
                <w:sz w:val="16"/>
                <w:szCs w:val="16"/>
              </w:rPr>
              <w:t>To be evaluated</w:t>
            </w:r>
          </w:p>
        </w:tc>
        <w:tc>
          <w:tcPr>
            <w:tcW w:w="1400" w:type="dxa"/>
            <w:shd w:val="clear" w:color="auto" w:fill="FFFFFF"/>
            <w:tcMar>
              <w:top w:w="60" w:type="dxa"/>
              <w:left w:w="80" w:type="dxa"/>
              <w:bottom w:w="60" w:type="dxa"/>
              <w:right w:w="80" w:type="dxa"/>
            </w:tcMar>
            <w:vAlign w:val="center"/>
          </w:tcPr>
          <w:p w14:paraId="134066C3" w14:textId="7ADDBC2D" w:rsidR="0017052F" w:rsidRDefault="006152BC">
            <w:r w:rsidRPr="006152BC">
              <w:rPr>
                <w:color w:val="000000"/>
                <w:sz w:val="16"/>
                <w:szCs w:val="16"/>
              </w:rPr>
              <w:t>To be evaluated</w:t>
            </w:r>
          </w:p>
        </w:tc>
        <w:tc>
          <w:tcPr>
            <w:tcW w:w="3600" w:type="dxa"/>
            <w:shd w:val="clear" w:color="auto" w:fill="FFFFFF"/>
            <w:tcMar>
              <w:top w:w="60" w:type="dxa"/>
              <w:left w:w="80" w:type="dxa"/>
              <w:bottom w:w="60" w:type="dxa"/>
              <w:right w:w="80" w:type="dxa"/>
            </w:tcMar>
            <w:vAlign w:val="center"/>
          </w:tcPr>
          <w:p w14:paraId="28B2F23A" w14:textId="102DA933" w:rsidR="0017052F" w:rsidRDefault="006152BC">
            <w:r w:rsidRPr="006152BC">
              <w:rPr>
                <w:color w:val="000000"/>
                <w:sz w:val="16"/>
                <w:szCs w:val="16"/>
              </w:rPr>
              <w:t>Baseline model</w:t>
            </w:r>
          </w:p>
        </w:tc>
      </w:tr>
      <w:tr w:rsidR="0017052F" w14:paraId="3F4F89AD" w14:textId="77777777">
        <w:tc>
          <w:tcPr>
            <w:tcW w:w="1900" w:type="dxa"/>
            <w:shd w:val="clear" w:color="auto" w:fill="F2F2F2"/>
            <w:tcMar>
              <w:top w:w="60" w:type="dxa"/>
              <w:left w:w="80" w:type="dxa"/>
              <w:bottom w:w="60" w:type="dxa"/>
              <w:right w:w="80" w:type="dxa"/>
            </w:tcMar>
            <w:vAlign w:val="center"/>
          </w:tcPr>
          <w:p w14:paraId="3EE33748" w14:textId="0BA513FE" w:rsidR="0017052F" w:rsidRDefault="006152BC">
            <w:r w:rsidRPr="006152BC">
              <w:rPr>
                <w:color w:val="000000"/>
                <w:sz w:val="16"/>
                <w:szCs w:val="16"/>
              </w:rPr>
              <w:t>Decision Tree</w:t>
            </w:r>
          </w:p>
        </w:tc>
        <w:tc>
          <w:tcPr>
            <w:tcW w:w="2200" w:type="dxa"/>
            <w:shd w:val="clear" w:color="auto" w:fill="F2F2F2"/>
            <w:tcMar>
              <w:top w:w="60" w:type="dxa"/>
              <w:left w:w="80" w:type="dxa"/>
              <w:bottom w:w="60" w:type="dxa"/>
              <w:right w:w="80" w:type="dxa"/>
            </w:tcMar>
            <w:vAlign w:val="center"/>
          </w:tcPr>
          <w:p w14:paraId="2DCC915C" w14:textId="0C2950B9" w:rsidR="0017052F" w:rsidRDefault="006152BC">
            <w:r w:rsidRPr="006152BC">
              <w:rPr>
                <w:color w:val="000000"/>
                <w:sz w:val="16"/>
                <w:szCs w:val="16"/>
              </w:rPr>
              <w:t>To be evaluated</w:t>
            </w:r>
          </w:p>
        </w:tc>
        <w:tc>
          <w:tcPr>
            <w:tcW w:w="1400" w:type="dxa"/>
            <w:shd w:val="clear" w:color="auto" w:fill="F2F2F2"/>
            <w:tcMar>
              <w:top w:w="60" w:type="dxa"/>
              <w:left w:w="80" w:type="dxa"/>
              <w:bottom w:w="60" w:type="dxa"/>
              <w:right w:w="80" w:type="dxa"/>
            </w:tcMar>
            <w:vAlign w:val="center"/>
          </w:tcPr>
          <w:p w14:paraId="1BF145D9" w14:textId="66C440A4" w:rsidR="0017052F" w:rsidRDefault="006152BC">
            <w:r w:rsidRPr="006152BC">
              <w:rPr>
                <w:color w:val="000000"/>
                <w:sz w:val="16"/>
                <w:szCs w:val="16"/>
              </w:rPr>
              <w:t>To be evaluated</w:t>
            </w:r>
          </w:p>
        </w:tc>
        <w:tc>
          <w:tcPr>
            <w:tcW w:w="3600" w:type="dxa"/>
            <w:shd w:val="clear" w:color="auto" w:fill="F2F2F2"/>
            <w:tcMar>
              <w:top w:w="60" w:type="dxa"/>
              <w:left w:w="80" w:type="dxa"/>
              <w:bottom w:w="60" w:type="dxa"/>
              <w:right w:w="80" w:type="dxa"/>
            </w:tcMar>
            <w:vAlign w:val="center"/>
          </w:tcPr>
          <w:p w14:paraId="12115DFE" w14:textId="4F882934" w:rsidR="0017052F" w:rsidRDefault="006152BC">
            <w:r w:rsidRPr="006152BC">
              <w:rPr>
                <w:color w:val="000000"/>
                <w:sz w:val="16"/>
                <w:szCs w:val="16"/>
              </w:rPr>
              <w:t>Interpretable tree-based model</w:t>
            </w:r>
          </w:p>
        </w:tc>
      </w:tr>
      <w:tr w:rsidR="0017052F" w14:paraId="377D8B97" w14:textId="77777777">
        <w:tc>
          <w:tcPr>
            <w:tcW w:w="1900" w:type="dxa"/>
            <w:shd w:val="clear" w:color="auto" w:fill="FFFFFF"/>
            <w:tcMar>
              <w:top w:w="60" w:type="dxa"/>
              <w:left w:w="80" w:type="dxa"/>
              <w:bottom w:w="60" w:type="dxa"/>
              <w:right w:w="80" w:type="dxa"/>
            </w:tcMar>
            <w:vAlign w:val="center"/>
          </w:tcPr>
          <w:p w14:paraId="696198B9" w14:textId="7C34E8F1" w:rsidR="0017052F" w:rsidRDefault="006152BC">
            <w:r w:rsidRPr="006152BC">
              <w:rPr>
                <w:color w:val="000000"/>
                <w:sz w:val="16"/>
                <w:szCs w:val="16"/>
              </w:rPr>
              <w:t>Random Forest</w:t>
            </w:r>
          </w:p>
        </w:tc>
        <w:tc>
          <w:tcPr>
            <w:tcW w:w="2200" w:type="dxa"/>
            <w:shd w:val="clear" w:color="auto" w:fill="FFFFFF"/>
            <w:tcMar>
              <w:top w:w="60" w:type="dxa"/>
              <w:left w:w="80" w:type="dxa"/>
              <w:bottom w:w="60" w:type="dxa"/>
              <w:right w:w="80" w:type="dxa"/>
            </w:tcMar>
            <w:vAlign w:val="center"/>
          </w:tcPr>
          <w:p w14:paraId="602CDA1B" w14:textId="45E78F01" w:rsidR="0017052F" w:rsidRDefault="006152BC">
            <w:r w:rsidRPr="006152BC">
              <w:rPr>
                <w:color w:val="000000"/>
                <w:sz w:val="16"/>
                <w:szCs w:val="16"/>
              </w:rPr>
              <w:t>To be evaluated</w:t>
            </w:r>
          </w:p>
        </w:tc>
        <w:tc>
          <w:tcPr>
            <w:tcW w:w="1400" w:type="dxa"/>
            <w:shd w:val="clear" w:color="auto" w:fill="FFFFFF"/>
            <w:tcMar>
              <w:top w:w="60" w:type="dxa"/>
              <w:left w:w="80" w:type="dxa"/>
              <w:bottom w:w="60" w:type="dxa"/>
              <w:right w:w="80" w:type="dxa"/>
            </w:tcMar>
            <w:vAlign w:val="center"/>
          </w:tcPr>
          <w:p w14:paraId="33B8230A" w14:textId="54319CEB" w:rsidR="0017052F" w:rsidRDefault="006152BC">
            <w:r w:rsidRPr="006152BC">
              <w:rPr>
                <w:color w:val="000000"/>
                <w:sz w:val="16"/>
                <w:szCs w:val="16"/>
              </w:rPr>
              <w:t>To be evaluated</w:t>
            </w:r>
          </w:p>
        </w:tc>
        <w:tc>
          <w:tcPr>
            <w:tcW w:w="3600" w:type="dxa"/>
            <w:shd w:val="clear" w:color="auto" w:fill="FFFFFF"/>
            <w:tcMar>
              <w:top w:w="60" w:type="dxa"/>
              <w:left w:w="80" w:type="dxa"/>
              <w:bottom w:w="60" w:type="dxa"/>
              <w:right w:w="80" w:type="dxa"/>
            </w:tcMar>
            <w:vAlign w:val="center"/>
          </w:tcPr>
          <w:p w14:paraId="3A24F952" w14:textId="12671948" w:rsidR="0017052F" w:rsidRDefault="006152BC">
            <w:r w:rsidRPr="006152BC">
              <w:rPr>
                <w:color w:val="000000"/>
                <w:sz w:val="16"/>
                <w:szCs w:val="16"/>
              </w:rPr>
              <w:t>Ensemble learning model</w:t>
            </w:r>
          </w:p>
        </w:tc>
      </w:tr>
      <w:tr w:rsidR="0017052F" w14:paraId="61A50455" w14:textId="77777777">
        <w:tc>
          <w:tcPr>
            <w:tcW w:w="1900" w:type="dxa"/>
            <w:shd w:val="clear" w:color="auto" w:fill="F2F2F2"/>
            <w:tcMar>
              <w:top w:w="60" w:type="dxa"/>
              <w:left w:w="80" w:type="dxa"/>
              <w:bottom w:w="60" w:type="dxa"/>
              <w:right w:w="80" w:type="dxa"/>
            </w:tcMar>
            <w:vAlign w:val="center"/>
          </w:tcPr>
          <w:p w14:paraId="666100A9" w14:textId="0F4AFB5C" w:rsidR="0017052F" w:rsidRDefault="006152BC">
            <w:proofErr w:type="spellStart"/>
            <w:r w:rsidRPr="006152BC">
              <w:rPr>
                <w:color w:val="000000"/>
                <w:sz w:val="16"/>
                <w:szCs w:val="16"/>
              </w:rPr>
              <w:t>XGBoost</w:t>
            </w:r>
            <w:proofErr w:type="spellEnd"/>
          </w:p>
        </w:tc>
        <w:tc>
          <w:tcPr>
            <w:tcW w:w="2200" w:type="dxa"/>
            <w:shd w:val="clear" w:color="auto" w:fill="F2F2F2"/>
            <w:tcMar>
              <w:top w:w="60" w:type="dxa"/>
              <w:left w:w="80" w:type="dxa"/>
              <w:bottom w:w="60" w:type="dxa"/>
              <w:right w:w="80" w:type="dxa"/>
            </w:tcMar>
            <w:vAlign w:val="center"/>
          </w:tcPr>
          <w:p w14:paraId="3263474F" w14:textId="23975818" w:rsidR="0017052F" w:rsidRDefault="006152BC">
            <w:r w:rsidRPr="006152BC">
              <w:rPr>
                <w:color w:val="000000"/>
                <w:sz w:val="16"/>
                <w:szCs w:val="16"/>
              </w:rPr>
              <w:t>To be evaluated</w:t>
            </w:r>
          </w:p>
        </w:tc>
        <w:tc>
          <w:tcPr>
            <w:tcW w:w="1400" w:type="dxa"/>
            <w:shd w:val="clear" w:color="auto" w:fill="F2F2F2"/>
            <w:tcMar>
              <w:top w:w="60" w:type="dxa"/>
              <w:left w:w="80" w:type="dxa"/>
              <w:bottom w:w="60" w:type="dxa"/>
              <w:right w:w="80" w:type="dxa"/>
            </w:tcMar>
            <w:vAlign w:val="center"/>
          </w:tcPr>
          <w:p w14:paraId="25B37B77" w14:textId="4192FE26" w:rsidR="0017052F" w:rsidRDefault="006152BC">
            <w:r w:rsidRPr="006152BC">
              <w:rPr>
                <w:color w:val="000000"/>
                <w:sz w:val="16"/>
                <w:szCs w:val="16"/>
              </w:rPr>
              <w:t>To be evaluated</w:t>
            </w:r>
          </w:p>
        </w:tc>
        <w:tc>
          <w:tcPr>
            <w:tcW w:w="3600" w:type="dxa"/>
            <w:shd w:val="clear" w:color="auto" w:fill="F2F2F2"/>
            <w:tcMar>
              <w:top w:w="60" w:type="dxa"/>
              <w:left w:w="80" w:type="dxa"/>
              <w:bottom w:w="60" w:type="dxa"/>
              <w:right w:w="80" w:type="dxa"/>
            </w:tcMar>
            <w:vAlign w:val="center"/>
          </w:tcPr>
          <w:p w14:paraId="71944EEE" w14:textId="2D7F6DD0" w:rsidR="0017052F" w:rsidRDefault="006152BC">
            <w:r w:rsidRPr="006152BC">
              <w:rPr>
                <w:color w:val="000000"/>
                <w:sz w:val="16"/>
                <w:szCs w:val="16"/>
              </w:rPr>
              <w:t>Gradient boosting model</w:t>
            </w:r>
          </w:p>
        </w:tc>
      </w:tr>
    </w:tbl>
    <w:p w14:paraId="12A42519" w14:textId="77777777" w:rsidR="0017052F" w:rsidRDefault="00000000">
      <w:pPr>
        <w:spacing w:before="80" w:after="200"/>
        <w:jc w:val="center"/>
      </w:pPr>
      <w:r>
        <w:rPr>
          <w:i/>
          <w:iCs/>
          <w:sz w:val="18"/>
          <w:szCs w:val="18"/>
        </w:rPr>
        <w:t>Table 2. [ Caption summarizing this results table</w:t>
      </w:r>
      <w:proofErr w:type="gramStart"/>
      <w:r>
        <w:rPr>
          <w:i/>
          <w:iCs/>
          <w:sz w:val="18"/>
          <w:szCs w:val="18"/>
        </w:rPr>
        <w:t>. ]</w:t>
      </w:r>
      <w:proofErr w:type="gramEnd"/>
    </w:p>
    <w:p w14:paraId="3E2FD8FE" w14:textId="77777777" w:rsidR="0017052F" w:rsidRDefault="0017052F">
      <w:pPr>
        <w:spacing w:before="160" w:after="40"/>
        <w:jc w:val="center"/>
      </w:pPr>
    </w:p>
    <w:tbl>
      <w:tblPr>
        <w:tblW w:w="4500" w:type="dxa"/>
        <w:jc w:val="center"/>
        <w:tblBorders>
          <w:top w:val="dashed" w:sz="4" w:space="0" w:color="999999"/>
          <w:left w:val="dashed" w:sz="4" w:space="0" w:color="999999"/>
          <w:bottom w:val="dashed" w:sz="4" w:space="0" w:color="999999"/>
          <w:right w:val="dashed"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17052F" w14:paraId="5A577891" w14:textId="77777777">
        <w:trPr>
          <w:jc w:val="center"/>
        </w:trPr>
        <w:tc>
          <w:tcPr>
            <w:tcW w:w="0" w:type="auto"/>
          </w:tcPr>
          <w:p w14:paraId="4CA468DB" w14:textId="77777777" w:rsidR="0017052F" w:rsidRDefault="0017052F">
            <w:pPr>
              <w:jc w:val="center"/>
            </w:pPr>
          </w:p>
        </w:tc>
      </w:tr>
      <w:tr w:rsidR="0017052F" w14:paraId="24C5006B" w14:textId="77777777">
        <w:trPr>
          <w:jc w:val="center"/>
        </w:trPr>
        <w:tc>
          <w:tcPr>
            <w:tcW w:w="0" w:type="auto"/>
          </w:tcPr>
          <w:p w14:paraId="68B938CD" w14:textId="77777777" w:rsidR="0017052F" w:rsidRDefault="0017052F">
            <w:pPr>
              <w:jc w:val="center"/>
            </w:pPr>
          </w:p>
        </w:tc>
      </w:tr>
      <w:tr w:rsidR="0017052F" w14:paraId="0A419B70" w14:textId="77777777">
        <w:trPr>
          <w:jc w:val="center"/>
        </w:trPr>
        <w:tc>
          <w:tcPr>
            <w:tcW w:w="0" w:type="auto"/>
          </w:tcPr>
          <w:p w14:paraId="34ADCA96" w14:textId="77777777" w:rsidR="0017052F" w:rsidRDefault="0017052F">
            <w:pPr>
              <w:jc w:val="center"/>
            </w:pPr>
          </w:p>
        </w:tc>
      </w:tr>
      <w:tr w:rsidR="0017052F" w14:paraId="74B5F7DC" w14:textId="77777777">
        <w:trPr>
          <w:jc w:val="center"/>
        </w:trPr>
        <w:tc>
          <w:tcPr>
            <w:tcW w:w="0" w:type="auto"/>
          </w:tcPr>
          <w:p w14:paraId="11F4BAFB" w14:textId="071BA1D7" w:rsidR="0017052F" w:rsidRDefault="006152BC">
            <w:pPr>
              <w:jc w:val="center"/>
            </w:pPr>
            <w:r w:rsidRPr="006152BC">
              <w:drawing>
                <wp:inline distT="0" distB="0" distL="0" distR="0" wp14:anchorId="4A1C6D14" wp14:editId="3F91660B">
                  <wp:extent cx="6400800" cy="2379345"/>
                  <wp:effectExtent l="0" t="0" r="0" b="1905"/>
                  <wp:docPr id="176723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31577" name=""/>
                          <pic:cNvPicPr/>
                        </pic:nvPicPr>
                        <pic:blipFill>
                          <a:blip r:embed="rId13"/>
                          <a:stretch>
                            <a:fillRect/>
                          </a:stretch>
                        </pic:blipFill>
                        <pic:spPr>
                          <a:xfrm>
                            <a:off x="0" y="0"/>
                            <a:ext cx="6400800" cy="2379345"/>
                          </a:xfrm>
                          <a:prstGeom prst="rect">
                            <a:avLst/>
                          </a:prstGeom>
                        </pic:spPr>
                      </pic:pic>
                    </a:graphicData>
                  </a:graphic>
                </wp:inline>
              </w:drawing>
            </w:r>
          </w:p>
        </w:tc>
      </w:tr>
      <w:tr w:rsidR="0017052F" w14:paraId="11E857B3" w14:textId="77777777">
        <w:trPr>
          <w:jc w:val="center"/>
        </w:trPr>
        <w:tc>
          <w:tcPr>
            <w:tcW w:w="0" w:type="auto"/>
          </w:tcPr>
          <w:p w14:paraId="03F2BA79" w14:textId="77777777" w:rsidR="0017052F" w:rsidRDefault="00000000">
            <w:pPr>
              <w:jc w:val="center"/>
            </w:pPr>
            <w:r>
              <w:rPr>
                <w:i/>
                <w:iCs/>
                <w:color w:val="808080"/>
                <w:sz w:val="18"/>
                <w:szCs w:val="18"/>
              </w:rPr>
              <w:t xml:space="preserve">[ Figure 3 — Chart visualizing Table </w:t>
            </w:r>
            <w:proofErr w:type="gramStart"/>
            <w:r>
              <w:rPr>
                <w:i/>
                <w:iCs/>
                <w:color w:val="808080"/>
                <w:sz w:val="18"/>
                <w:szCs w:val="18"/>
              </w:rPr>
              <w:t>2 ]</w:t>
            </w:r>
            <w:proofErr w:type="gramEnd"/>
          </w:p>
        </w:tc>
      </w:tr>
      <w:tr w:rsidR="0017052F" w14:paraId="5AB8D8FC" w14:textId="77777777">
        <w:trPr>
          <w:jc w:val="center"/>
        </w:trPr>
        <w:tc>
          <w:tcPr>
            <w:tcW w:w="0" w:type="auto"/>
          </w:tcPr>
          <w:p w14:paraId="19793A28" w14:textId="77777777" w:rsidR="0017052F" w:rsidRDefault="0017052F">
            <w:pPr>
              <w:jc w:val="center"/>
            </w:pPr>
          </w:p>
        </w:tc>
      </w:tr>
      <w:tr w:rsidR="0017052F" w14:paraId="5E1DBDD4" w14:textId="77777777">
        <w:trPr>
          <w:jc w:val="center"/>
        </w:trPr>
        <w:tc>
          <w:tcPr>
            <w:tcW w:w="0" w:type="auto"/>
          </w:tcPr>
          <w:p w14:paraId="00692E31" w14:textId="77777777" w:rsidR="0017052F" w:rsidRDefault="0017052F">
            <w:pPr>
              <w:jc w:val="center"/>
            </w:pPr>
          </w:p>
        </w:tc>
      </w:tr>
      <w:tr w:rsidR="0017052F" w14:paraId="7934C008" w14:textId="77777777">
        <w:trPr>
          <w:jc w:val="center"/>
        </w:trPr>
        <w:tc>
          <w:tcPr>
            <w:tcW w:w="0" w:type="auto"/>
          </w:tcPr>
          <w:p w14:paraId="3608586B" w14:textId="77777777" w:rsidR="0017052F" w:rsidRDefault="0017052F">
            <w:pPr>
              <w:jc w:val="center"/>
            </w:pPr>
          </w:p>
        </w:tc>
      </w:tr>
    </w:tbl>
    <w:p w14:paraId="77B7F7D3" w14:textId="77777777" w:rsidR="0017052F" w:rsidRDefault="00000000">
      <w:pPr>
        <w:spacing w:before="80" w:after="200"/>
        <w:jc w:val="center"/>
      </w:pPr>
      <w:r>
        <w:rPr>
          <w:i/>
          <w:iCs/>
          <w:sz w:val="18"/>
          <w:szCs w:val="18"/>
        </w:rPr>
        <w:t>Fig. 3. [ Caption describing this chart</w:t>
      </w:r>
      <w:proofErr w:type="gramStart"/>
      <w:r>
        <w:rPr>
          <w:i/>
          <w:iCs/>
          <w:sz w:val="18"/>
          <w:szCs w:val="18"/>
        </w:rPr>
        <w:t>. ]</w:t>
      </w:r>
      <w:proofErr w:type="gramEnd"/>
    </w:p>
    <w:p w14:paraId="67AB62D8" w14:textId="77777777" w:rsidR="0017052F" w:rsidRDefault="0017052F">
      <w:pPr>
        <w:sectPr w:rsidR="0017052F">
          <w:footerReference w:type="default" r:id="rId14"/>
          <w:type w:val="continuous"/>
          <w:pgSz w:w="12240" w:h="15840"/>
          <w:pgMar w:top="1080" w:right="1080" w:bottom="1080" w:left="1080" w:header="708" w:footer="708" w:gutter="0"/>
          <w:cols w:space="432"/>
          <w:docGrid w:linePitch="360"/>
        </w:sectPr>
      </w:pPr>
    </w:p>
    <w:p w14:paraId="34FBE8CA" w14:textId="77777777" w:rsidR="0017052F" w:rsidRDefault="00000000">
      <w:pPr>
        <w:keepNext/>
        <w:spacing w:before="180" w:after="100"/>
      </w:pPr>
      <w:r>
        <w:rPr>
          <w:b/>
          <w:bCs/>
          <w:i/>
          <w:iCs/>
        </w:rPr>
        <w:t xml:space="preserve">5.3 [ Additional Result Sub-section, e.g., Error/Confusion </w:t>
      </w:r>
      <w:proofErr w:type="gramStart"/>
      <w:r>
        <w:rPr>
          <w:b/>
          <w:bCs/>
          <w:i/>
          <w:iCs/>
        </w:rPr>
        <w:t>Analysis ]</w:t>
      </w:r>
      <w:proofErr w:type="gramEnd"/>
    </w:p>
    <w:p w14:paraId="45A42AA2" w14:textId="77777777" w:rsidR="000E1408" w:rsidRPr="000E1408" w:rsidRDefault="000E1408">
      <w:pPr>
        <w:keepNext/>
        <w:spacing w:before="180" w:after="100"/>
        <w:rPr>
          <w:i/>
          <w:iCs/>
          <w:color w:val="0D0D0D" w:themeColor="text1" w:themeTint="F2"/>
          <w:sz w:val="19"/>
          <w:szCs w:val="19"/>
        </w:rPr>
      </w:pPr>
      <w:r w:rsidRPr="000E1408">
        <w:rPr>
          <w:i/>
          <w:iCs/>
          <w:color w:val="0D0D0D" w:themeColor="text1" w:themeTint="F2"/>
          <w:sz w:val="19"/>
          <w:szCs w:val="19"/>
        </w:rPr>
        <w:t>A confusion matrix will be used to analyse correct and incorrect predictions for default and non-default cases. Particular attention will be given to false negatives, as missed default cases are important in credit-risk prediction.</w:t>
      </w:r>
    </w:p>
    <w:p w14:paraId="0846171B" w14:textId="438AF9F6" w:rsidR="0017052F" w:rsidRDefault="00000000">
      <w:pPr>
        <w:keepNext/>
        <w:spacing w:before="180" w:after="100"/>
      </w:pPr>
      <w:r>
        <w:rPr>
          <w:b/>
          <w:bCs/>
          <w:i/>
          <w:iCs/>
        </w:rPr>
        <w:t xml:space="preserve">5.4 [ Additional Result Sub-section, e.g., Feature/Factor </w:t>
      </w:r>
      <w:proofErr w:type="gramStart"/>
      <w:r>
        <w:rPr>
          <w:b/>
          <w:bCs/>
          <w:i/>
          <w:iCs/>
        </w:rPr>
        <w:t>Importance ]</w:t>
      </w:r>
      <w:proofErr w:type="gramEnd"/>
    </w:p>
    <w:p w14:paraId="5828BF32" w14:textId="77777777" w:rsidR="000E1408" w:rsidRPr="000E1408" w:rsidRDefault="000E1408">
      <w:pPr>
        <w:keepNext/>
        <w:spacing w:before="260" w:after="120"/>
        <w:rPr>
          <w:i/>
          <w:iCs/>
          <w:color w:val="0D0D0D" w:themeColor="text1" w:themeTint="F2"/>
          <w:sz w:val="19"/>
          <w:szCs w:val="19"/>
        </w:rPr>
      </w:pPr>
      <w:r w:rsidRPr="000E1408">
        <w:rPr>
          <w:i/>
          <w:iCs/>
          <w:color w:val="0D0D0D" w:themeColor="text1" w:themeTint="F2"/>
          <w:sz w:val="19"/>
          <w:szCs w:val="19"/>
        </w:rPr>
        <w:t xml:space="preserve">Feature importance will be analysed to identify the variables contributing most to loan-default predictions. SHAP and LIME will be used to provide global and individual-level explanations of model predictions. </w:t>
      </w:r>
    </w:p>
    <w:p w14:paraId="51652CE4" w14:textId="0BBC76DD" w:rsidR="0017052F" w:rsidRDefault="00000000">
      <w:pPr>
        <w:keepNext/>
        <w:spacing w:before="260" w:after="120"/>
      </w:pPr>
      <w:r>
        <w:rPr>
          <w:b/>
          <w:bCs/>
          <w:color w:val="1F3864"/>
          <w:sz w:val="21"/>
          <w:szCs w:val="21"/>
        </w:rPr>
        <w:t>6. DISCUSSION</w:t>
      </w:r>
    </w:p>
    <w:p w14:paraId="31781413" w14:textId="77777777" w:rsidR="0017052F" w:rsidRDefault="00000000">
      <w:pPr>
        <w:keepNext/>
        <w:spacing w:before="180" w:after="100"/>
      </w:pPr>
      <w:r>
        <w:rPr>
          <w:b/>
          <w:bCs/>
          <w:i/>
          <w:iCs/>
        </w:rPr>
        <w:t>6.1 Interpretation of Findings</w:t>
      </w:r>
    </w:p>
    <w:p w14:paraId="0C6FE3BA" w14:textId="77777777" w:rsidR="000E1408" w:rsidRPr="000E1408" w:rsidRDefault="000E1408">
      <w:pPr>
        <w:keepNext/>
        <w:spacing w:before="180" w:after="100"/>
        <w:rPr>
          <w:i/>
          <w:iCs/>
          <w:color w:val="0D0D0D" w:themeColor="text1" w:themeTint="F2"/>
          <w:sz w:val="19"/>
          <w:szCs w:val="19"/>
        </w:rPr>
      </w:pPr>
      <w:r w:rsidRPr="000E1408">
        <w:rPr>
          <w:i/>
          <w:iCs/>
          <w:color w:val="0D0D0D" w:themeColor="text1" w:themeTint="F2"/>
          <w:sz w:val="19"/>
          <w:szCs w:val="19"/>
        </w:rPr>
        <w:t xml:space="preserve">The final results will be interpreted based on the performance of the five models across the three datasets. Differences </w:t>
      </w:r>
      <w:r w:rsidRPr="000E1408">
        <w:rPr>
          <w:i/>
          <w:iCs/>
          <w:color w:val="0D0D0D" w:themeColor="text1" w:themeTint="F2"/>
          <w:sz w:val="19"/>
          <w:szCs w:val="19"/>
        </w:rPr>
        <w:t>between models will be examined in terms of predictive performance, feature representation, and model complexity.</w:t>
      </w:r>
    </w:p>
    <w:p w14:paraId="2D5D73D2" w14:textId="0C615112" w:rsidR="0017052F" w:rsidRPr="000E1408" w:rsidRDefault="00000000">
      <w:pPr>
        <w:keepNext/>
        <w:spacing w:before="180" w:after="100"/>
        <w:rPr>
          <w:color w:val="0D0D0D" w:themeColor="text1" w:themeTint="F2"/>
        </w:rPr>
      </w:pPr>
      <w:r w:rsidRPr="000E1408">
        <w:rPr>
          <w:b/>
          <w:bCs/>
          <w:i/>
          <w:iCs/>
          <w:color w:val="0D0D0D" w:themeColor="text1" w:themeTint="F2"/>
        </w:rPr>
        <w:t xml:space="preserve">6.2 Comparison </w:t>
      </w:r>
      <w:proofErr w:type="gramStart"/>
      <w:r w:rsidRPr="000E1408">
        <w:rPr>
          <w:b/>
          <w:bCs/>
          <w:i/>
          <w:iCs/>
          <w:color w:val="0D0D0D" w:themeColor="text1" w:themeTint="F2"/>
        </w:rPr>
        <w:t>With</w:t>
      </w:r>
      <w:proofErr w:type="gramEnd"/>
      <w:r w:rsidRPr="000E1408">
        <w:rPr>
          <w:b/>
          <w:bCs/>
          <w:i/>
          <w:iCs/>
          <w:color w:val="0D0D0D" w:themeColor="text1" w:themeTint="F2"/>
        </w:rPr>
        <w:t xml:space="preserve"> Previous Studies</w:t>
      </w:r>
    </w:p>
    <w:p w14:paraId="47C0BDF0" w14:textId="77777777" w:rsidR="000E1408" w:rsidRDefault="000E1408">
      <w:pPr>
        <w:keepNext/>
        <w:spacing w:before="180" w:after="100"/>
        <w:rPr>
          <w:i/>
          <w:iCs/>
          <w:color w:val="0D0D0D" w:themeColor="text1" w:themeTint="F2"/>
          <w:sz w:val="19"/>
          <w:szCs w:val="19"/>
        </w:rPr>
      </w:pPr>
      <w:r w:rsidRPr="000E1408">
        <w:rPr>
          <w:i/>
          <w:iCs/>
          <w:color w:val="0D0D0D" w:themeColor="text1" w:themeTint="F2"/>
          <w:sz w:val="19"/>
          <w:szCs w:val="19"/>
        </w:rPr>
        <w:t>The findings will be compared with the reviewed studies, particularly those using ensemble models and explainable machine learning. The comparison will examine whether the proposed multi-dataset framework and explainability approach address the limitations identified in previous work.</w:t>
      </w:r>
    </w:p>
    <w:p w14:paraId="732B8BDF" w14:textId="05B339E5" w:rsidR="0017052F" w:rsidRPr="000E1408" w:rsidRDefault="00000000">
      <w:pPr>
        <w:keepNext/>
        <w:spacing w:before="180" w:after="100"/>
        <w:rPr>
          <w:color w:val="0D0D0D" w:themeColor="text1" w:themeTint="F2"/>
        </w:rPr>
      </w:pPr>
      <w:r w:rsidRPr="000E1408">
        <w:rPr>
          <w:b/>
          <w:bCs/>
          <w:i/>
          <w:iCs/>
          <w:color w:val="0D0D0D" w:themeColor="text1" w:themeTint="F2"/>
        </w:rPr>
        <w:t>6.3 Theoretical Implications</w:t>
      </w:r>
    </w:p>
    <w:p w14:paraId="1804180B" w14:textId="77777777" w:rsidR="000E1408" w:rsidRDefault="000E1408">
      <w:pPr>
        <w:keepNext/>
        <w:spacing w:before="180" w:after="100"/>
        <w:rPr>
          <w:i/>
          <w:iCs/>
          <w:color w:val="0D0D0D" w:themeColor="text1" w:themeTint="F2"/>
          <w:sz w:val="19"/>
          <w:szCs w:val="19"/>
        </w:rPr>
      </w:pPr>
      <w:r w:rsidRPr="000E1408">
        <w:rPr>
          <w:i/>
          <w:iCs/>
          <w:color w:val="0D0D0D" w:themeColor="text1" w:themeTint="F2"/>
          <w:sz w:val="19"/>
          <w:szCs w:val="19"/>
        </w:rPr>
        <w:t>The study explores how predictive performance and interpretability can be considered together in credit-risk modelling rather than relying only on accuracy-based model selection.</w:t>
      </w:r>
    </w:p>
    <w:p w14:paraId="23F130C4" w14:textId="08B4B804" w:rsidR="0017052F" w:rsidRPr="000E1408" w:rsidRDefault="00000000">
      <w:pPr>
        <w:keepNext/>
        <w:spacing w:before="180" w:after="100"/>
        <w:rPr>
          <w:color w:val="0D0D0D" w:themeColor="text1" w:themeTint="F2"/>
        </w:rPr>
      </w:pPr>
      <w:r w:rsidRPr="000E1408">
        <w:rPr>
          <w:b/>
          <w:bCs/>
          <w:i/>
          <w:iCs/>
          <w:color w:val="0D0D0D" w:themeColor="text1" w:themeTint="F2"/>
        </w:rPr>
        <w:t>6.4 Practical Implications</w:t>
      </w:r>
    </w:p>
    <w:p w14:paraId="3B57FEB3" w14:textId="77777777" w:rsidR="000E1408" w:rsidRDefault="000E1408">
      <w:pPr>
        <w:keepNext/>
        <w:spacing w:before="180" w:after="100"/>
        <w:rPr>
          <w:i/>
          <w:iCs/>
          <w:color w:val="0D0D0D" w:themeColor="text1" w:themeTint="F2"/>
          <w:sz w:val="19"/>
          <w:szCs w:val="19"/>
        </w:rPr>
      </w:pPr>
      <w:r w:rsidRPr="000E1408">
        <w:rPr>
          <w:i/>
          <w:iCs/>
          <w:color w:val="0D0D0D" w:themeColor="text1" w:themeTint="F2"/>
          <w:sz w:val="19"/>
          <w:szCs w:val="19"/>
        </w:rPr>
        <w:t xml:space="preserve">The proposed framework can support credit-risk decision-making by combining default predictions with understandable explanations. The planned dashboard will present model </w:t>
      </w:r>
      <w:r w:rsidRPr="000E1408">
        <w:rPr>
          <w:i/>
          <w:iCs/>
          <w:color w:val="0D0D0D" w:themeColor="text1" w:themeTint="F2"/>
          <w:sz w:val="19"/>
          <w:szCs w:val="19"/>
        </w:rPr>
        <w:lastRenderedPageBreak/>
        <w:t xml:space="preserve">outputs and risk-related insights in a form suitable for decision support. </w:t>
      </w:r>
    </w:p>
    <w:p w14:paraId="5661FFE6" w14:textId="5E77F752" w:rsidR="0017052F" w:rsidRPr="000E1408" w:rsidRDefault="00000000">
      <w:pPr>
        <w:keepNext/>
        <w:spacing w:before="180" w:after="100"/>
        <w:rPr>
          <w:color w:val="0D0D0D" w:themeColor="text1" w:themeTint="F2"/>
        </w:rPr>
      </w:pPr>
      <w:r w:rsidRPr="000E1408">
        <w:rPr>
          <w:b/>
          <w:bCs/>
          <w:i/>
          <w:iCs/>
          <w:color w:val="0D0D0D" w:themeColor="text1" w:themeTint="F2"/>
        </w:rPr>
        <w:t>6.5 Unexpected Findings</w:t>
      </w:r>
    </w:p>
    <w:p w14:paraId="38D4CBCC" w14:textId="77777777" w:rsidR="000E1408" w:rsidRDefault="000E1408">
      <w:pPr>
        <w:keepNext/>
        <w:spacing w:before="260" w:after="120"/>
        <w:rPr>
          <w:i/>
          <w:iCs/>
          <w:color w:val="0D0D0D" w:themeColor="text1" w:themeTint="F2"/>
          <w:sz w:val="19"/>
          <w:szCs w:val="19"/>
        </w:rPr>
      </w:pPr>
      <w:r w:rsidRPr="000E1408">
        <w:rPr>
          <w:i/>
          <w:iCs/>
          <w:color w:val="0D0D0D" w:themeColor="text1" w:themeTint="F2"/>
          <w:sz w:val="19"/>
          <w:szCs w:val="19"/>
        </w:rPr>
        <w:t>Any unexpected differences in model performance, feature importance, or dataset behaviour will be reported after the experimental evaluation is completed.</w:t>
      </w:r>
    </w:p>
    <w:p w14:paraId="72692B9D" w14:textId="7E3B0251" w:rsidR="0017052F" w:rsidRPr="000E1408" w:rsidRDefault="00000000">
      <w:pPr>
        <w:keepNext/>
        <w:spacing w:before="260" w:after="120"/>
        <w:rPr>
          <w:color w:val="0D0D0D" w:themeColor="text1" w:themeTint="F2"/>
        </w:rPr>
      </w:pPr>
      <w:r w:rsidRPr="000E1408">
        <w:rPr>
          <w:b/>
          <w:bCs/>
          <w:color w:val="0D0D0D" w:themeColor="text1" w:themeTint="F2"/>
          <w:sz w:val="21"/>
          <w:szCs w:val="21"/>
        </w:rPr>
        <w:t>7. LIMITATIONS</w:t>
      </w:r>
    </w:p>
    <w:p w14:paraId="686FCE3D" w14:textId="77777777" w:rsidR="000E1408" w:rsidRPr="000E1408" w:rsidRDefault="000E1408" w:rsidP="000E1408">
      <w:pPr>
        <w:keepNext/>
        <w:spacing w:before="260" w:after="120"/>
        <w:rPr>
          <w:color w:val="0D0D0D" w:themeColor="text1" w:themeTint="F2"/>
          <w:sz w:val="19"/>
          <w:szCs w:val="19"/>
        </w:rPr>
      </w:pPr>
      <w:r w:rsidRPr="000E1408">
        <w:rPr>
          <w:b/>
          <w:bCs/>
          <w:color w:val="0D0D0D" w:themeColor="text1" w:themeTint="F2"/>
          <w:sz w:val="19"/>
          <w:szCs w:val="19"/>
        </w:rPr>
        <w:t>Project-stage limitation</w:t>
      </w:r>
      <w:r w:rsidRPr="000E1408">
        <w:rPr>
          <w:color w:val="0D0D0D" w:themeColor="text1" w:themeTint="F2"/>
          <w:sz w:val="19"/>
          <w:szCs w:val="19"/>
        </w:rPr>
        <w:t xml:space="preserve"> — Final experimental results are not yet available because the implementation and evaluation are still in progress.</w:t>
      </w:r>
    </w:p>
    <w:p w14:paraId="2447DD5E" w14:textId="77777777" w:rsidR="000E1408" w:rsidRPr="000E1408" w:rsidRDefault="000E1408" w:rsidP="000E1408">
      <w:pPr>
        <w:keepNext/>
        <w:spacing w:before="260" w:after="120"/>
        <w:rPr>
          <w:color w:val="0D0D0D" w:themeColor="text1" w:themeTint="F2"/>
          <w:sz w:val="19"/>
          <w:szCs w:val="19"/>
        </w:rPr>
      </w:pPr>
      <w:r w:rsidRPr="000E1408">
        <w:rPr>
          <w:color w:val="0D0D0D" w:themeColor="text1" w:themeTint="F2"/>
          <w:sz w:val="19"/>
          <w:szCs w:val="19"/>
        </w:rPr>
        <w:t xml:space="preserve">• </w:t>
      </w:r>
      <w:r w:rsidRPr="000E1408">
        <w:rPr>
          <w:b/>
          <w:bCs/>
          <w:color w:val="0D0D0D" w:themeColor="text1" w:themeTint="F2"/>
          <w:sz w:val="19"/>
          <w:szCs w:val="19"/>
        </w:rPr>
        <w:t>Data limitation</w:t>
      </w:r>
      <w:r w:rsidRPr="000E1408">
        <w:rPr>
          <w:color w:val="0D0D0D" w:themeColor="text1" w:themeTint="F2"/>
          <w:sz w:val="19"/>
          <w:szCs w:val="19"/>
        </w:rPr>
        <w:t xml:space="preserve"> — The study uses publicly available datasets that differ in structure, variables, and credit-risk characteristics.</w:t>
      </w:r>
    </w:p>
    <w:p w14:paraId="740430F8" w14:textId="77777777" w:rsidR="000E1408" w:rsidRPr="000E1408" w:rsidRDefault="000E1408" w:rsidP="000E1408">
      <w:pPr>
        <w:keepNext/>
        <w:spacing w:before="260" w:after="120"/>
        <w:rPr>
          <w:color w:val="0D0D0D" w:themeColor="text1" w:themeTint="F2"/>
          <w:sz w:val="19"/>
          <w:szCs w:val="19"/>
        </w:rPr>
      </w:pPr>
      <w:r w:rsidRPr="000E1408">
        <w:rPr>
          <w:color w:val="0D0D0D" w:themeColor="text1" w:themeTint="F2"/>
          <w:sz w:val="19"/>
          <w:szCs w:val="19"/>
        </w:rPr>
        <w:t xml:space="preserve">• </w:t>
      </w:r>
      <w:r w:rsidRPr="000E1408">
        <w:rPr>
          <w:b/>
          <w:bCs/>
          <w:color w:val="0D0D0D" w:themeColor="text1" w:themeTint="F2"/>
          <w:sz w:val="19"/>
          <w:szCs w:val="19"/>
        </w:rPr>
        <w:t>Method limitation</w:t>
      </w:r>
      <w:r w:rsidRPr="000E1408">
        <w:rPr>
          <w:color w:val="0D0D0D" w:themeColor="text1" w:themeTint="F2"/>
          <w:sz w:val="19"/>
          <w:szCs w:val="19"/>
        </w:rPr>
        <w:t xml:space="preserve"> — Model performance may depend on preprocessing, feature engineering, and class-imbalance handling.</w:t>
      </w:r>
    </w:p>
    <w:p w14:paraId="5FD7816B" w14:textId="77777777" w:rsidR="000E1408" w:rsidRPr="000E1408" w:rsidRDefault="000E1408" w:rsidP="000E1408">
      <w:pPr>
        <w:keepNext/>
        <w:spacing w:before="260" w:after="120"/>
        <w:rPr>
          <w:color w:val="0D0D0D" w:themeColor="text1" w:themeTint="F2"/>
          <w:sz w:val="19"/>
          <w:szCs w:val="19"/>
        </w:rPr>
      </w:pPr>
      <w:r w:rsidRPr="000E1408">
        <w:rPr>
          <w:color w:val="0D0D0D" w:themeColor="text1" w:themeTint="F2"/>
          <w:sz w:val="19"/>
          <w:szCs w:val="19"/>
        </w:rPr>
        <w:t xml:space="preserve">• </w:t>
      </w:r>
      <w:r w:rsidRPr="000E1408">
        <w:rPr>
          <w:b/>
          <w:bCs/>
          <w:color w:val="0D0D0D" w:themeColor="text1" w:themeTint="F2"/>
          <w:sz w:val="19"/>
          <w:szCs w:val="19"/>
        </w:rPr>
        <w:t>Generalizability limitation</w:t>
      </w:r>
      <w:r w:rsidRPr="000E1408">
        <w:rPr>
          <w:color w:val="0D0D0D" w:themeColor="text1" w:themeTint="F2"/>
          <w:sz w:val="19"/>
          <w:szCs w:val="19"/>
        </w:rPr>
        <w:t xml:space="preserve"> — Results obtained from public datasets may not directly represent every real-world banking environment.</w:t>
      </w:r>
    </w:p>
    <w:p w14:paraId="3C25BB7F" w14:textId="77777777" w:rsidR="0017052F" w:rsidRPr="000E1408" w:rsidRDefault="00000000">
      <w:pPr>
        <w:keepNext/>
        <w:spacing w:before="260" w:after="120"/>
        <w:rPr>
          <w:color w:val="0D0D0D" w:themeColor="text1" w:themeTint="F2"/>
        </w:rPr>
      </w:pPr>
      <w:r w:rsidRPr="000E1408">
        <w:rPr>
          <w:b/>
          <w:bCs/>
          <w:color w:val="0D0D0D" w:themeColor="text1" w:themeTint="F2"/>
          <w:sz w:val="21"/>
          <w:szCs w:val="21"/>
        </w:rPr>
        <w:t>8. CONCLUSION AND FUTURE WORK</w:t>
      </w:r>
    </w:p>
    <w:p w14:paraId="03E2BF61" w14:textId="77777777" w:rsidR="000E1408" w:rsidRDefault="000E1408">
      <w:pPr>
        <w:keepNext/>
        <w:spacing w:before="260" w:after="120"/>
        <w:rPr>
          <w:i/>
          <w:iCs/>
          <w:color w:val="0D0D0D" w:themeColor="text1" w:themeTint="F2"/>
          <w:sz w:val="19"/>
          <w:szCs w:val="19"/>
        </w:rPr>
      </w:pPr>
      <w:r w:rsidRPr="000E1408">
        <w:rPr>
          <w:i/>
          <w:iCs/>
          <w:color w:val="0D0D0D" w:themeColor="text1" w:themeTint="F2"/>
          <w:sz w:val="19"/>
          <w:szCs w:val="19"/>
        </w:rPr>
        <w:t xml:space="preserve">This paper proposes an AI-driven framework for loan-default prediction using banking analytics and explainable machine learning. The framework considers three credit datasets and compares five machine-learning models using multiple evaluation metrics. SHAP and LIME are incorporated to improve the interpretability of predictions, while a visualization dashboard is proposed for decision support. The overall approach combines predictive modelling, multi-dataset evaluation, explainability, and visualization. </w:t>
      </w:r>
    </w:p>
    <w:p w14:paraId="71FA986E" w14:textId="52D69E69" w:rsidR="000E1408" w:rsidRDefault="000E1408">
      <w:pPr>
        <w:keepNext/>
        <w:spacing w:before="260" w:after="120"/>
        <w:rPr>
          <w:i/>
          <w:iCs/>
          <w:color w:val="0D0D0D" w:themeColor="text1" w:themeTint="F2"/>
          <w:sz w:val="19"/>
          <w:szCs w:val="19"/>
        </w:rPr>
      </w:pPr>
      <w:r w:rsidRPr="000E1408">
        <w:rPr>
          <w:b/>
          <w:bCs/>
          <w:i/>
          <w:iCs/>
          <w:color w:val="0D0D0D" w:themeColor="text1" w:themeTint="F2"/>
          <w:sz w:val="19"/>
          <w:szCs w:val="19"/>
        </w:rPr>
        <w:t>Future work:</w:t>
      </w:r>
      <w:r w:rsidRPr="000E1408">
        <w:rPr>
          <w:i/>
          <w:iCs/>
          <w:color w:val="0D0D0D" w:themeColor="text1" w:themeTint="F2"/>
          <w:sz w:val="19"/>
          <w:szCs w:val="19"/>
        </w:rPr>
        <w:br/>
        <w:t xml:space="preserve">• Implement and evaluate the five proposed models across the </w:t>
      </w:r>
      <w:r w:rsidRPr="000E1408">
        <w:rPr>
          <w:i/>
          <w:iCs/>
          <w:color w:val="0D0D0D" w:themeColor="text1" w:themeTint="F2"/>
          <w:sz w:val="19"/>
          <w:szCs w:val="19"/>
        </w:rPr>
        <w:t>three datasets.</w:t>
      </w:r>
      <w:r w:rsidRPr="000E1408">
        <w:rPr>
          <w:i/>
          <w:iCs/>
          <w:color w:val="0D0D0D" w:themeColor="text1" w:themeTint="F2"/>
          <w:sz w:val="19"/>
          <w:szCs w:val="19"/>
        </w:rPr>
        <w:br/>
        <w:t>• Complete SHAP and LIME explainability analysis.</w:t>
      </w:r>
      <w:r w:rsidRPr="000E1408">
        <w:rPr>
          <w:i/>
          <w:iCs/>
          <w:color w:val="0D0D0D" w:themeColor="text1" w:themeTint="F2"/>
          <w:sz w:val="19"/>
          <w:szCs w:val="19"/>
        </w:rPr>
        <w:br/>
        <w:t>• Develop the visualization dashboard.</w:t>
      </w:r>
      <w:r w:rsidRPr="000E1408">
        <w:rPr>
          <w:i/>
          <w:iCs/>
          <w:color w:val="0D0D0D" w:themeColor="text1" w:themeTint="F2"/>
          <w:sz w:val="19"/>
          <w:szCs w:val="19"/>
        </w:rPr>
        <w:br/>
        <w:t>• Analyse and report the final experimental results.</w:t>
      </w:r>
    </w:p>
    <w:p w14:paraId="6F4B6D60" w14:textId="63A31ED5" w:rsidR="0017052F" w:rsidRPr="000E1408" w:rsidRDefault="00000000">
      <w:pPr>
        <w:keepNext/>
        <w:spacing w:before="260" w:after="120"/>
        <w:rPr>
          <w:color w:val="0D0D0D" w:themeColor="text1" w:themeTint="F2"/>
        </w:rPr>
      </w:pPr>
      <w:r w:rsidRPr="000E1408">
        <w:rPr>
          <w:b/>
          <w:bCs/>
          <w:color w:val="0D0D0D" w:themeColor="text1" w:themeTint="F2"/>
          <w:sz w:val="21"/>
          <w:szCs w:val="21"/>
        </w:rPr>
        <w:t>DECLARATIONS</w:t>
      </w:r>
    </w:p>
    <w:p w14:paraId="3BAFE620" w14:textId="77777777" w:rsidR="0017052F" w:rsidRPr="000E1408" w:rsidRDefault="00000000">
      <w:pPr>
        <w:keepNext/>
        <w:spacing w:before="180" w:after="100"/>
        <w:rPr>
          <w:color w:val="0D0D0D" w:themeColor="text1" w:themeTint="F2"/>
        </w:rPr>
      </w:pPr>
      <w:r w:rsidRPr="000E1408">
        <w:rPr>
          <w:b/>
          <w:bCs/>
          <w:i/>
          <w:iCs/>
          <w:color w:val="0D0D0D" w:themeColor="text1" w:themeTint="F2"/>
        </w:rPr>
        <w:t>Funding</w:t>
      </w:r>
    </w:p>
    <w:p w14:paraId="4B3725DA" w14:textId="77777777" w:rsidR="000E1408" w:rsidRDefault="000E1408">
      <w:pPr>
        <w:keepNext/>
        <w:spacing w:before="180" w:after="100"/>
        <w:rPr>
          <w:i/>
          <w:iCs/>
          <w:color w:val="0D0D0D" w:themeColor="text1" w:themeTint="F2"/>
          <w:sz w:val="19"/>
          <w:szCs w:val="19"/>
        </w:rPr>
      </w:pPr>
      <w:r w:rsidRPr="000E1408">
        <w:rPr>
          <w:i/>
          <w:iCs/>
          <w:color w:val="0D0D0D" w:themeColor="text1" w:themeTint="F2"/>
          <w:sz w:val="19"/>
          <w:szCs w:val="19"/>
        </w:rPr>
        <w:t>No external funding was received for this project.</w:t>
      </w:r>
    </w:p>
    <w:p w14:paraId="6076CA5A" w14:textId="3F4EC061" w:rsidR="0017052F" w:rsidRPr="000E1408" w:rsidRDefault="00000000">
      <w:pPr>
        <w:keepNext/>
        <w:spacing w:before="180" w:after="100"/>
        <w:rPr>
          <w:color w:val="0D0D0D" w:themeColor="text1" w:themeTint="F2"/>
        </w:rPr>
      </w:pPr>
      <w:r w:rsidRPr="000E1408">
        <w:rPr>
          <w:b/>
          <w:bCs/>
          <w:i/>
          <w:iCs/>
          <w:color w:val="0D0D0D" w:themeColor="text1" w:themeTint="F2"/>
        </w:rPr>
        <w:t>Conflict of Interest</w:t>
      </w:r>
    </w:p>
    <w:p w14:paraId="07AD78A5" w14:textId="77777777" w:rsidR="00410367" w:rsidRDefault="00410367">
      <w:pPr>
        <w:keepNext/>
        <w:spacing w:before="180" w:after="100"/>
        <w:rPr>
          <w:i/>
          <w:iCs/>
          <w:color w:val="0D0D0D" w:themeColor="text1" w:themeTint="F2"/>
          <w:sz w:val="19"/>
          <w:szCs w:val="19"/>
        </w:rPr>
      </w:pPr>
      <w:r w:rsidRPr="00410367">
        <w:rPr>
          <w:i/>
          <w:iCs/>
          <w:color w:val="0D0D0D" w:themeColor="text1" w:themeTint="F2"/>
          <w:sz w:val="19"/>
          <w:szCs w:val="19"/>
        </w:rPr>
        <w:t>The authors declare that there is no conflict of interest.</w:t>
      </w:r>
    </w:p>
    <w:p w14:paraId="066F4852" w14:textId="5A6C4C06" w:rsidR="0017052F" w:rsidRPr="000E1408" w:rsidRDefault="00000000">
      <w:pPr>
        <w:keepNext/>
        <w:spacing w:before="180" w:after="100"/>
        <w:rPr>
          <w:color w:val="0D0D0D" w:themeColor="text1" w:themeTint="F2"/>
        </w:rPr>
      </w:pPr>
      <w:r w:rsidRPr="000E1408">
        <w:rPr>
          <w:b/>
          <w:bCs/>
          <w:i/>
          <w:iCs/>
          <w:color w:val="0D0D0D" w:themeColor="text1" w:themeTint="F2"/>
        </w:rPr>
        <w:t>Ethics Statement</w:t>
      </w:r>
    </w:p>
    <w:p w14:paraId="1E9E7D28" w14:textId="77777777" w:rsidR="00410367" w:rsidRDefault="00410367">
      <w:pPr>
        <w:keepNext/>
        <w:spacing w:before="180" w:after="100"/>
        <w:rPr>
          <w:i/>
          <w:iCs/>
          <w:color w:val="0D0D0D" w:themeColor="text1" w:themeTint="F2"/>
          <w:sz w:val="19"/>
          <w:szCs w:val="19"/>
        </w:rPr>
      </w:pPr>
      <w:r w:rsidRPr="00410367">
        <w:rPr>
          <w:i/>
          <w:iCs/>
          <w:color w:val="0D0D0D" w:themeColor="text1" w:themeTint="F2"/>
          <w:sz w:val="19"/>
          <w:szCs w:val="19"/>
        </w:rPr>
        <w:t>The study uses publicly available datasets and does not involve direct data collection from human participants.</w:t>
      </w:r>
    </w:p>
    <w:p w14:paraId="15437EC2" w14:textId="501DB466" w:rsidR="0017052F" w:rsidRPr="000E1408" w:rsidRDefault="00000000">
      <w:pPr>
        <w:keepNext/>
        <w:spacing w:before="180" w:after="100"/>
        <w:rPr>
          <w:color w:val="0D0D0D" w:themeColor="text1" w:themeTint="F2"/>
        </w:rPr>
      </w:pPr>
      <w:r w:rsidRPr="000E1408">
        <w:rPr>
          <w:b/>
          <w:bCs/>
          <w:i/>
          <w:iCs/>
          <w:color w:val="0D0D0D" w:themeColor="text1" w:themeTint="F2"/>
        </w:rPr>
        <w:t>Data Availability</w:t>
      </w:r>
    </w:p>
    <w:p w14:paraId="2D26889A" w14:textId="77777777" w:rsidR="00410367" w:rsidRDefault="00410367">
      <w:pPr>
        <w:keepNext/>
        <w:spacing w:before="180" w:after="100"/>
        <w:rPr>
          <w:i/>
          <w:iCs/>
          <w:color w:val="0D0D0D" w:themeColor="text1" w:themeTint="F2"/>
          <w:sz w:val="19"/>
          <w:szCs w:val="19"/>
        </w:rPr>
      </w:pPr>
      <w:r w:rsidRPr="00410367">
        <w:rPr>
          <w:i/>
          <w:iCs/>
          <w:color w:val="0D0D0D" w:themeColor="text1" w:themeTint="F2"/>
          <w:sz w:val="19"/>
          <w:szCs w:val="19"/>
        </w:rPr>
        <w:t xml:space="preserve">The study uses publicly available Lending Club, </w:t>
      </w:r>
      <w:proofErr w:type="spellStart"/>
      <w:r w:rsidRPr="00410367">
        <w:rPr>
          <w:i/>
          <w:iCs/>
          <w:color w:val="0D0D0D" w:themeColor="text1" w:themeTint="F2"/>
          <w:sz w:val="19"/>
          <w:szCs w:val="19"/>
        </w:rPr>
        <w:t>Statlog</w:t>
      </w:r>
      <w:proofErr w:type="spellEnd"/>
      <w:r w:rsidRPr="00410367">
        <w:rPr>
          <w:i/>
          <w:iCs/>
          <w:color w:val="0D0D0D" w:themeColor="text1" w:themeTint="F2"/>
          <w:sz w:val="19"/>
          <w:szCs w:val="19"/>
        </w:rPr>
        <w:t xml:space="preserve"> German Credit, and Home Credit datasets.</w:t>
      </w:r>
    </w:p>
    <w:p w14:paraId="372F43D4" w14:textId="26CD4D98" w:rsidR="0017052F" w:rsidRPr="000E1408" w:rsidRDefault="00000000">
      <w:pPr>
        <w:keepNext/>
        <w:spacing w:before="180" w:after="100"/>
        <w:rPr>
          <w:color w:val="0D0D0D" w:themeColor="text1" w:themeTint="F2"/>
        </w:rPr>
      </w:pPr>
      <w:r w:rsidRPr="000E1408">
        <w:rPr>
          <w:b/>
          <w:bCs/>
          <w:i/>
          <w:iCs/>
          <w:color w:val="0D0D0D" w:themeColor="text1" w:themeTint="F2"/>
        </w:rPr>
        <w:t>Author Contributions</w:t>
      </w:r>
    </w:p>
    <w:p w14:paraId="7A353892" w14:textId="77777777" w:rsidR="00410367" w:rsidRPr="00410367" w:rsidRDefault="00410367" w:rsidP="00410367">
      <w:pPr>
        <w:keepNext/>
        <w:spacing w:before="180" w:after="100"/>
        <w:rPr>
          <w:i/>
          <w:iCs/>
          <w:color w:val="0D0D0D" w:themeColor="text1" w:themeTint="F2"/>
          <w:sz w:val="19"/>
          <w:szCs w:val="19"/>
        </w:rPr>
      </w:pPr>
      <w:r w:rsidRPr="00410367">
        <w:rPr>
          <w:b/>
          <w:bCs/>
          <w:i/>
          <w:iCs/>
          <w:color w:val="0D0D0D" w:themeColor="text1" w:themeTint="F2"/>
          <w:sz w:val="19"/>
          <w:szCs w:val="19"/>
        </w:rPr>
        <w:t>Tejasree Sagiraju</w:t>
      </w:r>
      <w:r w:rsidRPr="00410367">
        <w:rPr>
          <w:i/>
          <w:iCs/>
          <w:color w:val="0D0D0D" w:themeColor="text1" w:themeTint="F2"/>
          <w:sz w:val="19"/>
          <w:szCs w:val="19"/>
        </w:rPr>
        <w:t xml:space="preserve"> — Data analysis, machine-learning methodology, documentation, and project development.</w:t>
      </w:r>
    </w:p>
    <w:p w14:paraId="66C833D8" w14:textId="77777777" w:rsidR="00410367" w:rsidRPr="00410367" w:rsidRDefault="00410367" w:rsidP="00410367">
      <w:pPr>
        <w:keepNext/>
        <w:spacing w:before="180" w:after="100"/>
        <w:rPr>
          <w:i/>
          <w:iCs/>
          <w:color w:val="0D0D0D" w:themeColor="text1" w:themeTint="F2"/>
          <w:sz w:val="19"/>
          <w:szCs w:val="19"/>
        </w:rPr>
      </w:pPr>
      <w:r w:rsidRPr="00410367">
        <w:rPr>
          <w:b/>
          <w:bCs/>
          <w:i/>
          <w:iCs/>
          <w:color w:val="0D0D0D" w:themeColor="text1" w:themeTint="F2"/>
          <w:sz w:val="19"/>
          <w:szCs w:val="19"/>
        </w:rPr>
        <w:t xml:space="preserve">Sruthi </w:t>
      </w:r>
      <w:proofErr w:type="spellStart"/>
      <w:r w:rsidRPr="00410367">
        <w:rPr>
          <w:b/>
          <w:bCs/>
          <w:i/>
          <w:iCs/>
          <w:color w:val="0D0D0D" w:themeColor="text1" w:themeTint="F2"/>
          <w:sz w:val="19"/>
          <w:szCs w:val="19"/>
        </w:rPr>
        <w:t>Bhatraju</w:t>
      </w:r>
      <w:proofErr w:type="spellEnd"/>
      <w:r w:rsidRPr="00410367">
        <w:rPr>
          <w:i/>
          <w:iCs/>
          <w:color w:val="0D0D0D" w:themeColor="text1" w:themeTint="F2"/>
          <w:sz w:val="19"/>
          <w:szCs w:val="19"/>
        </w:rPr>
        <w:t xml:space="preserve"> — Data preprocessing, analysis, and documentation.</w:t>
      </w:r>
    </w:p>
    <w:p w14:paraId="2979DA95" w14:textId="77777777" w:rsidR="00410367" w:rsidRPr="00410367" w:rsidRDefault="00410367" w:rsidP="00410367">
      <w:pPr>
        <w:keepNext/>
        <w:spacing w:before="180" w:after="100"/>
        <w:rPr>
          <w:i/>
          <w:iCs/>
          <w:color w:val="0D0D0D" w:themeColor="text1" w:themeTint="F2"/>
          <w:sz w:val="19"/>
          <w:szCs w:val="19"/>
        </w:rPr>
      </w:pPr>
      <w:r w:rsidRPr="00410367">
        <w:rPr>
          <w:b/>
          <w:bCs/>
          <w:i/>
          <w:iCs/>
          <w:color w:val="0D0D0D" w:themeColor="text1" w:themeTint="F2"/>
          <w:sz w:val="19"/>
          <w:szCs w:val="19"/>
        </w:rPr>
        <w:t>B. Bhavya Sai Sree</w:t>
      </w:r>
      <w:r w:rsidRPr="00410367">
        <w:rPr>
          <w:i/>
          <w:iCs/>
          <w:color w:val="0D0D0D" w:themeColor="text1" w:themeTint="F2"/>
          <w:sz w:val="19"/>
          <w:szCs w:val="19"/>
        </w:rPr>
        <w:t xml:space="preserve"> — Model evaluation, visualization, and documentation.</w:t>
      </w:r>
    </w:p>
    <w:p w14:paraId="4C840599" w14:textId="77777777" w:rsidR="0017052F" w:rsidRPr="000E1408" w:rsidRDefault="00000000">
      <w:pPr>
        <w:keepNext/>
        <w:spacing w:before="180" w:after="100"/>
        <w:rPr>
          <w:color w:val="0D0D0D" w:themeColor="text1" w:themeTint="F2"/>
        </w:rPr>
      </w:pPr>
      <w:r w:rsidRPr="000E1408">
        <w:rPr>
          <w:b/>
          <w:bCs/>
          <w:i/>
          <w:iCs/>
          <w:color w:val="0D0D0D" w:themeColor="text1" w:themeTint="F2"/>
        </w:rPr>
        <w:t>Acknowledgements</w:t>
      </w:r>
    </w:p>
    <w:p w14:paraId="0B4A4C91" w14:textId="390AF618" w:rsidR="0017052F" w:rsidRPr="000E1408" w:rsidRDefault="00410367">
      <w:pPr>
        <w:rPr>
          <w:color w:val="0D0D0D" w:themeColor="text1" w:themeTint="F2"/>
        </w:rPr>
        <w:sectPr w:rsidR="0017052F" w:rsidRPr="000E1408">
          <w:footerReference w:type="default" r:id="rId15"/>
          <w:type w:val="continuous"/>
          <w:pgSz w:w="12240" w:h="15840"/>
          <w:pgMar w:top="1080" w:right="1080" w:bottom="1080" w:left="1080" w:header="708" w:footer="708" w:gutter="0"/>
          <w:cols w:num="2" w:space="432"/>
          <w:docGrid w:linePitch="360"/>
        </w:sectPr>
      </w:pPr>
      <w:r w:rsidRPr="00410367">
        <w:rPr>
          <w:i/>
          <w:iCs/>
          <w:color w:val="0D0D0D" w:themeColor="text1" w:themeTint="F2"/>
          <w:sz w:val="19"/>
          <w:szCs w:val="19"/>
        </w:rPr>
        <w:t xml:space="preserve">The authors would like to thank </w:t>
      </w:r>
      <w:r w:rsidRPr="00410367">
        <w:rPr>
          <w:b/>
          <w:bCs/>
          <w:i/>
          <w:iCs/>
          <w:color w:val="0D0D0D" w:themeColor="text1" w:themeTint="F2"/>
          <w:sz w:val="19"/>
          <w:szCs w:val="19"/>
        </w:rPr>
        <w:t>K. Swapnika</w:t>
      </w:r>
      <w:r w:rsidRPr="00410367">
        <w:rPr>
          <w:i/>
          <w:iCs/>
          <w:color w:val="0D0D0D" w:themeColor="text1" w:themeTint="F2"/>
          <w:sz w:val="19"/>
          <w:szCs w:val="19"/>
        </w:rPr>
        <w:t xml:space="preserve"> for her guidance and support throughout the project.</w:t>
      </w:r>
    </w:p>
    <w:p w14:paraId="3C681671" w14:textId="77777777" w:rsidR="0017052F" w:rsidRPr="000E1408" w:rsidRDefault="00000000">
      <w:pPr>
        <w:keepNext/>
        <w:spacing w:before="260" w:after="120"/>
        <w:rPr>
          <w:color w:val="0D0D0D" w:themeColor="text1" w:themeTint="F2"/>
        </w:rPr>
      </w:pPr>
      <w:r w:rsidRPr="000E1408">
        <w:rPr>
          <w:b/>
          <w:bCs/>
          <w:color w:val="0D0D0D" w:themeColor="text1" w:themeTint="F2"/>
          <w:sz w:val="21"/>
          <w:szCs w:val="21"/>
        </w:rPr>
        <w:t>REFERENCES</w:t>
      </w:r>
    </w:p>
    <w:p w14:paraId="15795610" w14:textId="77777777" w:rsidR="00410367" w:rsidRPr="00410367" w:rsidRDefault="00410367" w:rsidP="00410367">
      <w:pPr>
        <w:spacing w:after="90"/>
        <w:ind w:left="316" w:hanging="316"/>
        <w:jc w:val="both"/>
        <w:rPr>
          <w:color w:val="0D0D0D" w:themeColor="text1" w:themeTint="F2"/>
          <w:sz w:val="19"/>
          <w:szCs w:val="19"/>
        </w:rPr>
      </w:pPr>
      <w:r w:rsidRPr="00410367">
        <w:rPr>
          <w:color w:val="0D0D0D" w:themeColor="text1" w:themeTint="F2"/>
          <w:sz w:val="19"/>
          <w:szCs w:val="19"/>
        </w:rPr>
        <w:t xml:space="preserve">1] I. </w:t>
      </w:r>
      <w:proofErr w:type="spellStart"/>
      <w:r w:rsidRPr="00410367">
        <w:rPr>
          <w:color w:val="0D0D0D" w:themeColor="text1" w:themeTint="F2"/>
          <w:sz w:val="19"/>
          <w:szCs w:val="19"/>
        </w:rPr>
        <w:t>Aruleba</w:t>
      </w:r>
      <w:proofErr w:type="spellEnd"/>
      <w:r w:rsidRPr="00410367">
        <w:rPr>
          <w:color w:val="0D0D0D" w:themeColor="text1" w:themeTint="F2"/>
          <w:sz w:val="19"/>
          <w:szCs w:val="19"/>
        </w:rPr>
        <w:t xml:space="preserve"> and Y. Sun, “Effective Credit Risk Prediction Using Ensemble Classifiers </w:t>
      </w:r>
      <w:proofErr w:type="gramStart"/>
      <w:r w:rsidRPr="00410367">
        <w:rPr>
          <w:color w:val="0D0D0D" w:themeColor="text1" w:themeTint="F2"/>
          <w:sz w:val="19"/>
          <w:szCs w:val="19"/>
        </w:rPr>
        <w:t>With</w:t>
      </w:r>
      <w:proofErr w:type="gramEnd"/>
      <w:r w:rsidRPr="00410367">
        <w:rPr>
          <w:color w:val="0D0D0D" w:themeColor="text1" w:themeTint="F2"/>
          <w:sz w:val="19"/>
          <w:szCs w:val="19"/>
        </w:rPr>
        <w:t xml:space="preserve"> Model Explanation,” </w:t>
      </w:r>
      <w:r w:rsidRPr="00410367">
        <w:rPr>
          <w:i/>
          <w:iCs/>
          <w:color w:val="0D0D0D" w:themeColor="text1" w:themeTint="F2"/>
          <w:sz w:val="19"/>
          <w:szCs w:val="19"/>
        </w:rPr>
        <w:t>IEEE Access</w:t>
      </w:r>
      <w:r w:rsidRPr="00410367">
        <w:rPr>
          <w:color w:val="0D0D0D" w:themeColor="text1" w:themeTint="F2"/>
          <w:sz w:val="19"/>
          <w:szCs w:val="19"/>
        </w:rPr>
        <w:t xml:space="preserve">, vol. 12, pp. 115015–115025, 2024. </w:t>
      </w:r>
    </w:p>
    <w:p w14:paraId="6AE77136" w14:textId="77777777" w:rsidR="00410367" w:rsidRPr="00410367" w:rsidRDefault="00410367" w:rsidP="00410367">
      <w:pPr>
        <w:spacing w:after="90"/>
        <w:ind w:left="316" w:hanging="316"/>
        <w:jc w:val="both"/>
        <w:rPr>
          <w:color w:val="0D0D0D" w:themeColor="text1" w:themeTint="F2"/>
          <w:sz w:val="19"/>
          <w:szCs w:val="19"/>
        </w:rPr>
      </w:pPr>
      <w:r w:rsidRPr="00410367">
        <w:rPr>
          <w:color w:val="0D0D0D" w:themeColor="text1" w:themeTint="F2"/>
          <w:sz w:val="19"/>
          <w:szCs w:val="19"/>
        </w:rPr>
        <w:t xml:space="preserve">[2] M. Zhu </w:t>
      </w:r>
      <w:r w:rsidRPr="00410367">
        <w:rPr>
          <w:i/>
          <w:iCs/>
          <w:color w:val="0D0D0D" w:themeColor="text1" w:themeTint="F2"/>
          <w:sz w:val="19"/>
          <w:szCs w:val="19"/>
        </w:rPr>
        <w:t>et al.</w:t>
      </w:r>
      <w:r w:rsidRPr="00410367">
        <w:rPr>
          <w:color w:val="0D0D0D" w:themeColor="text1" w:themeTint="F2"/>
          <w:sz w:val="19"/>
          <w:szCs w:val="19"/>
        </w:rPr>
        <w:t xml:space="preserve">, “Ensemble Methodology: Innovations in Credit Default Prediction Using </w:t>
      </w:r>
      <w:proofErr w:type="spellStart"/>
      <w:r w:rsidRPr="00410367">
        <w:rPr>
          <w:color w:val="0D0D0D" w:themeColor="text1" w:themeTint="F2"/>
          <w:sz w:val="19"/>
          <w:szCs w:val="19"/>
        </w:rPr>
        <w:t>LightGBM</w:t>
      </w:r>
      <w:proofErr w:type="spellEnd"/>
      <w:r w:rsidRPr="00410367">
        <w:rPr>
          <w:color w:val="0D0D0D" w:themeColor="text1" w:themeTint="F2"/>
          <w:sz w:val="19"/>
          <w:szCs w:val="19"/>
        </w:rPr>
        <w:t xml:space="preserve">, </w:t>
      </w:r>
      <w:proofErr w:type="spellStart"/>
      <w:r w:rsidRPr="00410367">
        <w:rPr>
          <w:color w:val="0D0D0D" w:themeColor="text1" w:themeTint="F2"/>
          <w:sz w:val="19"/>
          <w:szCs w:val="19"/>
        </w:rPr>
        <w:t>XGBoost</w:t>
      </w:r>
      <w:proofErr w:type="spellEnd"/>
      <w:r w:rsidRPr="00410367">
        <w:rPr>
          <w:color w:val="0D0D0D" w:themeColor="text1" w:themeTint="F2"/>
          <w:sz w:val="19"/>
          <w:szCs w:val="19"/>
        </w:rPr>
        <w:t xml:space="preserve">, and </w:t>
      </w:r>
      <w:proofErr w:type="spellStart"/>
      <w:r w:rsidRPr="00410367">
        <w:rPr>
          <w:color w:val="0D0D0D" w:themeColor="text1" w:themeTint="F2"/>
          <w:sz w:val="19"/>
          <w:szCs w:val="19"/>
        </w:rPr>
        <w:t>LocalEnsemble</w:t>
      </w:r>
      <w:proofErr w:type="spellEnd"/>
      <w:r w:rsidRPr="00410367">
        <w:rPr>
          <w:color w:val="0D0D0D" w:themeColor="text1" w:themeTint="F2"/>
          <w:sz w:val="19"/>
          <w:szCs w:val="19"/>
        </w:rPr>
        <w:t xml:space="preserve">,” </w:t>
      </w:r>
      <w:r w:rsidRPr="00410367">
        <w:rPr>
          <w:i/>
          <w:iCs/>
          <w:color w:val="0D0D0D" w:themeColor="text1" w:themeTint="F2"/>
          <w:sz w:val="19"/>
          <w:szCs w:val="19"/>
        </w:rPr>
        <w:t>IEEE ICETCI</w:t>
      </w:r>
      <w:r w:rsidRPr="00410367">
        <w:rPr>
          <w:color w:val="0D0D0D" w:themeColor="text1" w:themeTint="F2"/>
          <w:sz w:val="19"/>
          <w:szCs w:val="19"/>
        </w:rPr>
        <w:t>, 2024.</w:t>
      </w:r>
    </w:p>
    <w:p w14:paraId="4BEF16CF" w14:textId="77777777" w:rsidR="00410367" w:rsidRPr="00410367" w:rsidRDefault="00410367" w:rsidP="00410367">
      <w:pPr>
        <w:spacing w:after="90"/>
        <w:ind w:left="316" w:hanging="316"/>
        <w:jc w:val="both"/>
        <w:rPr>
          <w:color w:val="0D0D0D" w:themeColor="text1" w:themeTint="F2"/>
          <w:sz w:val="19"/>
          <w:szCs w:val="19"/>
        </w:rPr>
      </w:pPr>
      <w:r w:rsidRPr="00410367">
        <w:rPr>
          <w:color w:val="0D0D0D" w:themeColor="text1" w:themeTint="F2"/>
          <w:sz w:val="19"/>
          <w:szCs w:val="19"/>
        </w:rPr>
        <w:t xml:space="preserve">[3] B. </w:t>
      </w:r>
      <w:proofErr w:type="spellStart"/>
      <w:r w:rsidRPr="00410367">
        <w:rPr>
          <w:color w:val="0D0D0D" w:themeColor="text1" w:themeTint="F2"/>
          <w:sz w:val="19"/>
          <w:szCs w:val="19"/>
        </w:rPr>
        <w:t>Vihurskyi</w:t>
      </w:r>
      <w:proofErr w:type="spellEnd"/>
      <w:r w:rsidRPr="00410367">
        <w:rPr>
          <w:color w:val="0D0D0D" w:themeColor="text1" w:themeTint="F2"/>
          <w:sz w:val="19"/>
          <w:szCs w:val="19"/>
        </w:rPr>
        <w:t xml:space="preserve">, “Credit Card Fraud Detection with XAI: Improving Interpretability and Trust,” </w:t>
      </w:r>
      <w:r w:rsidRPr="00410367">
        <w:rPr>
          <w:i/>
          <w:iCs/>
          <w:color w:val="0D0D0D" w:themeColor="text1" w:themeTint="F2"/>
          <w:sz w:val="19"/>
          <w:szCs w:val="19"/>
        </w:rPr>
        <w:t>IEEE ICDCECE</w:t>
      </w:r>
      <w:r w:rsidRPr="00410367">
        <w:rPr>
          <w:color w:val="0D0D0D" w:themeColor="text1" w:themeTint="F2"/>
          <w:sz w:val="19"/>
          <w:szCs w:val="19"/>
        </w:rPr>
        <w:t>, 2024.</w:t>
      </w:r>
    </w:p>
    <w:p w14:paraId="2E4AD625" w14:textId="77777777" w:rsidR="00410367" w:rsidRPr="00410367" w:rsidRDefault="00410367" w:rsidP="00410367">
      <w:pPr>
        <w:spacing w:after="90"/>
        <w:ind w:left="316" w:hanging="316"/>
        <w:jc w:val="both"/>
        <w:rPr>
          <w:color w:val="0D0D0D" w:themeColor="text1" w:themeTint="F2"/>
          <w:sz w:val="19"/>
          <w:szCs w:val="19"/>
        </w:rPr>
      </w:pPr>
      <w:r w:rsidRPr="00410367">
        <w:rPr>
          <w:color w:val="0D0D0D" w:themeColor="text1" w:themeTint="F2"/>
          <w:sz w:val="19"/>
          <w:szCs w:val="19"/>
        </w:rPr>
        <w:t xml:space="preserve">[4] K. D. </w:t>
      </w:r>
      <w:proofErr w:type="spellStart"/>
      <w:r w:rsidRPr="00410367">
        <w:rPr>
          <w:color w:val="0D0D0D" w:themeColor="text1" w:themeTint="F2"/>
          <w:sz w:val="19"/>
          <w:szCs w:val="19"/>
        </w:rPr>
        <w:t>Hartomo</w:t>
      </w:r>
      <w:proofErr w:type="spellEnd"/>
      <w:r w:rsidRPr="00410367">
        <w:rPr>
          <w:color w:val="0D0D0D" w:themeColor="text1" w:themeTint="F2"/>
          <w:sz w:val="19"/>
          <w:szCs w:val="19"/>
        </w:rPr>
        <w:t xml:space="preserve">, C. Arthur, and Y. </w:t>
      </w:r>
      <w:proofErr w:type="spellStart"/>
      <w:r w:rsidRPr="00410367">
        <w:rPr>
          <w:color w:val="0D0D0D" w:themeColor="text1" w:themeTint="F2"/>
          <w:sz w:val="19"/>
          <w:szCs w:val="19"/>
        </w:rPr>
        <w:t>Nataliani</w:t>
      </w:r>
      <w:proofErr w:type="spellEnd"/>
      <w:r w:rsidRPr="00410367">
        <w:rPr>
          <w:color w:val="0D0D0D" w:themeColor="text1" w:themeTint="F2"/>
          <w:sz w:val="19"/>
          <w:szCs w:val="19"/>
        </w:rPr>
        <w:t xml:space="preserve">, “A Novel Weighted Loss </w:t>
      </w:r>
      <w:proofErr w:type="spellStart"/>
      <w:r w:rsidRPr="00410367">
        <w:rPr>
          <w:color w:val="0D0D0D" w:themeColor="text1" w:themeTint="F2"/>
          <w:sz w:val="19"/>
          <w:szCs w:val="19"/>
        </w:rPr>
        <w:t>TabTransformer</w:t>
      </w:r>
      <w:proofErr w:type="spellEnd"/>
      <w:r w:rsidRPr="00410367">
        <w:rPr>
          <w:color w:val="0D0D0D" w:themeColor="text1" w:themeTint="F2"/>
          <w:sz w:val="19"/>
          <w:szCs w:val="19"/>
        </w:rPr>
        <w:t xml:space="preserve"> Integrating Explainable AI for Imbalanced Credit Risk Datasets,” </w:t>
      </w:r>
      <w:r w:rsidRPr="00410367">
        <w:rPr>
          <w:i/>
          <w:iCs/>
          <w:color w:val="0D0D0D" w:themeColor="text1" w:themeTint="F2"/>
          <w:sz w:val="19"/>
          <w:szCs w:val="19"/>
        </w:rPr>
        <w:t>IEEE Access</w:t>
      </w:r>
      <w:r w:rsidRPr="00410367">
        <w:rPr>
          <w:color w:val="0D0D0D" w:themeColor="text1" w:themeTint="F2"/>
          <w:sz w:val="19"/>
          <w:szCs w:val="19"/>
        </w:rPr>
        <w:t>, vol. 13, 2025.</w:t>
      </w:r>
    </w:p>
    <w:p w14:paraId="08062635" w14:textId="77777777" w:rsidR="00410367" w:rsidRPr="00410367" w:rsidRDefault="00410367" w:rsidP="00410367">
      <w:pPr>
        <w:spacing w:after="90"/>
        <w:ind w:left="316" w:hanging="316"/>
        <w:jc w:val="both"/>
        <w:rPr>
          <w:color w:val="0D0D0D" w:themeColor="text1" w:themeTint="F2"/>
          <w:sz w:val="19"/>
          <w:szCs w:val="19"/>
        </w:rPr>
      </w:pPr>
      <w:r w:rsidRPr="00410367">
        <w:rPr>
          <w:color w:val="0D0D0D" w:themeColor="text1" w:themeTint="F2"/>
          <w:sz w:val="19"/>
          <w:szCs w:val="19"/>
        </w:rPr>
        <w:t xml:space="preserve">[5] X. Cai, W. Dai, and J. Lu, “Loan Default Prediction Based on Machine Learning Approaches,” </w:t>
      </w:r>
      <w:r w:rsidRPr="00410367">
        <w:rPr>
          <w:i/>
          <w:iCs/>
          <w:color w:val="0D0D0D" w:themeColor="text1" w:themeTint="F2"/>
          <w:sz w:val="19"/>
          <w:szCs w:val="19"/>
        </w:rPr>
        <w:t>ACM GAIIS</w:t>
      </w:r>
      <w:r w:rsidRPr="00410367">
        <w:rPr>
          <w:color w:val="0D0D0D" w:themeColor="text1" w:themeTint="F2"/>
          <w:sz w:val="19"/>
          <w:szCs w:val="19"/>
        </w:rPr>
        <w:t>, 2025.</w:t>
      </w:r>
    </w:p>
    <w:p w14:paraId="624E0AFC" w14:textId="25D27258" w:rsidR="0017052F" w:rsidRPr="000E1408" w:rsidRDefault="0017052F" w:rsidP="00410367">
      <w:pPr>
        <w:spacing w:after="90"/>
        <w:ind w:left="316" w:hanging="316"/>
        <w:jc w:val="both"/>
        <w:rPr>
          <w:color w:val="0D0D0D" w:themeColor="text1" w:themeTint="F2"/>
        </w:rPr>
      </w:pPr>
    </w:p>
    <w:sectPr w:rsidR="0017052F" w:rsidRPr="000E1408">
      <w:footerReference w:type="default" r:id="rId16"/>
      <w:type w:val="continuous"/>
      <w:pgSz w:w="12240" w:h="15840"/>
      <w:pgMar w:top="1080" w:right="1080" w:bottom="1080" w:left="1080" w:header="708" w:footer="70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E33FF" w14:textId="77777777" w:rsidR="00746C53" w:rsidRDefault="00746C53">
      <w:r>
        <w:separator/>
      </w:r>
    </w:p>
  </w:endnote>
  <w:endnote w:type="continuationSeparator" w:id="0">
    <w:p w14:paraId="051B543D" w14:textId="77777777" w:rsidR="00746C53" w:rsidRDefault="00746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23BC4" w14:textId="77777777" w:rsidR="0017052F" w:rsidRDefault="00000000">
    <w:pPr>
      <w:jc w:val="center"/>
    </w:pPr>
    <w:r>
      <w:rPr>
        <w:sz w:val="16"/>
        <w:szCs w:val="16"/>
      </w:rPr>
      <w:fldChar w:fldCharType="begin"/>
    </w:r>
    <w:r>
      <w:rPr>
        <w:sz w:val="16"/>
        <w:szCs w:val="16"/>
      </w:rPr>
      <w:instrText>PAGE</w:instrText>
    </w:r>
    <w:r>
      <w:rPr>
        <w:sz w:val="16"/>
        <w:szCs w:val="16"/>
      </w:rPr>
      <w:fldChar w:fldCharType="separate"/>
    </w:r>
    <w:r w:rsidR="00BD5360">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34689" w14:textId="0172CF2E" w:rsidR="0017052F" w:rsidRDefault="00000000">
    <w:pPr>
      <w:jc w:val="center"/>
    </w:pPr>
    <w:r>
      <w:rPr>
        <w:sz w:val="16"/>
        <w:szCs w:val="16"/>
      </w:rPr>
      <w:fldChar w:fldCharType="begin"/>
    </w:r>
    <w:r>
      <w:rPr>
        <w:sz w:val="16"/>
        <w:szCs w:val="16"/>
      </w:rPr>
      <w:instrText>PAGE</w:instrText>
    </w:r>
    <w:r>
      <w:rPr>
        <w:sz w:val="16"/>
        <w:szCs w:val="16"/>
      </w:rPr>
      <w:fldChar w:fldCharType="separate"/>
    </w:r>
    <w:r w:rsidR="00BD5360">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6CB3" w14:textId="77777777" w:rsidR="0017052F" w:rsidRDefault="00000000">
    <w:pPr>
      <w:jc w:val="center"/>
    </w:pPr>
    <w:r>
      <w:rPr>
        <w:sz w:val="16"/>
        <w:szCs w:val="16"/>
      </w:rPr>
      <w:fldChar w:fldCharType="begin"/>
    </w:r>
    <w:r>
      <w:rPr>
        <w:sz w:val="16"/>
        <w:szCs w:val="16"/>
      </w:rPr>
      <w:instrText>PAGE</w:instrText>
    </w:r>
    <w:r>
      <w:rPr>
        <w:sz w:val="16"/>
        <w:szCs w:val="16"/>
      </w:rPr>
      <w:fldChar w:fldCharType="separate"/>
    </w:r>
    <w:r w:rsidR="00BD5360">
      <w:rPr>
        <w:noProof/>
        <w:sz w:val="16"/>
        <w:szCs w:val="16"/>
      </w:rPr>
      <w:t>2</w:t>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6DEB" w14:textId="4C32BF43" w:rsidR="0017052F" w:rsidRDefault="00000000">
    <w:pPr>
      <w:jc w:val="center"/>
    </w:pPr>
    <w:r>
      <w:rPr>
        <w:sz w:val="16"/>
        <w:szCs w:val="16"/>
      </w:rPr>
      <w:fldChar w:fldCharType="begin"/>
    </w:r>
    <w:r>
      <w:rPr>
        <w:sz w:val="16"/>
        <w:szCs w:val="16"/>
      </w:rPr>
      <w:instrText>PAGE</w:instrText>
    </w:r>
    <w:r>
      <w:rPr>
        <w:sz w:val="16"/>
        <w:szCs w:val="16"/>
      </w:rPr>
      <w:fldChar w:fldCharType="separate"/>
    </w:r>
    <w:r w:rsidR="00BD5360">
      <w:rPr>
        <w:noProof/>
        <w:sz w:val="16"/>
        <w:szCs w:val="16"/>
      </w:rPr>
      <w:t>3</w:t>
    </w:r>
    <w:r>
      <w:rPr>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77ADF" w14:textId="4EC33C0C" w:rsidR="0017052F" w:rsidRDefault="00000000">
    <w:pPr>
      <w:jc w:val="center"/>
    </w:pPr>
    <w:r>
      <w:rPr>
        <w:sz w:val="16"/>
        <w:szCs w:val="16"/>
      </w:rPr>
      <w:fldChar w:fldCharType="begin"/>
    </w:r>
    <w:r>
      <w:rPr>
        <w:sz w:val="16"/>
        <w:szCs w:val="16"/>
      </w:rPr>
      <w:instrText>PAGE</w:instrText>
    </w:r>
    <w:r>
      <w:rPr>
        <w:sz w:val="16"/>
        <w:szCs w:val="16"/>
      </w:rPr>
      <w:fldChar w:fldCharType="separate"/>
    </w:r>
    <w:r w:rsidR="00BD5360">
      <w:rPr>
        <w:noProof/>
        <w:sz w:val="16"/>
        <w:szCs w:val="16"/>
      </w:rPr>
      <w:t>4</w:t>
    </w:r>
    <w:r>
      <w:rPr>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C0C2" w14:textId="51E05D35" w:rsidR="0017052F" w:rsidRDefault="00000000">
    <w:pPr>
      <w:jc w:val="center"/>
    </w:pPr>
    <w:r>
      <w:rPr>
        <w:sz w:val="16"/>
        <w:szCs w:val="16"/>
      </w:rPr>
      <w:fldChar w:fldCharType="begin"/>
    </w:r>
    <w:r>
      <w:rPr>
        <w:sz w:val="16"/>
        <w:szCs w:val="16"/>
      </w:rPr>
      <w:instrText>PAGE</w:instrText>
    </w:r>
    <w:r>
      <w:rPr>
        <w:sz w:val="16"/>
        <w:szCs w:val="16"/>
      </w:rPr>
      <w:fldChar w:fldCharType="separate"/>
    </w:r>
    <w:r w:rsidR="00BD5360">
      <w:rPr>
        <w:noProof/>
        <w:sz w:val="16"/>
        <w:szCs w:val="16"/>
      </w:rPr>
      <w:t>4</w:t>
    </w:r>
    <w:r>
      <w:rPr>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B272" w14:textId="5C1A4A30" w:rsidR="0017052F" w:rsidRDefault="00000000">
    <w:pPr>
      <w:jc w:val="center"/>
    </w:pPr>
    <w:r>
      <w:rPr>
        <w:sz w:val="16"/>
        <w:szCs w:val="16"/>
      </w:rPr>
      <w:fldChar w:fldCharType="begin"/>
    </w:r>
    <w:r>
      <w:rPr>
        <w:sz w:val="16"/>
        <w:szCs w:val="16"/>
      </w:rPr>
      <w:instrText>PAGE</w:instrText>
    </w:r>
    <w:r>
      <w:rPr>
        <w:sz w:val="16"/>
        <w:szCs w:val="16"/>
      </w:rPr>
      <w:fldChar w:fldCharType="separate"/>
    </w:r>
    <w:r w:rsidR="00BD5360">
      <w:rPr>
        <w:noProof/>
        <w:sz w:val="16"/>
        <w:szCs w:val="16"/>
      </w:rPr>
      <w:t>5</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20667" w14:textId="77777777" w:rsidR="00746C53" w:rsidRDefault="00746C53">
      <w:r>
        <w:separator/>
      </w:r>
    </w:p>
  </w:footnote>
  <w:footnote w:type="continuationSeparator" w:id="0">
    <w:p w14:paraId="15540165" w14:textId="77777777" w:rsidR="00746C53" w:rsidRDefault="00746C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78E"/>
    <w:multiLevelType w:val="hybridMultilevel"/>
    <w:tmpl w:val="CC42BBEE"/>
    <w:lvl w:ilvl="0" w:tplc="ED0ECBC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741A61"/>
    <w:multiLevelType w:val="multilevel"/>
    <w:tmpl w:val="5CC69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C113D"/>
    <w:multiLevelType w:val="hybridMultilevel"/>
    <w:tmpl w:val="F8DA87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92423EC"/>
    <w:multiLevelType w:val="hybridMultilevel"/>
    <w:tmpl w:val="AFB67BB0"/>
    <w:lvl w:ilvl="0" w:tplc="77E2A582">
      <w:start w:val="1"/>
      <w:numFmt w:val="decimal"/>
      <w:lvlText w:val="%1."/>
      <w:lvlJc w:val="left"/>
      <w:pPr>
        <w:ind w:left="360" w:hanging="360"/>
      </w:pPr>
    </w:lvl>
    <w:lvl w:ilvl="1" w:tplc="0D42E72E">
      <w:numFmt w:val="decimal"/>
      <w:lvlText w:val=""/>
      <w:lvlJc w:val="left"/>
    </w:lvl>
    <w:lvl w:ilvl="2" w:tplc="8934EFE2">
      <w:numFmt w:val="decimal"/>
      <w:lvlText w:val=""/>
      <w:lvlJc w:val="left"/>
    </w:lvl>
    <w:lvl w:ilvl="3" w:tplc="778A7202">
      <w:numFmt w:val="decimal"/>
      <w:lvlText w:val=""/>
      <w:lvlJc w:val="left"/>
    </w:lvl>
    <w:lvl w:ilvl="4" w:tplc="42343636">
      <w:numFmt w:val="decimal"/>
      <w:lvlText w:val=""/>
      <w:lvlJc w:val="left"/>
    </w:lvl>
    <w:lvl w:ilvl="5" w:tplc="FD44E35E">
      <w:numFmt w:val="decimal"/>
      <w:lvlText w:val=""/>
      <w:lvlJc w:val="left"/>
    </w:lvl>
    <w:lvl w:ilvl="6" w:tplc="1652AF5C">
      <w:numFmt w:val="decimal"/>
      <w:lvlText w:val=""/>
      <w:lvlJc w:val="left"/>
    </w:lvl>
    <w:lvl w:ilvl="7" w:tplc="DEA04184">
      <w:numFmt w:val="decimal"/>
      <w:lvlText w:val=""/>
      <w:lvlJc w:val="left"/>
    </w:lvl>
    <w:lvl w:ilvl="8" w:tplc="BA0A9A00">
      <w:numFmt w:val="decimal"/>
      <w:lvlText w:val=""/>
      <w:lvlJc w:val="left"/>
    </w:lvl>
  </w:abstractNum>
  <w:abstractNum w:abstractNumId="4" w15:restartNumberingAfterBreak="0">
    <w:nsid w:val="5C5B6101"/>
    <w:multiLevelType w:val="hybridMultilevel"/>
    <w:tmpl w:val="31FE26E2"/>
    <w:lvl w:ilvl="0" w:tplc="2442598A">
      <w:start w:val="1"/>
      <w:numFmt w:val="bullet"/>
      <w:lvlText w:val="●"/>
      <w:lvlJc w:val="left"/>
      <w:pPr>
        <w:ind w:left="720" w:hanging="360"/>
      </w:pPr>
    </w:lvl>
    <w:lvl w:ilvl="1" w:tplc="96CECFFE">
      <w:start w:val="1"/>
      <w:numFmt w:val="bullet"/>
      <w:lvlText w:val="○"/>
      <w:lvlJc w:val="left"/>
      <w:pPr>
        <w:ind w:left="1440" w:hanging="360"/>
      </w:pPr>
    </w:lvl>
    <w:lvl w:ilvl="2" w:tplc="F586DED0">
      <w:start w:val="1"/>
      <w:numFmt w:val="bullet"/>
      <w:lvlText w:val="■"/>
      <w:lvlJc w:val="left"/>
      <w:pPr>
        <w:ind w:left="2160" w:hanging="360"/>
      </w:pPr>
    </w:lvl>
    <w:lvl w:ilvl="3" w:tplc="4BD8EE3A">
      <w:start w:val="1"/>
      <w:numFmt w:val="bullet"/>
      <w:lvlText w:val="●"/>
      <w:lvlJc w:val="left"/>
      <w:pPr>
        <w:ind w:left="2880" w:hanging="360"/>
      </w:pPr>
    </w:lvl>
    <w:lvl w:ilvl="4" w:tplc="BD3E6B44">
      <w:start w:val="1"/>
      <w:numFmt w:val="bullet"/>
      <w:lvlText w:val="○"/>
      <w:lvlJc w:val="left"/>
      <w:pPr>
        <w:ind w:left="3600" w:hanging="360"/>
      </w:pPr>
    </w:lvl>
    <w:lvl w:ilvl="5" w:tplc="7B4EC334">
      <w:start w:val="1"/>
      <w:numFmt w:val="bullet"/>
      <w:lvlText w:val="■"/>
      <w:lvlJc w:val="left"/>
      <w:pPr>
        <w:ind w:left="4320" w:hanging="360"/>
      </w:pPr>
    </w:lvl>
    <w:lvl w:ilvl="6" w:tplc="5226EA3C">
      <w:start w:val="1"/>
      <w:numFmt w:val="bullet"/>
      <w:lvlText w:val="●"/>
      <w:lvlJc w:val="left"/>
      <w:pPr>
        <w:ind w:left="5040" w:hanging="360"/>
      </w:pPr>
    </w:lvl>
    <w:lvl w:ilvl="7" w:tplc="870E9C3C">
      <w:start w:val="1"/>
      <w:numFmt w:val="bullet"/>
      <w:lvlText w:val="●"/>
      <w:lvlJc w:val="left"/>
      <w:pPr>
        <w:ind w:left="5760" w:hanging="360"/>
      </w:pPr>
    </w:lvl>
    <w:lvl w:ilvl="8" w:tplc="0EF2DBF6">
      <w:start w:val="1"/>
      <w:numFmt w:val="bullet"/>
      <w:lvlText w:val="●"/>
      <w:lvlJc w:val="left"/>
      <w:pPr>
        <w:ind w:left="6480" w:hanging="360"/>
      </w:pPr>
    </w:lvl>
  </w:abstractNum>
  <w:abstractNum w:abstractNumId="5" w15:restartNumberingAfterBreak="0">
    <w:nsid w:val="648476B8"/>
    <w:multiLevelType w:val="hybridMultilevel"/>
    <w:tmpl w:val="95020A58"/>
    <w:lvl w:ilvl="0" w:tplc="4F525934">
      <w:start w:val="1"/>
      <w:numFmt w:val="bullet"/>
      <w:lvlText w:val="•"/>
      <w:lvlJc w:val="left"/>
      <w:pPr>
        <w:ind w:left="288" w:hanging="215"/>
      </w:pPr>
    </w:lvl>
    <w:lvl w:ilvl="1" w:tplc="B99E58FE">
      <w:numFmt w:val="decimal"/>
      <w:lvlText w:val=""/>
      <w:lvlJc w:val="left"/>
    </w:lvl>
    <w:lvl w:ilvl="2" w:tplc="6FD6E090">
      <w:numFmt w:val="decimal"/>
      <w:lvlText w:val=""/>
      <w:lvlJc w:val="left"/>
    </w:lvl>
    <w:lvl w:ilvl="3" w:tplc="6EEEFFEE">
      <w:numFmt w:val="decimal"/>
      <w:lvlText w:val=""/>
      <w:lvlJc w:val="left"/>
    </w:lvl>
    <w:lvl w:ilvl="4" w:tplc="FCA28EBE">
      <w:numFmt w:val="decimal"/>
      <w:lvlText w:val=""/>
      <w:lvlJc w:val="left"/>
    </w:lvl>
    <w:lvl w:ilvl="5" w:tplc="B69CF914">
      <w:numFmt w:val="decimal"/>
      <w:lvlText w:val=""/>
      <w:lvlJc w:val="left"/>
    </w:lvl>
    <w:lvl w:ilvl="6" w:tplc="0BAAE268">
      <w:numFmt w:val="decimal"/>
      <w:lvlText w:val=""/>
      <w:lvlJc w:val="left"/>
    </w:lvl>
    <w:lvl w:ilvl="7" w:tplc="651090C8">
      <w:numFmt w:val="decimal"/>
      <w:lvlText w:val=""/>
      <w:lvlJc w:val="left"/>
    </w:lvl>
    <w:lvl w:ilvl="8" w:tplc="F08CC720">
      <w:numFmt w:val="decimal"/>
      <w:lvlText w:val=""/>
      <w:lvlJc w:val="left"/>
    </w:lvl>
  </w:abstractNum>
  <w:num w:numId="1" w16cid:durableId="1227110756">
    <w:abstractNumId w:val="4"/>
    <w:lvlOverride w:ilvl="0">
      <w:startOverride w:val="1"/>
    </w:lvlOverride>
  </w:num>
  <w:num w:numId="2" w16cid:durableId="595090434">
    <w:abstractNumId w:val="3"/>
    <w:lvlOverride w:ilvl="0">
      <w:startOverride w:val="1"/>
    </w:lvlOverride>
  </w:num>
  <w:num w:numId="3" w16cid:durableId="1475609912">
    <w:abstractNumId w:val="5"/>
    <w:lvlOverride w:ilvl="0">
      <w:startOverride w:val="1"/>
    </w:lvlOverride>
  </w:num>
  <w:num w:numId="4" w16cid:durableId="1526820568">
    <w:abstractNumId w:val="2"/>
  </w:num>
  <w:num w:numId="5" w16cid:durableId="1341083716">
    <w:abstractNumId w:val="0"/>
  </w:num>
  <w:num w:numId="6" w16cid:durableId="578557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52F"/>
    <w:rsid w:val="000E1408"/>
    <w:rsid w:val="0017052F"/>
    <w:rsid w:val="00200CC5"/>
    <w:rsid w:val="00263545"/>
    <w:rsid w:val="00281778"/>
    <w:rsid w:val="00314F67"/>
    <w:rsid w:val="00410367"/>
    <w:rsid w:val="00437BF2"/>
    <w:rsid w:val="004C0943"/>
    <w:rsid w:val="00514D55"/>
    <w:rsid w:val="006152BC"/>
    <w:rsid w:val="00746C53"/>
    <w:rsid w:val="00784B84"/>
    <w:rsid w:val="00834538"/>
    <w:rsid w:val="008820BF"/>
    <w:rsid w:val="00B72C29"/>
    <w:rsid w:val="00B753D0"/>
    <w:rsid w:val="00BD5360"/>
    <w:rsid w:val="00C50426"/>
    <w:rsid w:val="00C50763"/>
    <w:rsid w:val="00D12BDE"/>
    <w:rsid w:val="00DB453B"/>
    <w:rsid w:val="00ED5548"/>
    <w:rsid w:val="00F85A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51490"/>
  <w15:docId w15:val="{F155B201-BFAF-4218-BECA-86DFCE8F0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D5548"/>
    <w:rPr>
      <w:b/>
      <w:bCs/>
    </w:rPr>
  </w:style>
  <w:style w:type="character" w:customStyle="1" w:styleId="text-token-text-primary">
    <w:name w:val="text-token-text-primary"/>
    <w:basedOn w:val="DefaultParagraphFont"/>
    <w:rsid w:val="00ED55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1</Pages>
  <Words>3636</Words>
  <Characters>20729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 sree</cp:lastModifiedBy>
  <cp:revision>5</cp:revision>
  <dcterms:created xsi:type="dcterms:W3CDTF">2026-08-27T09:21:00Z</dcterms:created>
  <dcterms:modified xsi:type="dcterms:W3CDTF">2026-09-19T06:22:00Z</dcterms:modified>
</cp:coreProperties>
</file>