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i w:val="false"/>
          <w:iCs w:val="false"/>
          <w:sz w:val="22"/>
          <w:szCs w:val="22"/>
        </w:rPr>
        <w:t xml:space="preserve">Lab 1: Requirements Engineering &amp; UML Use-Case Modelling – Academic Elective Bidding &amp; Allocation System</w:t>
      </w:r>
    </w:p>
    <w:p>
      <w:pPr>
        <w:pStyle w:val="Heading1"/>
        <w:spacing w:after="40"/>
      </w:pPr>
      <w:r>
        <w:rPr>
          <w:b/>
          <w:bCs/>
        </w:rPr>
        <w:t xml:space="preserve">1. Requirements Table</w:t>
      </w:r>
    </w:p>
    <w:p>
      <w:pPr>
        <w:spacing w:after="160"/>
      </w:pPr>
      <w:r>
        <w:rPr>
          <w:b w:val="false"/>
          <w:bCs w:val="false"/>
          <w:i/>
          <w:iCs/>
          <w:sz w:val="20"/>
          <w:szCs w:val="20"/>
        </w:rPr>
        <w:t xml:space="preserve">Problem Statement #05  |  Actors: Student, Academic Registrar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4150"/>
        <w:gridCol w:w="900"/>
        <w:gridCol w:w="3900"/>
        <w:gridCol w:w="2900"/>
      </w:tblGrid>
      <w:tr>
        <w:trPr>
          <w:tblHeader/>
        </w:trPr>
        <w:tc>
          <w:tcPr>
            <w:tcW w:type="dxa" w:w="800"/>
            <w:shd w:fill="1F4E79" w:val="clear"/>
            <w:tcMar>
              <w:top w:type="dxa" w:w="80"/>
              <w:left w:type="dxa" w:w="100"/>
              <w:bottom w:type="dxa" w:w="80"/>
              <w:right w:type="dxa" w:w="100"/>
            </w:tcMar>
            <w:vAlign w:val="center"/>
          </w:tcPr>
          <w:p>
            <w:r>
              <w:rPr>
                <w:b/>
                <w:bCs/>
                <w:color w:val="FFFFFF"/>
                <w:sz w:val="19"/>
                <w:szCs w:val="19"/>
              </w:rPr>
              <w:t xml:space="preserve">Req ID</w:t>
            </w:r>
          </w:p>
        </w:tc>
        <w:tc>
          <w:tcPr>
            <w:tcW w:type="dxa" w:w="1750"/>
            <w:shd w:fill="1F4E79" w:val="clear"/>
            <w:tcMar>
              <w:top w:type="dxa" w:w="80"/>
              <w:left w:type="dxa" w:w="100"/>
              <w:bottom w:type="dxa" w:w="80"/>
              <w:right w:type="dxa" w:w="100"/>
            </w:tcMar>
            <w:vAlign w:val="center"/>
          </w:tcPr>
          <w:p>
            <w:r>
              <w:rPr>
                <w:b/>
                <w:bCs/>
                <w:color w:val="FFFFFF"/>
                <w:sz w:val="19"/>
                <w:szCs w:val="19"/>
              </w:rPr>
              <w:t xml:space="preserve">Type</w:t>
            </w:r>
          </w:p>
        </w:tc>
        <w:tc>
          <w:tcPr>
            <w:tcW w:type="dxa" w:w="4150"/>
            <w:shd w:fill="1F4E79" w:val="clear"/>
            <w:tcMar>
              <w:top w:type="dxa" w:w="80"/>
              <w:left w:type="dxa" w:w="100"/>
              <w:bottom w:type="dxa" w:w="80"/>
              <w:right w:type="dxa" w:w="100"/>
            </w:tcMar>
            <w:vAlign w:val="center"/>
          </w:tcPr>
          <w:p>
            <w:r>
              <w:rPr>
                <w:b/>
                <w:bCs/>
                <w:color w:val="FFFFFF"/>
                <w:sz w:val="19"/>
                <w:szCs w:val="19"/>
              </w:rPr>
              <w:t xml:space="preserve">Description</w:t>
            </w:r>
          </w:p>
        </w:tc>
        <w:tc>
          <w:tcPr>
            <w:tcW w:type="dxa" w:w="900"/>
            <w:shd w:fill="1F4E79" w:val="clear"/>
            <w:tcMar>
              <w:top w:type="dxa" w:w="80"/>
              <w:left w:type="dxa" w:w="100"/>
              <w:bottom w:type="dxa" w:w="80"/>
              <w:right w:type="dxa" w:w="100"/>
            </w:tcMar>
            <w:vAlign w:val="center"/>
          </w:tcPr>
          <w:p>
            <w:r>
              <w:rPr>
                <w:b/>
                <w:bCs/>
                <w:color w:val="FFFFFF"/>
                <w:sz w:val="19"/>
                <w:szCs w:val="19"/>
              </w:rPr>
              <w:t xml:space="preserve">Priority</w:t>
            </w:r>
          </w:p>
        </w:tc>
        <w:tc>
          <w:tcPr>
            <w:tcW w:type="dxa" w:w="3900"/>
            <w:shd w:fill="1F4E79" w:val="clear"/>
            <w:tcMar>
              <w:top w:type="dxa" w:w="80"/>
              <w:left w:type="dxa" w:w="100"/>
              <w:bottom w:type="dxa" w:w="80"/>
              <w:right w:type="dxa" w:w="100"/>
            </w:tcMar>
            <w:vAlign w:val="center"/>
          </w:tcPr>
          <w:p>
            <w:r>
              <w:rPr>
                <w:b/>
                <w:bCs/>
                <w:color w:val="FFFFFF"/>
                <w:sz w:val="19"/>
                <w:szCs w:val="19"/>
              </w:rPr>
              <w:t xml:space="preserve">Acceptance Criteria</w:t>
            </w:r>
          </w:p>
        </w:tc>
        <w:tc>
          <w:tcPr>
            <w:tcW w:type="dxa" w:w="2900"/>
            <w:shd w:fill="1F4E79" w:val="clear"/>
            <w:tcMar>
              <w:top w:type="dxa" w:w="80"/>
              <w:left w:type="dxa" w:w="100"/>
              <w:bottom w:type="dxa" w:w="80"/>
              <w:right w:type="dxa" w:w="100"/>
            </w:tcMar>
            <w:vAlign w:val="center"/>
          </w:tcPr>
          <w:p>
            <w:r>
              <w:rPr>
                <w:b/>
                <w:bCs/>
                <w:color w:val="FFFFFF"/>
                <w:sz w:val="19"/>
                <w:szCs w:val="19"/>
              </w:rPr>
              <w:t xml:space="preserve">Rationale</w:t>
            </w:r>
          </w:p>
        </w:tc>
      </w:tr>
      <w:tr>
        <w:tc>
          <w:tcPr>
            <w:tcW w:type="dxa" w:w="800"/>
            <w:tcMar>
              <w:top w:type="dxa" w:w="80"/>
              <w:left w:type="dxa" w:w="100"/>
              <w:bottom w:type="dxa" w:w="80"/>
              <w:right w:type="dxa" w:w="100"/>
            </w:tcMar>
            <w:vAlign w:val="center"/>
          </w:tcPr>
          <w:p>
            <w:r>
              <w:rPr>
                <w:b/>
                <w:bCs/>
                <w:sz w:val="18"/>
                <w:szCs w:val="18"/>
              </w:rPr>
              <w:t xml:space="preserve">FR-001</w:t>
            </w:r>
          </w:p>
        </w:tc>
        <w:tc>
          <w:tcPr>
            <w:tcW w:type="dxa" w:w="1750"/>
            <w:tcMar>
              <w:top w:type="dxa" w:w="80"/>
              <w:left w:type="dxa" w:w="100"/>
              <w:bottom w:type="dxa" w:w="80"/>
              <w:right w:type="dxa" w:w="100"/>
            </w:tcMar>
            <w:vAlign w:val="center"/>
          </w:tcPr>
          <w:p>
            <w:r>
              <w:rPr>
                <w:b w:val="false"/>
                <w:bCs w:val="false"/>
                <w:sz w:val="18"/>
                <w:szCs w:val="18"/>
              </w:rPr>
              <w:t xml:space="preserve">Functional</w:t>
            </w:r>
          </w:p>
        </w:tc>
        <w:tc>
          <w:tcPr>
            <w:tcW w:type="dxa" w:w="4150"/>
            <w:tcMar>
              <w:top w:type="dxa" w:w="80"/>
              <w:left w:type="dxa" w:w="100"/>
              <w:bottom w:type="dxa" w:w="80"/>
              <w:right w:type="dxa" w:w="100"/>
            </w:tcMar>
            <w:vAlign w:val="center"/>
          </w:tcPr>
          <w:p>
            <w:r>
              <w:rPr>
                <w:b w:val="false"/>
                <w:bCs w:val="false"/>
                <w:sz w:val="18"/>
                <w:szCs w:val="18"/>
              </w:rPr>
              <w:t xml:space="preserve">The system shall allow students to distribute 100 bidding credits across their ranked elective preferences and validate prerequisite course completions.</w:t>
            </w:r>
          </w:p>
        </w:tc>
        <w:tc>
          <w:tcPr>
            <w:tcW w:type="dxa" w:w="900"/>
            <w:tcMar>
              <w:top w:type="dxa" w:w="80"/>
              <w:left w:type="dxa" w:w="100"/>
              <w:bottom w:type="dxa" w:w="80"/>
              <w:right w:type="dxa" w:w="100"/>
            </w:tcMar>
            <w:vAlign w:val="center"/>
          </w:tcPr>
          <w:p>
            <w:r>
              <w:rPr>
                <w:b w:val="false"/>
                <w:bCs w:val="false"/>
                <w:sz w:val="18"/>
                <w:szCs w:val="18"/>
              </w:rPr>
              <w:t xml:space="preserve">High</w:t>
            </w:r>
          </w:p>
        </w:tc>
        <w:tc>
          <w:tcPr>
            <w:tcW w:type="dxa" w:w="3900"/>
            <w:tcMar>
              <w:top w:type="dxa" w:w="80"/>
              <w:left w:type="dxa" w:w="100"/>
              <w:bottom w:type="dxa" w:w="80"/>
              <w:right w:type="dxa" w:w="100"/>
            </w:tcMar>
            <w:vAlign w:val="center"/>
          </w:tcPr>
          <w:p>
            <w:r>
              <w:rPr>
                <w:b w:val="false"/>
                <w:bCs w:val="false"/>
                <w:sz w:val="18"/>
                <w:szCs w:val="18"/>
              </w:rPr>
              <w:t xml:space="preserve">Pass: Credits deduct accurately and prerequisites validated. Fail: Total allocated credits exceed 100 or unmet prerequisites bypassed.</w:t>
            </w:r>
          </w:p>
        </w:tc>
        <w:tc>
          <w:tcPr>
            <w:tcW w:type="dxa" w:w="2900"/>
            <w:tcMar>
              <w:top w:type="dxa" w:w="80"/>
              <w:left w:type="dxa" w:w="100"/>
              <w:bottom w:type="dxa" w:w="80"/>
              <w:right w:type="dxa" w:w="100"/>
            </w:tcMar>
            <w:vAlign w:val="center"/>
          </w:tcPr>
          <w:p>
            <w:r>
              <w:rPr>
                <w:b w:val="false"/>
                <w:bCs w:val="false"/>
                <w:sz w:val="18"/>
                <w:szCs w:val="18"/>
              </w:rPr>
              <w:t xml:space="preserve">Core mechanism for fair, preference-based seat allocation; prevents invalid bids from entering the allocation pool.</w:t>
            </w:r>
          </w:p>
        </w:tc>
      </w:tr>
      <w:tr>
        <w:tc>
          <w:tcPr>
            <w:tcW w:type="dxa" w:w="800"/>
            <w:tcMar>
              <w:top w:type="dxa" w:w="80"/>
              <w:left w:type="dxa" w:w="100"/>
              <w:bottom w:type="dxa" w:w="80"/>
              <w:right w:type="dxa" w:w="100"/>
            </w:tcMar>
            <w:vAlign w:val="center"/>
          </w:tcPr>
          <w:p>
            <w:r>
              <w:rPr>
                <w:b/>
                <w:bCs/>
                <w:sz w:val="18"/>
                <w:szCs w:val="18"/>
              </w:rPr>
              <w:t xml:space="preserve">FR-002</w:t>
            </w:r>
          </w:p>
        </w:tc>
        <w:tc>
          <w:tcPr>
            <w:tcW w:type="dxa" w:w="1750"/>
            <w:tcMar>
              <w:top w:type="dxa" w:w="80"/>
              <w:left w:type="dxa" w:w="100"/>
              <w:bottom w:type="dxa" w:w="80"/>
              <w:right w:type="dxa" w:w="100"/>
            </w:tcMar>
            <w:vAlign w:val="center"/>
          </w:tcPr>
          <w:p>
            <w:r>
              <w:rPr>
                <w:b w:val="false"/>
                <w:bCs w:val="false"/>
                <w:sz w:val="18"/>
                <w:szCs w:val="18"/>
              </w:rPr>
              <w:t xml:space="preserve">Functional</w:t>
            </w:r>
          </w:p>
        </w:tc>
        <w:tc>
          <w:tcPr>
            <w:tcW w:type="dxa" w:w="4150"/>
            <w:tcMar>
              <w:top w:type="dxa" w:w="80"/>
              <w:left w:type="dxa" w:w="100"/>
              <w:bottom w:type="dxa" w:w="80"/>
              <w:right w:type="dxa" w:w="100"/>
            </w:tcMar>
            <w:vAlign w:val="center"/>
          </w:tcPr>
          <w:p>
            <w:r>
              <w:rPr>
                <w:b w:val="false"/>
                <w:bCs w:val="false"/>
                <w:sz w:val="18"/>
                <w:szCs w:val="18"/>
              </w:rPr>
              <w:t xml:space="preserve">The system shall allow the Academic Registrar to configure the bidding window (open and close date/time) and seat capacity for each elective course.</w:t>
            </w:r>
          </w:p>
        </w:tc>
        <w:tc>
          <w:tcPr>
            <w:tcW w:type="dxa" w:w="900"/>
            <w:tcMar>
              <w:top w:type="dxa" w:w="80"/>
              <w:left w:type="dxa" w:w="100"/>
              <w:bottom w:type="dxa" w:w="80"/>
              <w:right w:type="dxa" w:w="100"/>
            </w:tcMar>
            <w:vAlign w:val="center"/>
          </w:tcPr>
          <w:p>
            <w:r>
              <w:rPr>
                <w:b w:val="false"/>
                <w:bCs w:val="false"/>
                <w:sz w:val="18"/>
                <w:szCs w:val="18"/>
              </w:rPr>
              <w:t xml:space="preserve">High</w:t>
            </w:r>
          </w:p>
        </w:tc>
        <w:tc>
          <w:tcPr>
            <w:tcW w:type="dxa" w:w="3900"/>
            <w:tcMar>
              <w:top w:type="dxa" w:w="80"/>
              <w:left w:type="dxa" w:w="100"/>
              <w:bottom w:type="dxa" w:w="80"/>
              <w:right w:type="dxa" w:w="100"/>
            </w:tcMar>
            <w:vAlign w:val="center"/>
          </w:tcPr>
          <w:p>
            <w:r>
              <w:rPr>
                <w:b w:val="false"/>
                <w:bCs w:val="false"/>
                <w:sz w:val="18"/>
                <w:szCs w:val="18"/>
              </w:rPr>
              <w:t xml:space="preserve">Pass: Bids submitted before open or after close are rejected, and allocated seats per course never exceed configured capacity. Fail: any bid accepted outside the window or any course over-allocated.</w:t>
            </w:r>
          </w:p>
        </w:tc>
        <w:tc>
          <w:tcPr>
            <w:tcW w:type="dxa" w:w="2900"/>
            <w:tcMar>
              <w:top w:type="dxa" w:w="80"/>
              <w:left w:type="dxa" w:w="100"/>
              <w:bottom w:type="dxa" w:w="80"/>
              <w:right w:type="dxa" w:w="100"/>
            </w:tcMar>
            <w:vAlign w:val="center"/>
          </w:tcPr>
          <w:p>
            <w:r>
              <w:rPr>
                <w:b w:val="false"/>
                <w:bCs w:val="false"/>
                <w:sz w:val="18"/>
                <w:szCs w:val="18"/>
              </w:rPr>
              <w:t xml:space="preserve">Administrative control is required to run multiple bidding cycles and prevent late or invalid submissions.</w:t>
            </w:r>
          </w:p>
        </w:tc>
      </w:tr>
      <w:tr>
        <w:tc>
          <w:tcPr>
            <w:tcW w:type="dxa" w:w="800"/>
            <w:tcMar>
              <w:top w:type="dxa" w:w="80"/>
              <w:left w:type="dxa" w:w="100"/>
              <w:bottom w:type="dxa" w:w="80"/>
              <w:right w:type="dxa" w:w="100"/>
            </w:tcMar>
            <w:vAlign w:val="center"/>
          </w:tcPr>
          <w:p>
            <w:r>
              <w:rPr>
                <w:b/>
                <w:bCs/>
                <w:sz w:val="18"/>
                <w:szCs w:val="18"/>
              </w:rPr>
              <w:t xml:space="preserve">FR-003</w:t>
            </w:r>
          </w:p>
        </w:tc>
        <w:tc>
          <w:tcPr>
            <w:tcW w:type="dxa" w:w="1750"/>
            <w:tcMar>
              <w:top w:type="dxa" w:w="80"/>
              <w:left w:type="dxa" w:w="100"/>
              <w:bottom w:type="dxa" w:w="80"/>
              <w:right w:type="dxa" w:w="100"/>
            </w:tcMar>
            <w:vAlign w:val="center"/>
          </w:tcPr>
          <w:p>
            <w:r>
              <w:rPr>
                <w:b w:val="false"/>
                <w:bCs w:val="false"/>
                <w:sz w:val="18"/>
                <w:szCs w:val="18"/>
              </w:rPr>
              <w:t xml:space="preserve">Functional</w:t>
            </w:r>
          </w:p>
        </w:tc>
        <w:tc>
          <w:tcPr>
            <w:tcW w:type="dxa" w:w="4150"/>
            <w:tcMar>
              <w:top w:type="dxa" w:w="80"/>
              <w:left w:type="dxa" w:w="100"/>
              <w:bottom w:type="dxa" w:w="80"/>
              <w:right w:type="dxa" w:w="100"/>
            </w:tcMar>
            <w:vAlign w:val="center"/>
          </w:tcPr>
          <w:p>
            <w:r>
              <w:rPr>
                <w:b w:val="false"/>
                <w:bCs w:val="false"/>
                <w:sz w:val="18"/>
                <w:szCs w:val="18"/>
              </w:rPr>
              <w:t xml:space="preserve">The system shall detect and prevent timetable collisions so that no student is allocated two electives with overlapping time slots.</w:t>
            </w:r>
          </w:p>
        </w:tc>
        <w:tc>
          <w:tcPr>
            <w:tcW w:type="dxa" w:w="900"/>
            <w:tcMar>
              <w:top w:type="dxa" w:w="80"/>
              <w:left w:type="dxa" w:w="100"/>
              <w:bottom w:type="dxa" w:w="80"/>
              <w:right w:type="dxa" w:w="100"/>
            </w:tcMar>
            <w:vAlign w:val="center"/>
          </w:tcPr>
          <w:p>
            <w:r>
              <w:rPr>
                <w:b w:val="false"/>
                <w:bCs w:val="false"/>
                <w:sz w:val="18"/>
                <w:szCs w:val="18"/>
              </w:rPr>
              <w:t xml:space="preserve">High</w:t>
            </w:r>
          </w:p>
        </w:tc>
        <w:tc>
          <w:tcPr>
            <w:tcW w:type="dxa" w:w="3900"/>
            <w:tcMar>
              <w:top w:type="dxa" w:w="80"/>
              <w:left w:type="dxa" w:w="100"/>
              <w:bottom w:type="dxa" w:w="80"/>
              <w:right w:type="dxa" w:w="100"/>
            </w:tcMar>
            <w:vAlign w:val="center"/>
          </w:tcPr>
          <w:p>
            <w:r>
              <w:rPr>
                <w:b w:val="false"/>
                <w:bCs w:val="false"/>
                <w:sz w:val="18"/>
                <w:szCs w:val="18"/>
              </w:rPr>
              <w:t xml:space="preserve">Pass: 0% of finalized allocations contain overlapping time slots for any student, verified across all test allocations. Fail: any student's final schedule contains an overlap.</w:t>
            </w:r>
          </w:p>
        </w:tc>
        <w:tc>
          <w:tcPr>
            <w:tcW w:type="dxa" w:w="2900"/>
            <w:tcMar>
              <w:top w:type="dxa" w:w="80"/>
              <w:left w:type="dxa" w:w="100"/>
              <w:bottom w:type="dxa" w:w="80"/>
              <w:right w:type="dxa" w:w="100"/>
            </w:tcMar>
            <w:vAlign w:val="center"/>
          </w:tcPr>
          <w:p>
            <w:r>
              <w:rPr>
                <w:b w:val="false"/>
                <w:bCs w:val="false"/>
                <w:sz w:val="18"/>
                <w:szCs w:val="18"/>
              </w:rPr>
              <w:t xml:space="preserve">Collision-free allocation is the core value proposition distinguishing this system from manual registration.</w:t>
            </w:r>
          </w:p>
        </w:tc>
      </w:tr>
      <w:tr>
        <w:tc>
          <w:tcPr>
            <w:tcW w:type="dxa" w:w="800"/>
            <w:tcMar>
              <w:top w:type="dxa" w:w="80"/>
              <w:left w:type="dxa" w:w="100"/>
              <w:bottom w:type="dxa" w:w="80"/>
              <w:right w:type="dxa" w:w="100"/>
            </w:tcMar>
            <w:vAlign w:val="center"/>
          </w:tcPr>
          <w:p>
            <w:r>
              <w:rPr>
                <w:b/>
                <w:bCs/>
                <w:sz w:val="18"/>
                <w:szCs w:val="18"/>
              </w:rPr>
              <w:t xml:space="preserve">FR-004</w:t>
            </w:r>
          </w:p>
        </w:tc>
        <w:tc>
          <w:tcPr>
            <w:tcW w:type="dxa" w:w="1750"/>
            <w:tcMar>
              <w:top w:type="dxa" w:w="80"/>
              <w:left w:type="dxa" w:w="100"/>
              <w:bottom w:type="dxa" w:w="80"/>
              <w:right w:type="dxa" w:w="100"/>
            </w:tcMar>
            <w:vAlign w:val="center"/>
          </w:tcPr>
          <w:p>
            <w:r>
              <w:rPr>
                <w:b w:val="false"/>
                <w:bCs w:val="false"/>
                <w:sz w:val="18"/>
                <w:szCs w:val="18"/>
              </w:rPr>
              <w:t xml:space="preserve">Functional</w:t>
            </w:r>
          </w:p>
        </w:tc>
        <w:tc>
          <w:tcPr>
            <w:tcW w:type="dxa" w:w="4150"/>
            <w:tcMar>
              <w:top w:type="dxa" w:w="80"/>
              <w:left w:type="dxa" w:w="100"/>
              <w:bottom w:type="dxa" w:w="80"/>
              <w:right w:type="dxa" w:w="100"/>
            </w:tcMar>
            <w:vAlign w:val="center"/>
          </w:tcPr>
          <w:p>
            <w:r>
              <w:rPr>
                <w:b w:val="false"/>
                <w:bCs w:val="false"/>
                <w:sz w:val="18"/>
                <w:szCs w:val="18"/>
              </w:rPr>
              <w:t xml:space="preserve">The system shall notify each student of their final elective allocation result via email and the student portal within 24 hours of the bidding window closing.</w:t>
            </w:r>
          </w:p>
        </w:tc>
        <w:tc>
          <w:tcPr>
            <w:tcW w:type="dxa" w:w="900"/>
            <w:tcMar>
              <w:top w:type="dxa" w:w="80"/>
              <w:left w:type="dxa" w:w="100"/>
              <w:bottom w:type="dxa" w:w="80"/>
              <w:right w:type="dxa" w:w="100"/>
            </w:tcMar>
            <w:vAlign w:val="center"/>
          </w:tcPr>
          <w:p>
            <w:r>
              <w:rPr>
                <w:b w:val="false"/>
                <w:bCs w:val="false"/>
                <w:sz w:val="18"/>
                <w:szCs w:val="18"/>
              </w:rPr>
              <w:t xml:space="preserve">Medium</w:t>
            </w:r>
          </w:p>
        </w:tc>
        <w:tc>
          <w:tcPr>
            <w:tcW w:type="dxa" w:w="3900"/>
            <w:tcMar>
              <w:top w:type="dxa" w:w="80"/>
              <w:left w:type="dxa" w:w="100"/>
              <w:bottom w:type="dxa" w:w="80"/>
              <w:right w:type="dxa" w:w="100"/>
            </w:tcMar>
            <w:vAlign w:val="center"/>
          </w:tcPr>
          <w:p>
            <w:r>
              <w:rPr>
                <w:b w:val="false"/>
                <w:bCs w:val="false"/>
                <w:sz w:val="18"/>
                <w:szCs w:val="18"/>
              </w:rPr>
              <w:t xml:space="preserve">Pass: 100% of students have a notification logged (email + portal) within 24 hours of window close. Fail: any student without a logged notification in that window.</w:t>
            </w:r>
          </w:p>
        </w:tc>
        <w:tc>
          <w:tcPr>
            <w:tcW w:type="dxa" w:w="2900"/>
            <w:tcMar>
              <w:top w:type="dxa" w:w="80"/>
              <w:left w:type="dxa" w:w="100"/>
              <w:bottom w:type="dxa" w:w="80"/>
              <w:right w:type="dxa" w:w="100"/>
            </w:tcMar>
            <w:vAlign w:val="center"/>
          </w:tcPr>
          <w:p>
            <w:r>
              <w:rPr>
                <w:b w:val="false"/>
                <w:bCs w:val="false"/>
                <w:sz w:val="18"/>
                <w:szCs w:val="18"/>
              </w:rPr>
              <w:t xml:space="preserve">Timely notification reduces registrar helpdesk queries and lets students plan add/drop actions promptly.</w:t>
            </w:r>
          </w:p>
        </w:tc>
      </w:tr>
      <w:tr>
        <w:tc>
          <w:tcPr>
            <w:tcW w:type="dxa" w:w="800"/>
            <w:tcMar>
              <w:top w:type="dxa" w:w="80"/>
              <w:left w:type="dxa" w:w="100"/>
              <w:bottom w:type="dxa" w:w="80"/>
              <w:right w:type="dxa" w:w="100"/>
            </w:tcMar>
            <w:vAlign w:val="center"/>
          </w:tcPr>
          <w:p>
            <w:r>
              <w:rPr>
                <w:b/>
                <w:bCs/>
                <w:sz w:val="18"/>
                <w:szCs w:val="18"/>
              </w:rPr>
              <w:t xml:space="preserve">FR-005</w:t>
            </w:r>
          </w:p>
        </w:tc>
        <w:tc>
          <w:tcPr>
            <w:tcW w:type="dxa" w:w="1750"/>
            <w:tcMar>
              <w:top w:type="dxa" w:w="80"/>
              <w:left w:type="dxa" w:w="100"/>
              <w:bottom w:type="dxa" w:w="80"/>
              <w:right w:type="dxa" w:w="100"/>
            </w:tcMar>
            <w:vAlign w:val="center"/>
          </w:tcPr>
          <w:p>
            <w:r>
              <w:rPr>
                <w:b w:val="false"/>
                <w:bCs w:val="false"/>
                <w:sz w:val="18"/>
                <w:szCs w:val="18"/>
              </w:rPr>
              <w:t xml:space="preserve">Functional</w:t>
            </w:r>
          </w:p>
        </w:tc>
        <w:tc>
          <w:tcPr>
            <w:tcW w:type="dxa" w:w="4150"/>
            <w:tcMar>
              <w:top w:type="dxa" w:w="80"/>
              <w:left w:type="dxa" w:w="100"/>
              <w:bottom w:type="dxa" w:w="80"/>
              <w:right w:type="dxa" w:w="100"/>
            </w:tcMar>
            <w:vAlign w:val="center"/>
          </w:tcPr>
          <w:p>
            <w:r>
              <w:rPr>
                <w:b w:val="false"/>
                <w:bCs w:val="false"/>
                <w:sz w:val="18"/>
                <w:szCs w:val="18"/>
              </w:rPr>
              <w:t xml:space="preserve">The system shall allow a student to submit a withdrawal or swap request for an allocated elective before the add/drop deadline, subject to Academic Registrar approval.</w:t>
            </w:r>
          </w:p>
        </w:tc>
        <w:tc>
          <w:tcPr>
            <w:tcW w:type="dxa" w:w="900"/>
            <w:tcMar>
              <w:top w:type="dxa" w:w="80"/>
              <w:left w:type="dxa" w:w="100"/>
              <w:bottom w:type="dxa" w:w="80"/>
              <w:right w:type="dxa" w:w="100"/>
            </w:tcMar>
            <w:vAlign w:val="center"/>
          </w:tcPr>
          <w:p>
            <w:r>
              <w:rPr>
                <w:b w:val="false"/>
                <w:bCs w:val="false"/>
                <w:sz w:val="18"/>
                <w:szCs w:val="18"/>
              </w:rPr>
              <w:t xml:space="preserve">Medium</w:t>
            </w:r>
          </w:p>
        </w:tc>
        <w:tc>
          <w:tcPr>
            <w:tcW w:type="dxa" w:w="3900"/>
            <w:tcMar>
              <w:top w:type="dxa" w:w="80"/>
              <w:left w:type="dxa" w:w="100"/>
              <w:bottom w:type="dxa" w:w="80"/>
              <w:right w:type="dxa" w:w="100"/>
            </w:tcMar>
            <w:vAlign w:val="center"/>
          </w:tcPr>
          <w:p>
            <w:r>
              <w:rPr>
                <w:b w:val="false"/>
                <w:bCs w:val="false"/>
                <w:sz w:val="18"/>
                <w:szCs w:val="18"/>
              </w:rPr>
              <w:t xml:space="preserve">Pass: Swap/withdrawal request is recorded and the seat is released or updated only after explicit Registrar approval and before the deadline. Fail: seat changes without approval, or a request is accepted after the deadline.</w:t>
            </w:r>
          </w:p>
        </w:tc>
        <w:tc>
          <w:tcPr>
            <w:tcW w:type="dxa" w:w="2900"/>
            <w:tcMar>
              <w:top w:type="dxa" w:w="80"/>
              <w:left w:type="dxa" w:w="100"/>
              <w:bottom w:type="dxa" w:w="80"/>
              <w:right w:type="dxa" w:w="100"/>
            </w:tcMar>
            <w:vAlign w:val="center"/>
          </w:tcPr>
          <w:p>
            <w:r>
              <w:rPr>
                <w:b w:val="false"/>
                <w:bCs w:val="false"/>
                <w:sz w:val="18"/>
                <w:szCs w:val="18"/>
              </w:rPr>
              <w:t xml:space="preserve">Gives students flexibility for genuine scheduling conflicts while keeping the Registrar as approval authority.</w:t>
            </w:r>
          </w:p>
        </w:tc>
      </w:tr>
      <w:tr>
        <w:tc>
          <w:tcPr>
            <w:tcW w:type="dxa" w:w="800"/>
            <w:tcMar>
              <w:top w:type="dxa" w:w="80"/>
              <w:left w:type="dxa" w:w="100"/>
              <w:bottom w:type="dxa" w:w="80"/>
              <w:right w:type="dxa" w:w="100"/>
            </w:tcMar>
            <w:vAlign w:val="center"/>
          </w:tcPr>
          <w:p>
            <w:r>
              <w:rPr>
                <w:b/>
                <w:bCs/>
                <w:sz w:val="18"/>
                <w:szCs w:val="18"/>
              </w:rPr>
              <w:t xml:space="preserve">NFR-001</w:t>
            </w:r>
          </w:p>
        </w:tc>
        <w:tc>
          <w:tcPr>
            <w:tcW w:type="dxa" w:w="1750"/>
            <w:tcMar>
              <w:top w:type="dxa" w:w="80"/>
              <w:left w:type="dxa" w:w="100"/>
              <w:bottom w:type="dxa" w:w="80"/>
              <w:right w:type="dxa" w:w="100"/>
            </w:tcMar>
            <w:vAlign w:val="center"/>
          </w:tcPr>
          <w:p>
            <w:r>
              <w:rPr>
                <w:b w:val="false"/>
                <w:bCs w:val="false"/>
                <w:sz w:val="18"/>
                <w:szCs w:val="18"/>
              </w:rPr>
              <w:t xml:space="preserve">Nonfunctional – Performance &amp; Security</w:t>
            </w:r>
          </w:p>
        </w:tc>
        <w:tc>
          <w:tcPr>
            <w:tcW w:type="dxa" w:w="4150"/>
            <w:tcMar>
              <w:top w:type="dxa" w:w="80"/>
              <w:left w:type="dxa" w:w="100"/>
              <w:bottom w:type="dxa" w:w="80"/>
              <w:right w:type="dxa" w:w="100"/>
            </w:tcMar>
            <w:vAlign w:val="center"/>
          </w:tcPr>
          <w:p>
            <w:r>
              <w:rPr>
                <w:b w:val="false"/>
                <w:bCs w:val="false"/>
                <w:sz w:val="18"/>
                <w:szCs w:val="18"/>
              </w:rPr>
              <w:t xml:space="preserve">The final elective allocation solver shall process 5,000 student bids and resolve schedule conflicts in under 30 seconds.</w:t>
            </w:r>
          </w:p>
        </w:tc>
        <w:tc>
          <w:tcPr>
            <w:tcW w:type="dxa" w:w="900"/>
            <w:tcMar>
              <w:top w:type="dxa" w:w="80"/>
              <w:left w:type="dxa" w:w="100"/>
              <w:bottom w:type="dxa" w:w="80"/>
              <w:right w:type="dxa" w:w="100"/>
            </w:tcMar>
            <w:vAlign w:val="center"/>
          </w:tcPr>
          <w:p>
            <w:r>
              <w:rPr>
                <w:b w:val="false"/>
                <w:bCs w:val="false"/>
                <w:sz w:val="18"/>
                <w:szCs w:val="18"/>
              </w:rPr>
              <w:t xml:space="preserve">High</w:t>
            </w:r>
          </w:p>
        </w:tc>
        <w:tc>
          <w:tcPr>
            <w:tcW w:type="dxa" w:w="3900"/>
            <w:tcMar>
              <w:top w:type="dxa" w:w="80"/>
              <w:left w:type="dxa" w:w="100"/>
              <w:bottom w:type="dxa" w:w="80"/>
              <w:right w:type="dxa" w:w="100"/>
            </w:tcMar>
            <w:vAlign w:val="center"/>
          </w:tcPr>
          <w:p>
            <w:r>
              <w:rPr>
                <w:b w:val="false"/>
                <w:bCs w:val="false"/>
                <w:sz w:val="18"/>
                <w:szCs w:val="18"/>
              </w:rPr>
              <w:t xml:space="preserve">Pass: Benchmarking tests confirm target latency and security standards under simulated peak load. Fail: solver exceeds 30 seconds or security checks fail under the same test.</w:t>
            </w:r>
          </w:p>
        </w:tc>
        <w:tc>
          <w:tcPr>
            <w:tcW w:type="dxa" w:w="2900"/>
            <w:tcMar>
              <w:top w:type="dxa" w:w="80"/>
              <w:left w:type="dxa" w:w="100"/>
              <w:bottom w:type="dxa" w:w="80"/>
              <w:right w:type="dxa" w:w="100"/>
            </w:tcMar>
            <w:vAlign w:val="center"/>
          </w:tcPr>
          <w:p>
            <w:r>
              <w:rPr>
                <w:b w:val="false"/>
                <w:bCs w:val="false"/>
                <w:sz w:val="18"/>
                <w:szCs w:val="18"/>
              </w:rPr>
              <w:t xml:space="preserve">Allocation runs once per cycle for the whole university; solver speed and security determine whether results publish on schedule.</w:t>
            </w:r>
          </w:p>
        </w:tc>
      </w:tr>
      <w:tr>
        <w:tc>
          <w:tcPr>
            <w:tcW w:type="dxa" w:w="800"/>
            <w:tcMar>
              <w:top w:type="dxa" w:w="80"/>
              <w:left w:type="dxa" w:w="100"/>
              <w:bottom w:type="dxa" w:w="80"/>
              <w:right w:type="dxa" w:w="100"/>
            </w:tcMar>
            <w:vAlign w:val="center"/>
          </w:tcPr>
          <w:p>
            <w:r>
              <w:rPr>
                <w:b/>
                <w:bCs/>
                <w:sz w:val="18"/>
                <w:szCs w:val="18"/>
              </w:rPr>
              <w:t xml:space="preserve">NFR-002</w:t>
            </w:r>
          </w:p>
        </w:tc>
        <w:tc>
          <w:tcPr>
            <w:tcW w:type="dxa" w:w="1750"/>
            <w:tcMar>
              <w:top w:type="dxa" w:w="80"/>
              <w:left w:type="dxa" w:w="100"/>
              <w:bottom w:type="dxa" w:w="80"/>
              <w:right w:type="dxa" w:w="100"/>
            </w:tcMar>
            <w:vAlign w:val="center"/>
          </w:tcPr>
          <w:p>
            <w:r>
              <w:rPr>
                <w:b w:val="false"/>
                <w:bCs w:val="false"/>
                <w:sz w:val="18"/>
                <w:szCs w:val="18"/>
              </w:rPr>
              <w:t xml:space="preserve">Nonfunctional – Reliability &amp; Scalability</w:t>
            </w:r>
          </w:p>
        </w:tc>
        <w:tc>
          <w:tcPr>
            <w:tcW w:type="dxa" w:w="4150"/>
            <w:tcMar>
              <w:top w:type="dxa" w:w="80"/>
              <w:left w:type="dxa" w:w="100"/>
              <w:bottom w:type="dxa" w:w="80"/>
              <w:right w:type="dxa" w:w="100"/>
            </w:tcMar>
            <w:vAlign w:val="center"/>
          </w:tcPr>
          <w:p>
            <w:r>
              <w:rPr>
                <w:b w:val="false"/>
                <w:bCs w:val="false"/>
                <w:sz w:val="18"/>
                <w:szCs w:val="18"/>
              </w:rPr>
              <w:t xml:space="preserve">The system shall remain available with at least 99.5% uptime during each bidding window and support at least 500 concurrent students submitting bids without failure.</w:t>
            </w:r>
          </w:p>
        </w:tc>
        <w:tc>
          <w:tcPr>
            <w:tcW w:type="dxa" w:w="900"/>
            <w:tcMar>
              <w:top w:type="dxa" w:w="80"/>
              <w:left w:type="dxa" w:w="100"/>
              <w:bottom w:type="dxa" w:w="80"/>
              <w:right w:type="dxa" w:w="100"/>
            </w:tcMar>
            <w:vAlign w:val="center"/>
          </w:tcPr>
          <w:p>
            <w:r>
              <w:rPr>
                <w:b w:val="false"/>
                <w:bCs w:val="false"/>
                <w:sz w:val="18"/>
                <w:szCs w:val="18"/>
              </w:rPr>
              <w:t xml:space="preserve">High</w:t>
            </w:r>
          </w:p>
        </w:tc>
        <w:tc>
          <w:tcPr>
            <w:tcW w:type="dxa" w:w="3900"/>
            <w:tcMar>
              <w:top w:type="dxa" w:w="80"/>
              <w:left w:type="dxa" w:w="100"/>
              <w:bottom w:type="dxa" w:w="80"/>
              <w:right w:type="dxa" w:w="100"/>
            </w:tcMar>
            <w:vAlign w:val="center"/>
          </w:tcPr>
          <w:p>
            <w:r>
              <w:rPr>
                <w:b w:val="false"/>
                <w:bCs w:val="false"/>
                <w:sz w:val="18"/>
                <w:szCs w:val="18"/>
              </w:rPr>
              <w:t xml:space="preserve">Pass: Load testing shows ≤ 1% request error rate at 500 concurrent users, and uptime logs show ≥ 99.5% availability across the bidding window. Fail: error rate exceeds 1% under load or uptime drops below 99.5%.</w:t>
            </w:r>
          </w:p>
        </w:tc>
        <w:tc>
          <w:tcPr>
            <w:tcW w:type="dxa" w:w="2900"/>
            <w:tcMar>
              <w:top w:type="dxa" w:w="80"/>
              <w:left w:type="dxa" w:w="100"/>
              <w:bottom w:type="dxa" w:w="80"/>
              <w:right w:type="dxa" w:w="100"/>
            </w:tcMar>
            <w:vAlign w:val="center"/>
          </w:tcPr>
          <w:p>
            <w:r>
              <w:rPr>
                <w:b w:val="false"/>
                <w:bCs w:val="false"/>
                <w:sz w:val="18"/>
                <w:szCs w:val="18"/>
              </w:rPr>
              <w:t xml:space="preserve">Bidding windows are short and high-traffic (all students bid within a few days); downtime directly blocks participation and is hard to remediate mid-cycle.</w:t>
            </w:r>
          </w:p>
        </w:tc>
      </w:tr>
    </w:tbl>
    <w:p>
      <w:pPr>
        <w:spacing w:after="0"/>
      </w:pPr>
      <w:r>
        <w:rPr>
          <w:b w:val="false"/>
          <w:bCs w:val="false"/>
          <w:i/>
          <w:iCs/>
          <w:sz w:val="17"/>
          <w:szCs w:val="17"/>
        </w:rPr>
        <w:t xml:space="preserve">FR-001 and NFR-001 were provided in the problem statement; FR-002–FR-005 and NFR-002 were authored for this lab.</w:t>
      </w:r>
    </w:p>
    <w:p>
      <w:pPr>
        <w:sectPr>
          <w:pgSz w:w="15840" w:h="12240" w:orient="portrait"/>
          <w:pgMar w:top="720" w:right="720" w:bottom="720" w:left="720" w:header="708" w:footer="708" w:gutter="0"/>
          <w:pgNumType/>
          <w:docGrid w:linePitch="360"/>
        </w:sectPr>
      </w:pPr>
    </w:p>
    <w:p>
      <w:pPr>
        <w:pStyle w:val="Heading1"/>
      </w:pPr>
      <w:r>
        <w:rPr>
          <w:b/>
          <w:bCs/>
        </w:rPr>
        <w:t xml:space="preserve">2. UML Use-Case Diagram</w:t>
      </w:r>
    </w:p>
    <w:p>
      <w:pPr>
        <w:spacing w:after="200"/>
      </w:pPr>
      <w:r>
        <w:rPr>
          <w:b w:val="false"/>
          <w:bCs w:val="false"/>
          <w:i/>
          <w:iCs/>
          <w:sz w:val="20"/>
          <w:szCs w:val="20"/>
        </w:rPr>
        <w:t xml:space="preserve">Actors: Student, Academic Registrar, Notification Service  |  Includes two «include» and one «extend» relationship.</w:t>
      </w:r>
    </w:p>
    <w:p>
      <w:pPr>
        <w:jc w:val="center"/>
      </w:pPr>
      <w:r>
        <w:drawing>
          <wp:inline distT="0" distB="0" distL="0" distR="0">
            <wp:extent cx="857250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6315075"/>
                    </a:xfrm>
                    <a:prstGeom prst="rect">
                      <a:avLst/>
                    </a:prstGeom>
                  </pic:spPr>
                </pic:pic>
              </a:graphicData>
            </a:graphic>
          </wp:inline>
        </w:drawing>
      </w:r>
    </w:p>
    <w:p>
      <w:pPr>
        <w:sectPr>
          <w:pgSz w:w="15840" w:h="12240" w:orient="portrait"/>
          <w:pgMar w:top="720" w:right="720" w:bottom="720" w:left="720" w:header="708" w:footer="708" w:gutter="0"/>
          <w:pgNumType/>
          <w:docGrid w:linePitch="360"/>
        </w:sectPr>
      </w:pPr>
    </w:p>
    <w:p>
      <w:pPr>
        <w:pStyle w:val="Heading1"/>
      </w:pPr>
      <w:r>
        <w:rPr>
          <w:b/>
          <w:bCs/>
        </w:rPr>
        <w:t xml:space="preserve">3. Use-Case Flow Specification</w:t>
      </w:r>
    </w:p>
    <w:p>
      <w:pPr>
        <w:spacing w:after="120"/>
      </w:pPr>
      <w:r>
        <w:rPr>
          <w:b w:val="false"/>
          <w:bCs w:val="false"/>
          <w:i/>
          <w:iCs/>
          <w:sz w:val="20"/>
          <w:szCs w:val="20"/>
        </w:rPr>
        <w:t xml:space="preserve">Problem Statement #05: Academic Elective Bidding &amp; Allocation System</w:t>
      </w:r>
    </w:p>
    <w:p>
      <w:pPr>
        <w:spacing w:after="60" w:before="160"/>
      </w:pPr>
      <w:r>
        <w:rPr>
          <w:b/>
          <w:bCs/>
          <w:sz w:val="21"/>
          <w:szCs w:val="21"/>
        </w:rPr>
        <w:t xml:space="preserve">Use Case: UC-01 – Submit Elective Bids</w:t>
      </w:r>
    </w:p>
    <w:p>
      <w:pPr>
        <w:spacing w:after="60"/>
      </w:pPr>
      <w:r>
        <w:rPr>
          <w:b w:val="false"/>
          <w:bCs w:val="false"/>
          <w:i w:val="false"/>
          <w:iCs w:val="false"/>
          <w:sz w:val="20"/>
          <w:szCs w:val="20"/>
        </w:rPr>
        <w:t xml:space="preserve">Primary Actor: Student     Secondary Actor: Academic Registrar (owns bidding-window and capacity configuration this use case depends on)</w:t>
      </w:r>
    </w:p>
    <w:p>
      <w:pPr>
        <w:spacing w:after="60" w:before="160"/>
      </w:pPr>
      <w:r>
        <w:rPr>
          <w:b/>
          <w:bCs/>
          <w:sz w:val="21"/>
          <w:szCs w:val="21"/>
        </w:rPr>
        <w:t xml:space="preserve">Preconditions</w:t>
      </w:r>
    </w:p>
    <w:p>
      <w:pPr>
        <w:pStyle w:val="ListParagraph"/>
        <w:numPr>
          <w:ilvl w:val="0"/>
          <w:numId w:val="1"/>
        </w:numPr>
        <w:spacing w:after="40"/>
      </w:pPr>
      <w:r>
        <w:rPr>
          <w:sz w:val="20"/>
          <w:szCs w:val="20"/>
        </w:rPr>
        <w:t xml:space="preserve">Student is authenticated on the Elective Bidding portal.</w:t>
      </w:r>
    </w:p>
    <w:p>
      <w:pPr>
        <w:pStyle w:val="ListParagraph"/>
        <w:numPr>
          <w:ilvl w:val="0"/>
          <w:numId w:val="1"/>
        </w:numPr>
        <w:spacing w:after="40"/>
      </w:pPr>
      <w:r>
        <w:rPr>
          <w:sz w:val="20"/>
          <w:szCs w:val="20"/>
        </w:rPr>
        <w:t xml:space="preserve">The bidding window configured by the Academic Registrar (UC-03) is currently open.</w:t>
      </w:r>
    </w:p>
    <w:p>
      <w:pPr>
        <w:pStyle w:val="ListParagraph"/>
        <w:numPr>
          <w:ilvl w:val="0"/>
          <w:numId w:val="1"/>
        </w:numPr>
        <w:spacing w:after="40"/>
      </w:pPr>
      <w:r>
        <w:rPr>
          <w:sz w:val="20"/>
          <w:szCs w:val="20"/>
        </w:rPr>
        <w:t xml:space="preserve">The list of elective courses, their seat capacities, and prerequisite rules have been published.</w:t>
      </w:r>
    </w:p>
    <w:p>
      <w:pPr>
        <w:spacing w:after="60" w:before="160"/>
      </w:pPr>
      <w:r>
        <w:rPr>
          <w:b/>
          <w:bCs/>
          <w:sz w:val="21"/>
          <w:szCs w:val="21"/>
        </w:rPr>
        <w:t xml:space="preserve">Postconditions</w:t>
      </w:r>
    </w:p>
    <w:p>
      <w:pPr>
        <w:pStyle w:val="ListParagraph"/>
        <w:numPr>
          <w:ilvl w:val="0"/>
          <w:numId w:val="1"/>
        </w:numPr>
        <w:spacing w:after="40"/>
      </w:pPr>
      <w:r>
        <w:rPr>
          <w:sz w:val="20"/>
          <w:szCs w:val="20"/>
        </w:rPr>
        <w:t xml:space="preserve">Success: The student's 100-credit bid distribution across ranked electives is recorded and locked in for the allocation engine, with prerequisite-validation status stored against the bid.</w:t>
      </w:r>
    </w:p>
    <w:p>
      <w:pPr>
        <w:pStyle w:val="ListParagraph"/>
        <w:numPr>
          <w:ilvl w:val="0"/>
          <w:numId w:val="1"/>
        </w:numPr>
        <w:spacing w:after="40"/>
      </w:pPr>
      <w:r>
        <w:rPr>
          <w:sz w:val="20"/>
          <w:szCs w:val="20"/>
        </w:rPr>
        <w:t xml:space="preserve">Failure: No bid is recorded; the student's prior bid state (if any) is unchanged.</w:t>
      </w:r>
    </w:p>
    <w:p>
      <w:pPr>
        <w:spacing w:after="60" w:before="160"/>
      </w:pPr>
      <w:r>
        <w:rPr>
          <w:b/>
          <w:bCs/>
          <w:sz w:val="21"/>
          <w:szCs w:val="21"/>
        </w:rPr>
        <w:t xml:space="preserve">Main Success Scenario</w:t>
      </w:r>
    </w:p>
    <w:p>
      <w:pPr>
        <w:pStyle w:val="ListParagraph"/>
        <w:numPr>
          <w:ilvl w:val="0"/>
          <w:numId w:val="2"/>
        </w:numPr>
        <w:spacing w:after="40"/>
      </w:pPr>
      <w:r>
        <w:rPr>
          <w:sz w:val="20"/>
          <w:szCs w:val="20"/>
        </w:rPr>
        <w:t xml:space="preserve">Student logs into the Elective Bidding portal.</w:t>
      </w:r>
    </w:p>
    <w:p>
      <w:pPr>
        <w:pStyle w:val="ListParagraph"/>
        <w:numPr>
          <w:ilvl w:val="0"/>
          <w:numId w:val="2"/>
        </w:numPr>
        <w:spacing w:after="40"/>
      </w:pPr>
      <w:r>
        <w:rPr>
          <w:sz w:val="20"/>
          <w:szCs w:val="20"/>
        </w:rPr>
        <w:t xml:space="preserve">System verifies the bidding window is currently open and displays the list of available electives with seat capacity and prerequisite requirements.</w:t>
      </w:r>
    </w:p>
    <w:p>
      <w:pPr>
        <w:pStyle w:val="ListParagraph"/>
        <w:numPr>
          <w:ilvl w:val="0"/>
          <w:numId w:val="2"/>
        </w:numPr>
        <w:spacing w:after="40"/>
      </w:pPr>
      <w:r>
        <w:rPr>
          <w:sz w:val="20"/>
          <w:szCs w:val="20"/>
        </w:rPr>
        <w:t xml:space="preserve">Student ranks their preferred electives.</w:t>
      </w:r>
    </w:p>
    <w:p>
      <w:pPr>
        <w:pStyle w:val="ListParagraph"/>
        <w:numPr>
          <w:ilvl w:val="0"/>
          <w:numId w:val="2"/>
        </w:numPr>
        <w:spacing w:after="40"/>
      </w:pPr>
      <w:r>
        <w:rPr>
          <w:sz w:val="20"/>
          <w:szCs w:val="20"/>
        </w:rPr>
        <w:t xml:space="preserve">Student distributes their 100 bidding credits across the ranked preferences.</w:t>
      </w:r>
    </w:p>
    <w:p>
      <w:pPr>
        <w:pStyle w:val="ListParagraph"/>
        <w:numPr>
          <w:ilvl w:val="0"/>
          <w:numId w:val="2"/>
        </w:numPr>
        <w:spacing w:after="40"/>
      </w:pPr>
      <w:r>
        <w:rPr>
          <w:sz w:val="20"/>
          <w:szCs w:val="20"/>
        </w:rPr>
        <w:t xml:space="preserve">Student submits the bid. System validates that allocated credits total exactly 100 and executes the «include» use case “Validate Prerequisites” to confirm the student meets the prerequisite for every selected elective.</w:t>
      </w:r>
    </w:p>
    <w:p>
      <w:pPr>
        <w:pStyle w:val="ListParagraph"/>
        <w:numPr>
          <w:ilvl w:val="0"/>
          <w:numId w:val="2"/>
        </w:numPr>
        <w:spacing w:after="40"/>
      </w:pPr>
      <w:r>
        <w:rPr>
          <w:sz w:val="20"/>
          <w:szCs w:val="20"/>
        </w:rPr>
        <w:t xml:space="preserve">System confirms all prerequisites are satisfied and locks the bid for the allocation engine.</w:t>
      </w:r>
    </w:p>
    <w:p>
      <w:pPr>
        <w:pStyle w:val="ListParagraph"/>
        <w:numPr>
          <w:ilvl w:val="0"/>
          <w:numId w:val="2"/>
        </w:numPr>
        <w:spacing w:after="40"/>
      </w:pPr>
      <w:r>
        <w:rPr>
          <w:sz w:val="20"/>
          <w:szCs w:val="20"/>
        </w:rPr>
        <w:t xml:space="preserve">System displays a confirmation summary with a bid reference number.</w:t>
      </w:r>
    </w:p>
    <w:p>
      <w:pPr>
        <w:pStyle w:val="ListParagraph"/>
        <w:numPr>
          <w:ilvl w:val="0"/>
          <w:numId w:val="2"/>
        </w:numPr>
        <w:spacing w:after="40"/>
      </w:pPr>
      <w:r>
        <w:rPr>
          <w:sz w:val="20"/>
          <w:szCs w:val="20"/>
        </w:rPr>
        <w:t xml:space="preserve">Use case ends successfully.</w:t>
      </w:r>
    </w:p>
    <w:p>
      <w:pPr>
        <w:spacing w:after="60" w:before="160"/>
      </w:pPr>
      <w:r>
        <w:rPr>
          <w:b/>
          <w:bCs/>
          <w:sz w:val="21"/>
          <w:szCs w:val="21"/>
        </w:rPr>
        <w:t xml:space="preserve">Alternate Flow – 5a. Invalid Credit Distribution or Unmet Prerequisite</w:t>
      </w:r>
    </w:p>
    <w:p>
      <w:pPr>
        <w:pStyle w:val="ListParagraph"/>
        <w:numPr>
          <w:ilvl w:val="0"/>
          <w:numId w:val="3"/>
        </w:numPr>
        <w:spacing w:after="40"/>
      </w:pPr>
      <w:r>
        <w:rPr>
          <w:sz w:val="20"/>
          <w:szCs w:val="20"/>
        </w:rPr>
        <w:t xml:space="preserve">If total allocated credits are not exactly 100, system rejects the submission and highlights the discrepancy.</w:t>
      </w:r>
    </w:p>
    <w:p>
      <w:pPr>
        <w:pStyle w:val="ListParagraph"/>
        <w:numPr>
          <w:ilvl w:val="0"/>
          <w:numId w:val="3"/>
        </w:numPr>
        <w:spacing w:after="40"/>
      </w:pPr>
      <w:r>
        <w:rPr>
          <w:sz w:val="20"/>
          <w:szCs w:val="20"/>
        </w:rPr>
        <w:t xml:space="preserve">If a selected elective's prerequisite is not met, system flags that course as ineligible and removes it from the ranking.</w:t>
      </w:r>
    </w:p>
    <w:p>
      <w:pPr>
        <w:pStyle w:val="ListParagraph"/>
        <w:numPr>
          <w:ilvl w:val="0"/>
          <w:numId w:val="3"/>
        </w:numPr>
        <w:spacing w:after="40"/>
      </w:pPr>
      <w:r>
        <w:rPr>
          <w:sz w:val="20"/>
          <w:szCs w:val="20"/>
        </w:rPr>
        <w:t xml:space="preserve">Student revises the credit distribution and/or ranking and resubmits (return to Main Success Scenario, step 4).</w:t>
      </w:r>
    </w:p>
    <w:p>
      <w:pPr>
        <w:pStyle w:val="ListParagraph"/>
        <w:numPr>
          <w:ilvl w:val="0"/>
          <w:numId w:val="3"/>
        </w:numPr>
        <w:spacing w:after="40"/>
      </w:pPr>
      <w:r>
        <w:rPr>
          <w:sz w:val="20"/>
          <w:szCs w:val="20"/>
        </w:rPr>
        <w:t xml:space="preserve">If the bidding window closes before a valid resubmission is made, system cancels the attempt and notifies the student that no bid was recorded.</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abstractNum w:abstractNumId="3" w15:restartNumberingAfterBreak="0">
    <w:multiLevelType w:val="hybridMultilevel"/>
    <w:lvl w:ilvl="0" w15:tentative="1">
      <w:start w:val="1"/>
      <w:numFmt w:val="decimal"/>
      <w:lvlText w:val="5a%1."/>
      <w:lvlJc w:val="start"/>
      <w:pPr>
        <w:ind w:left="4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c832c56415f70458ab67f9d58b921ea3a4f77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2026-08-21T04:26:41.708Z</dcterms:created>
  <dcterms:modified xsi:type="dcterms:W3CDTF">2026-08-21T04:26:41.708Z</dcterms:modified>
</cp:coreProperties>
</file>

<file path=docProps/custom.xml><?xml version="1.0" encoding="utf-8"?>
<Properties xmlns="http://schemas.openxmlformats.org/officeDocument/2006/custom-properties" xmlns:vt="http://schemas.openxmlformats.org/officeDocument/2006/docPropsVTypes"/>
</file>