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</w:pPr>
      <w:r>
        <w:rPr>
          <w:rFonts w:ascii="Calibri" w:hAnsi="Calibri"/>
          <w:b/>
          <w:i w:val="0"/>
          <w:color w:val="B42318"/>
          <w:sz w:val="22"/>
        </w:rPr>
        <w:t>SHIELDSCAN PLATFORM ASSESSMENT REPORT</w:t>
      </w:r>
    </w:p>
    <w:p>
      <w:pPr>
        <w:spacing w:after="160"/>
      </w:pPr>
      <w:r>
        <w:rPr>
          <w:rFonts w:ascii="Calibri" w:hAnsi="Calibri"/>
          <w:b/>
          <w:i w:val="0"/>
          <w:color w:val="1D1D1F"/>
          <w:sz w:val="52"/>
        </w:rPr>
        <w:t>Network Security &amp; Visibility Assessment</w:t>
      </w:r>
    </w:p>
    <w:p>
      <w:pPr>
        <w:spacing w:after="800"/>
      </w:pPr>
      <w:r>
        <w:rPr>
          <w:rFonts w:ascii="Calibri" w:hAnsi="Calibri"/>
          <w:b w:val="0"/>
          <w:i w:val="0"/>
          <w:color w:val="6E6E73"/>
          <w:sz w:val="26"/>
        </w:rPr>
        <w:t>Target Environment: 192.168.1.0/28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5F5F2"/>
          </w:tcPr>
          <w:p>
            <w:r>
              <w:rPr>
                <w:rFonts w:ascii="Calibri" w:hAnsi="Calibri"/>
                <w:b/>
                <w:i w:val="0"/>
                <w:color w:val="6E6E73"/>
                <w:sz w:val="20"/>
              </w:rPr>
              <w:t>Assessment ID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1D1D1F"/>
                <w:sz w:val="20"/>
              </w:rPr>
              <w:t>scan_college_demo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5F5F2"/>
          </w:tcPr>
          <w:p>
            <w:r>
              <w:rPr>
                <w:rFonts w:ascii="Calibri" w:hAnsi="Calibri"/>
                <w:b/>
                <w:i w:val="0"/>
                <w:color w:val="6E6E73"/>
                <w:sz w:val="20"/>
              </w:rPr>
              <w:t>Execution Profile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1D1D1F"/>
                <w:sz w:val="20"/>
              </w:rPr>
              <w:t>Standard Assessment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5F5F2"/>
          </w:tcPr>
          <w:p>
            <w:r>
              <w:rPr>
                <w:rFonts w:ascii="Calibri" w:hAnsi="Calibri"/>
                <w:b/>
                <w:i w:val="0"/>
                <w:color w:val="6E6E73"/>
                <w:sz w:val="20"/>
              </w:rPr>
              <w:t>Date &amp; Time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1D1D1F"/>
                <w:sz w:val="20"/>
              </w:rPr>
              <w:t>2026-10-08 15:32:52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5F5F2"/>
          </w:tcPr>
          <w:p>
            <w:r>
              <w:rPr>
                <w:rFonts w:ascii="Calibri" w:hAnsi="Calibri"/>
                <w:b/>
                <w:i w:val="0"/>
                <w:color w:val="6E6E73"/>
                <w:sz w:val="20"/>
              </w:rPr>
              <w:t>Total Duration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1D1D1F"/>
                <w:sz w:val="20"/>
              </w:rPr>
              <w:t>42.18 seconds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5F5F2"/>
          </w:tcPr>
          <w:p>
            <w:r>
              <w:rPr>
                <w:rFonts w:ascii="Calibri" w:hAnsi="Calibri"/>
                <w:b/>
                <w:i w:val="0"/>
                <w:color w:val="6E6E73"/>
                <w:sz w:val="20"/>
              </w:rPr>
              <w:t>Assessed Hosts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1D1D1F"/>
                <w:sz w:val="20"/>
              </w:rPr>
              <w:t>3 alive (3 designated)</w:t>
            </w:r>
          </w:p>
        </w:tc>
      </w:tr>
    </w:tbl>
    <w:p>
      <w:pPr>
        <w:spacing w:before="1600"/>
      </w:pPr>
      <w:r>
        <w:rPr>
          <w:rFonts w:ascii="Calibri" w:hAnsi="Calibri"/>
          <w:b w:val="0"/>
          <w:i/>
          <w:color w:val="6E6E73"/>
          <w:sz w:val="18"/>
        </w:rPr>
        <w:t>Confidential Network Assessment · Authorized College Laboratory Demonstration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D1D1F"/>
          <w:sz w:val="36"/>
        </w:rPr>
        <w:t>1. Executive Summary</w:t>
      </w:r>
    </w:p>
    <w:p>
      <w:pPr>
        <w:spacing w:after="280"/>
      </w:pPr>
      <w:r>
        <w:rPr>
          <w:rFonts w:ascii="Calibri" w:hAnsi="Calibri"/>
          <w:b w:val="0"/>
          <w:i w:val="0"/>
          <w:color w:val="1D1D1F"/>
          <w:sz w:val="20"/>
        </w:rPr>
        <w:t>This document presents the technical findings and network visibility intelligence collected by ShieldScan during the assessment of 192.168.1.0/28. The evaluation was initiated under the 'Standard Assessment' profile, completing in 42.18 seconds. A total of 9 port probes were conducted across 3 target hosts, uncovering 9 open ports, 9 distinct active network services, and generating 12 evidence-grounded security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20"/>
              </w:rPr>
              <w:t>Metric Category</w:t>
            </w:r>
          </w:p>
        </w:tc>
        <w:tc>
          <w:tcPr>
            <w:tcW w:type="dxa" w:w="312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20"/>
              </w:rPr>
              <w:t>Observed Count</w:t>
            </w:r>
          </w:p>
        </w:tc>
        <w:tc>
          <w:tcPr>
            <w:tcW w:type="dxa" w:w="312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20"/>
              </w:rPr>
              <w:t>Operational Context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Target Scope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3 Hosts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3 responsive, 0 unresponsive</w:t>
            </w:r>
          </w:p>
        </w:tc>
      </w:tr>
      <w:tr>
        <w:tc>
          <w:tcPr>
            <w:tcW w:type="dxa" w:w="3120"/>
            <w:shd w:fill="F9F9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Port Exposure</w:t>
            </w:r>
          </w:p>
        </w:tc>
        <w:tc>
          <w:tcPr>
            <w:tcW w:type="dxa" w:w="3120"/>
            <w:shd w:fill="F9F9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9 Open Ports</w:t>
            </w:r>
          </w:p>
        </w:tc>
        <w:tc>
          <w:tcPr>
            <w:tcW w:type="dxa" w:w="3120"/>
            <w:shd w:fill="F9F9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0 filtered, 0 closed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Services Identified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9 Services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Fingerprinted via protocol banners and TLS</w:t>
            </w:r>
          </w:p>
        </w:tc>
      </w:tr>
      <w:tr>
        <w:tc>
          <w:tcPr>
            <w:tcW w:type="dxa" w:w="3120"/>
            <w:shd w:fill="F9F9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Security Findings</w:t>
            </w:r>
          </w:p>
        </w:tc>
        <w:tc>
          <w:tcPr>
            <w:tcW w:type="dxa" w:w="3120"/>
            <w:shd w:fill="F9F9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12 Total</w:t>
            </w:r>
          </w:p>
        </w:tc>
        <w:tc>
          <w:tcPr>
            <w:tcW w:type="dxa" w:w="3120"/>
            <w:shd w:fill="F9F9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High: 3 | Med: 4 | Low: 1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Informational Items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4 Items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Verified service baselines and configurations</w:t>
            </w:r>
          </w:p>
        </w:tc>
      </w:tr>
    </w:tbl>
    <w:p>
      <w:pPr>
        <w:spacing w:before="320"/>
      </w:pPr>
    </w:p>
    <w:p>
      <w:pPr>
        <w:pStyle w:val="Heading1"/>
      </w:pPr>
      <w:r>
        <w:rPr>
          <w:rFonts w:ascii="Calibri" w:hAnsi="Calibri"/>
          <w:b/>
          <w:i w:val="0"/>
          <w:color w:val="1D1D1F"/>
          <w:sz w:val="36"/>
        </w:rPr>
        <w:t>2. Assessment Scope &amp; Methodology</w:t>
      </w:r>
    </w:p>
    <w:p>
      <w:pPr>
        <w:spacing w:after="200"/>
      </w:pPr>
      <w:r>
        <w:rPr>
          <w:rFonts w:ascii="Calibri" w:hAnsi="Calibri"/>
          <w:b w:val="0"/>
          <w:i w:val="0"/>
          <w:color w:val="1D1D1F"/>
          <w:sz w:val="20"/>
        </w:rPr>
        <w:t>ShieldScan employs a disciplined, non-destructive four-phase network visibility methodology designed for defensive verification: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D1D1F"/>
          <w:sz w:val="20"/>
        </w:rPr>
        <w:t xml:space="preserve">Phase 1: Multi-Vector Host Discovery: </w:t>
      </w:r>
      <w:r>
        <w:rPr>
          <w:rFonts w:ascii="Calibri" w:hAnsi="Calibri"/>
          <w:b w:val="0"/>
          <w:i w:val="0"/>
          <w:color w:val="6E6E73"/>
          <w:sz w:val="19"/>
        </w:rPr>
        <w:t>Verifies host reachability via ICMP Echo requests, TCP SYN/ACK connects on administrative ports, and local reverse DNS resolution.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D1D1F"/>
          <w:sz w:val="20"/>
        </w:rPr>
        <w:t xml:space="preserve">Phase 2: Asynchronous Port Enumeration: </w:t>
      </w:r>
      <w:r>
        <w:rPr>
          <w:rFonts w:ascii="Calibri" w:hAnsi="Calibri"/>
          <w:b w:val="0"/>
          <w:i w:val="0"/>
          <w:color w:val="6E6E73"/>
          <w:sz w:val="19"/>
        </w:rPr>
        <w:t>Conducts non-blocking, managed-concurrency TCP probes across designated port lists, tracking latency and response states (Open, Closed, Filtered).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D1D1F"/>
          <w:sz w:val="20"/>
        </w:rPr>
        <w:t xml:space="preserve">Phase 3: Deep Service Fingerprinting: </w:t>
      </w:r>
      <w:r>
        <w:rPr>
          <w:rFonts w:ascii="Calibri" w:hAnsi="Calibri"/>
          <w:b w:val="0"/>
          <w:i w:val="0"/>
          <w:color w:val="6E6E73"/>
          <w:sz w:val="19"/>
        </w:rPr>
        <w:t>Interrogates listening ports using standard protocol handshakes (HTTP HEAD, TLS certificate extraction, SSH banner analysis, MySQL handshakes, Redis commands), capturing raw evidence.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D1D1F"/>
          <w:sz w:val="20"/>
        </w:rPr>
        <w:t xml:space="preserve">Phase 4: Evidence-First Security Analysis: </w:t>
      </w:r>
      <w:r>
        <w:rPr>
          <w:rFonts w:ascii="Calibri" w:hAnsi="Calibri"/>
          <w:b w:val="0"/>
          <w:i w:val="0"/>
          <w:color w:val="6E6E73"/>
          <w:sz w:val="19"/>
        </w:rPr>
        <w:t>Translates concrete observations into risk classifications (Informational, Low, Medium, High) and correlates software versions against known CVE advisories without exploitation.</w:t>
      </w:r>
    </w:p>
    <w:p>
      <w:pPr>
        <w:spacing w:before="320"/>
      </w:pPr>
    </w:p>
    <w:p>
      <w:pPr>
        <w:pStyle w:val="Heading1"/>
      </w:pPr>
      <w:r>
        <w:rPr>
          <w:rFonts w:ascii="Calibri" w:hAnsi="Calibri"/>
          <w:b/>
          <w:i w:val="0"/>
          <w:color w:val="1D1D1F"/>
          <w:sz w:val="36"/>
        </w:rPr>
        <w:t>3. Host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0F0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IP Address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Hostname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Status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Latency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Open Ports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Findings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192.168.1.1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gateway.local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REACHABLE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1.8 ms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3</w:t>
            </w:r>
          </w:p>
        </w:tc>
      </w:tr>
      <w:tr>
        <w:tc>
          <w:tcPr>
            <w:tcW w:type="dxa" w:w="1560"/>
            <w:shd w:fill="F9F9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192.168.1.10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app-prod.internal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REACHABLE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4.2 ms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3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5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192.168.1.15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lab-test.local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REACHABLE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6.1 ms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4</w:t>
            </w:r>
          </w:p>
        </w:tc>
      </w:tr>
    </w:tbl>
    <w:p>
      <w:pPr>
        <w:spacing w:before="320"/>
      </w:pPr>
    </w:p>
    <w:p>
      <w:pPr>
        <w:pStyle w:val="Heading1"/>
      </w:pPr>
      <w:r>
        <w:rPr>
          <w:rFonts w:ascii="Calibri" w:hAnsi="Calibri"/>
          <w:b/>
          <w:i w:val="0"/>
          <w:color w:val="1D1D1F"/>
          <w:sz w:val="36"/>
        </w:rPr>
        <w:t>4. Port &amp; Service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0F0E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Host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Port / Proto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Service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Product &amp; Version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Confidence</w:t>
            </w:r>
          </w:p>
        </w:tc>
        <w:tc>
          <w:tcPr>
            <w:tcW w:type="dxa" w:w="1560"/>
            <w:shd w:fill="F0F0E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Latency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80/TCP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HTTP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lighttpd 1.4.59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1.9 ms</w:t>
            </w:r>
          </w:p>
        </w:tc>
      </w:tr>
      <w:tr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443/TCP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HTTPS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TLS Gateway Admin TLSv1.3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2.1 ms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53/TCP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DNS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dnsmasq 2.85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1.2 ms</w:t>
            </w:r>
          </w:p>
        </w:tc>
      </w:tr>
      <w:tr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192.168.1.10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22/TCP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SSH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OpenSSH 8.9p1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4.1 ms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3306/TCP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MySQL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MySQL Server 8.0.35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5.0 ms</w:t>
            </w:r>
          </w:p>
        </w:tc>
      </w:tr>
      <w:tr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192.168.1.10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6379/TCP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Redis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Redis Key-Value Store 6.2.6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3.8 ms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21/TCP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FTP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vsftpd 3.0.3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5.8 ms</w:t>
            </w:r>
          </w:p>
        </w:tc>
      </w:tr>
      <w:tr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192.168.1.15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23/TCP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Telnet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Linux Telnetd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9F9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6.3 ms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192.168.1.15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8"/>
              </w:rPr>
              <w:t>3389/TCP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RDP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Remote Desktop Protocol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HIGH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7.0 ms</w:t>
            </w:r>
          </w:p>
        </w:tc>
      </w:tr>
    </w:tbl>
    <w:p>
      <w:pPr>
        <w:spacing w:before="320"/>
      </w:pPr>
    </w:p>
    <w:p>
      <w:pPr>
        <w:pStyle w:val="Heading1"/>
      </w:pPr>
      <w:r>
        <w:rPr>
          <w:rFonts w:ascii="Calibri" w:hAnsi="Calibri"/>
          <w:b/>
          <w:i w:val="0"/>
          <w:color w:val="1D1D1F"/>
          <w:sz w:val="36"/>
        </w:rPr>
        <w:t>5. Security Findings &amp; Evidence Trail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22"/>
              </w:rPr>
              <w:t>[INFORMATIONAL]  FIND-192168-001 — Active Service Verification: HTTP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192.168.1.1:80 (HTTP)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Standard network service HTTP verified operational on host 192.168.1.1 port 80. Latency: 1.9ms.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HTTP 200 OK | Server: lighttpd/1.4.59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Normal operational service exposure.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Maintain standard patch cycle and audit authorized access logs periodically.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22"/>
              </w:rPr>
              <w:t>[INFORMATIONAL]  FIND-192168-002 — Active Service Verification: HTTPS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192.168.1.1:443 (HTTPS)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Standard network service HTTPS verified operational on host 192.168.1.1 port 443. Latency: 2.1ms.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TLS 1.3 Handshake completed. CN: gateway.local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Normal operational service exposure.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Maintain standard patch cycle and audit authorized access logs periodically.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22"/>
              </w:rPr>
              <w:t>[INFORMATIONAL]  FIND-192168-003 — Active Service Verification: DNS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192.168.1.1:53 (DNS)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Standard network service DNS verified operational on host 192.168.1.1 port 53. Latency: 1.2ms.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DNS TCP port listening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Normal operational service exposure.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Maintain standard patch cycle and audit authorized access logs periodically.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9A6700"/>
                <w:sz w:val="22"/>
              </w:rPr>
              <w:t>[MEDIUM]  FIND-192168-001 — Potential Vulnerability: Terrapin Attack: SSH Channel Prefix Truncation (CVE-2023-48795)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192.168.1.10:22 (SSH)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Observed Product: OpenSSH 8.9p1</w:t>
              <w:br/>
              <w:t>Advisory Description: Vulnerability in SSH transport protocol allowing MITM attackers to truncate initial extension messages.</w:t>
              <w:br/>
              <w:t>[NOTE: Classified as POTENTIAL. Manual validation recommended to confirm exploitability in this environment.]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Banner matched product 'OpenSSH' and version string '8.9p1'. Advisory: CVE-2023-48795</w:t>
              <w:br/>
              <w:t>[Raw Trace: SSH-2.0-OpenSSH_8.9p1 Ubuntu-3ubuntu0.6]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If unpatched, this version may be vulnerable to Terrapin Attack: SSH Channel Prefix Truncation.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Upgrade OpenSSH to version 9.6p1 or newer, or disable ChaCha20-Poly1305 and CBC ciphers.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B42318"/>
                <w:sz w:val="22"/>
              </w:rPr>
              <w:t>[HIGH]  FIND-192168-002 — Potential Vulnerability: OpenSSH PKCS#11 Provider Remote Code Execution (CVE-2023-38408)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192.168.1.10:22 (SSH)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Observed Product: OpenSSH 8.9p1</w:t>
              <w:br/>
              <w:t>Advisory Description: Condition in ssh-agent forwarding allows arbitrary shared library loading via PKCS#11 providers.</w:t>
              <w:br/>
              <w:t>[NOTE: Classified as POTENTIAL. Manual validation recommended to confirm exploitability in this environment.]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Banner matched product 'OpenSSH' and version string '8.9p1'. Advisory: CVE-2023-38408</w:t>
              <w:br/>
              <w:t>[Raw Trace: SSH-2.0-OpenSSH_8.9p1 Ubuntu-3ubuntu0.6]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If unpatched, this version may be vulnerable to OpenSSH PKCS#11 Provider Remote Code Execution.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Update OpenSSH to 9.3p2 or disable remote agent forwarding.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22"/>
              </w:rPr>
              <w:t>[INFORMATIONAL]  FIND-192168-003 — Active Service Verification: SSH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192.168.1.10:22 (SSH)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Standard network service SSH verified operational on host 192.168.1.10 port 22. Latency: 4.1ms.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SSH banner: SSH-2.0-OpenSSH_8.9p1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Normal operational service exposure.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Maintain standard patch cycle and audit authorized access logs periodically.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9A6700"/>
                <w:sz w:val="22"/>
              </w:rPr>
              <w:t>[MEDIUM]  FIND-192168-004 — Direct Database Management Port Exposure (MYSQL)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192.168.1.10:3306 (MYSQL)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Database service MYSQL is listening on external network port 3306. Direct exposure increases risk of unauthorized queries and brute force.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MySQL Initial Handshake parsed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Potential exposure of sensitive records, denial of service, or unauthorized administrative actions if weak credentials exist.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Bind the MYSQL daemon strictly to localhost (127.0.0.1) or an internal private subnet; mandate VPN tunnels or application proxy access.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B42318"/>
                <w:sz w:val="22"/>
              </w:rPr>
              <w:t>[HIGH]  FIND-192168-005 — Direct Database Management Port Exposure (REDIS)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192.168.1.10:6379 (REDIS)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Database service REDIS is listening on external network port 6379. Direct exposure increases risk of unauthorized queries and brute force.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Redis PING returned +PONG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Potential exposure of sensitive records, denial of service, or unauthorized administrative actions if weak credentials exist.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Bind the REDIS daemon strictly to localhost (127.0.0.1) or an internal private subnet; mandate VPN tunnels or application proxy access.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9A6700"/>
                <w:sz w:val="22"/>
              </w:rPr>
              <w:t>[MEDIUM]  FIND-192168-001 — Unencrypted FTP Protocol Exposure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192.168.1.15:21 (FTP)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Standard FTP service detected on port 21. FTP transmits authentication credentials and transferred data without transport encryption.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220 vsftpd 3.0.3 banner received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Sensitive files and credentials may be subject to packet sniffing and credential theft over unsegmented networks.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Replace legacy FTP with SFTP (SSH File Transfer Protocol) or require FTPS with explicit TLS enforcement.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22"/>
              </w:rPr>
              <w:t>[LOW]  FIND-192168-002 — Potential Vulnerability: vsftpd Denial of Service via Resource Exhaustion (CVE-2015-1849)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192.168.1.15:21 (FTP)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Observed Product: vsftpd 3.0.3</w:t>
              <w:br/>
              <w:t>Advisory Description: Improper resource limits in specific non-standard configurations may lead to denial of service.</w:t>
              <w:br/>
              <w:t>[NOTE: Classified as POTENTIAL. Manual validation recommended to confirm exploitability in this environment.]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Banner matched product 'vsftpd' and version string '3.0.3'. Advisory: CVE-2015-1849</w:t>
              <w:br/>
              <w:t>[Raw Trace: 220 (vsFTPd 3.0.3)]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If unpatched, this version may be vulnerable to vsftpd Denial of Service via Resource Exhaustion.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Upgrade vsftpd to 3.0.3 or implement strict per-IP connection limits.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B42318"/>
                <w:sz w:val="22"/>
              </w:rPr>
              <w:t>[HIGH]  FIND-192168-003 — Unencrypted Telnet Remote Administration Service Exposed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192.168.1.15:23 (Telnet)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Port 23 accepts Telnet connections. The Telnet protocol transmits credentials, session tokens, and commands in cleartext.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Telnet connection accepted without encryption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Network eavesdroppers on the transit path can intercept administrative credentials and execute unauthorized commands.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Disable the Telnet daemon immediately and transition all remote access workflows to SSH (port 22).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9A6700"/>
                <w:sz w:val="22"/>
              </w:rPr>
              <w:t>[MEDIUM]  FIND-192168-004 — Administrative Service Exposed (Remote Desktop (RDP))</w:t>
            </w:r>
          </w:p>
        </w:tc>
        <w:tc>
          <w:tcPr>
            <w:tcW w:type="dxa" w:w="4680"/>
            <w:shd w:fill="F0F0EC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E6E73"/>
                <w:sz w:val="19"/>
              </w:rPr>
              <w:t>192.168.1.15:3389 (Remote Desktop (RDP))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Description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Administrative access interface Remote Desktop (RDP) detected listening on TCP/3389.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Observed Evidence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8"/>
              </w:rPr>
              <w:t>RDP port open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6E6E73"/>
                <w:sz w:val="18"/>
              </w:rPr>
              <w:t>Potential Impact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D1D1F"/>
                <w:sz w:val="19"/>
              </w:rPr>
              <w:t>Exposed administration endpoints are frequent targets of brute-force password guessing and lateral movement attacks.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2F6B4F"/>
                <w:sz w:val="18"/>
              </w:rPr>
              <w:t>Remediation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1D1F"/>
                <w:sz w:val="19"/>
              </w:rPr>
              <w:t>Enforce Network Level Authentication (NLA), place administration behind a dedicated VPN / bastion host, and restrict firewall access rules.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Calibri" w:hAnsi="Calibri"/>
          <w:b/>
          <w:i w:val="0"/>
          <w:color w:val="1D1D1F"/>
          <w:sz w:val="36"/>
        </w:rPr>
        <w:t>6. Strategic Remediation Roadmap</w:t>
      </w:r>
    </w:p>
    <w:p>
      <w:r>
        <w:rPr>
          <w:rFonts w:ascii="Calibri" w:hAnsi="Calibri"/>
          <w:b w:val="0"/>
          <w:i w:val="0"/>
          <w:color w:val="1D1D1F"/>
          <w:sz w:val="20"/>
        </w:rPr>
        <w:t>Based on the specific services and risk exposures identified during this assessment, the following prioritized engineering countermeasures should be implemented: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color w:val="1D1D1F"/>
          <w:sz w:val="20"/>
        </w:rPr>
        <w:t xml:space="preserve">Enforce Modern Transport Encryption: </w:t>
      </w:r>
      <w:r>
        <w:rPr>
          <w:rFonts w:ascii="Calibri" w:hAnsi="Calibri"/>
          <w:b w:val="0"/>
          <w:i w:val="0"/>
          <w:color w:val="6E6E73"/>
          <w:sz w:val="19"/>
        </w:rPr>
        <w:t>Deprecate plaintext transport protocols (such as unencrypted HTTP, Telnet, or FTP). Mandate TLS 1.3 or SSH v2 for all administrative and user communications.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color w:val="1D1D1F"/>
          <w:sz w:val="20"/>
        </w:rPr>
        <w:t xml:space="preserve">Isolate Database Management Ports: </w:t>
      </w:r>
      <w:r>
        <w:rPr>
          <w:rFonts w:ascii="Calibri" w:hAnsi="Calibri"/>
          <w:b w:val="0"/>
          <w:i w:val="0"/>
          <w:color w:val="6E6E73"/>
          <w:sz w:val="19"/>
        </w:rPr>
        <w:t>Ensure database listening ports (e.g., MySQL 3306, Redis 6379, PostgreSQL 5432) are bound exclusively to 127.0.0.1 or restricted private VLANs with strict host firewall filtering.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color w:val="1D1D1F"/>
          <w:sz w:val="20"/>
        </w:rPr>
        <w:t xml:space="preserve">Bastion &amp; VPN for Remote Administration: </w:t>
      </w:r>
      <w:r>
        <w:rPr>
          <w:rFonts w:ascii="Calibri" w:hAnsi="Calibri"/>
          <w:b w:val="0"/>
          <w:i w:val="0"/>
          <w:color w:val="6E6E73"/>
          <w:sz w:val="19"/>
        </w:rPr>
        <w:t>Restrict administrative surfaces (RDP, SSH, WinRM) behind multi-factor authenticated VPN gateways rather than exposing them to wide network segments.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color w:val="1D1D1F"/>
          <w:sz w:val="20"/>
        </w:rPr>
        <w:t xml:space="preserve">Continuous Discovery &amp; Differential Audits: </w:t>
      </w:r>
      <w:r>
        <w:rPr>
          <w:rFonts w:ascii="Calibri" w:hAnsi="Calibri"/>
          <w:b w:val="0"/>
          <w:i w:val="0"/>
          <w:color w:val="6E6E73"/>
          <w:sz w:val="19"/>
        </w:rPr>
        <w:t>Establish periodic ShieldScan automated assessments to track host and port drift, catching newly exposed listeners before they are discovered externally.</w:t>
      </w:r>
    </w:p>
    <w:p>
      <w:pPr>
        <w:spacing w:before="320"/>
      </w:pPr>
    </w:p>
    <w:p>
      <w:pPr>
        <w:pStyle w:val="Heading1"/>
      </w:pPr>
      <w:r>
        <w:rPr>
          <w:rFonts w:ascii="Calibri" w:hAnsi="Calibri"/>
          <w:b/>
          <w:i w:val="0"/>
          <w:color w:val="1D1D1F"/>
          <w:sz w:val="36"/>
        </w:rPr>
        <w:t>7. Technical Appendix &amp; Assessment Limitations</w:t>
      </w:r>
    </w:p>
    <w:p>
      <w:r>
        <w:rPr>
          <w:rFonts w:ascii="Calibri" w:hAnsi="Calibri"/>
          <w:b w:val="0"/>
          <w:i w:val="0"/>
          <w:color w:val="6E6E73"/>
          <w:sz w:val="18"/>
        </w:rPr>
        <w:t>Scan Engine: ShieldScan Enterprise Core v5.0</w:t>
        <w:br/>
        <w:t>Assessment Profile: Standard Assessment (ID: standard_assessment)</w:t>
        <w:br/>
        <w:t>Probe Timeout: 0.35s | Concurrency: 250 workers</w:t>
        <w:br/>
        <w:t>Timestamp: Started at 2026-10-08T15:32:52.783343 | Concluded at N/A</w:t>
        <w:br/>
      </w:r>
    </w:p>
    <w:p>
      <w:r>
        <w:rPr>
          <w:rFonts w:ascii="Calibri" w:hAnsi="Calibri"/>
          <w:b/>
          <w:i w:val="0"/>
          <w:color w:val="1D1D1F"/>
          <w:sz w:val="20"/>
        </w:rPr>
        <w:t>Assessment Limitations: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6E6E73"/>
          <w:sz w:val="18"/>
        </w:rPr>
        <w:t>Network Firewalls &amp; Stateful Inspection: In-line firewalls or host-based packet filters (e.g., Windows Defender Firewall, iptables) may drop or silently reset probes, causing ports to be categorized as FILTERED.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6E6E73"/>
          <w:sz w:val="18"/>
        </w:rPr>
        <w:t>Fingerprint Uncertainty: Version identification depends on banners published by target daemons. Custom or obfuscated banners may produce LOW confidence classifications.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6E6E73"/>
          <w:sz w:val="18"/>
        </w:rPr>
        <w:t>Defensive Scope: ShieldScan operates strictly as a discovery, enumeration, and non-destructive assessment tool. It does not perform active exploits, denial of service, or authentication bypass.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