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Calibri" w:hAnsi="Calibri"/>
          <w:b/>
          <w:i w:val="0"/>
          <w:color w:val="B42318"/>
          <w:sz w:val="22"/>
        </w:rPr>
        <w:t>SHIELDSCAN PLATFORM ASSESSMENT REPORT</w:t>
      </w:r>
    </w:p>
    <w:p>
      <w:pPr>
        <w:spacing w:after="160"/>
      </w:pPr>
      <w:r>
        <w:rPr>
          <w:rFonts w:ascii="Calibri" w:hAnsi="Calibri"/>
          <w:b/>
          <w:i w:val="0"/>
          <w:color w:val="1D1D1F"/>
          <w:sz w:val="52"/>
        </w:rPr>
        <w:t>Network Security &amp; Visibility Assessment</w:t>
      </w:r>
    </w:p>
    <w:p>
      <w:pPr>
        <w:spacing w:after="800"/>
      </w:pPr>
      <w:r>
        <w:rPr>
          <w:rFonts w:ascii="Calibri" w:hAnsi="Calibri"/>
          <w:b w:val="0"/>
          <w:i w:val="0"/>
          <w:color w:val="6E6E73"/>
          <w:sz w:val="26"/>
        </w:rPr>
        <w:t>Target Environment: 127.0.0.1</w:t>
      </w:r>
    </w:p>
    <w:tbl>
      <w:tblPr>
        <w:tblW w:type="auto" w:w="0"/>
        <w:jc w:val="left"/>
        <w:tblLook w:firstColumn="1" w:firstRow="1" w:lastColumn="0" w:lastRow="0" w:noHBand="0" w:noVBand="1" w:val="04A0"/>
      </w:tblPr>
      <w:tblGrid>
        <w:gridCol w:w="4680"/>
        <w:gridCol w:w="4680"/>
      </w:tblGrid>
      <w:tr>
        <w:tc>
          <w:tcPr>
            <w:tcW w:type="dxa" w:w="4680"/>
            <w:tcMar>
              <w:top w:w="80" w:type="dxa"/>
              <w:bottom w:w="80" w:type="dxa"/>
              <w:left w:w="100" w:type="dxa"/>
              <w:right w:w="100" w:type="dxa"/>
            </w:tcMar>
            <w:shd w:fill="F5F5F2"/>
          </w:tcPr>
          <w:p>
            <w:r>
              <w:rPr>
                <w:rFonts w:ascii="Calibri" w:hAnsi="Calibri"/>
                <w:b/>
                <w:i w:val="0"/>
                <w:color w:val="6E6E73"/>
                <w:sz w:val="20"/>
              </w:rPr>
              <w:t>Assessment ID</w:t>
            </w:r>
          </w:p>
        </w:tc>
        <w:tc>
          <w:tcPr>
            <w:tcW w:type="dxa" w:w="4680"/>
            <w:tcMar>
              <w:top w:w="80" w:type="dxa"/>
              <w:bottom w:w="80" w:type="dxa"/>
              <w:left w:w="100" w:type="dxa"/>
              <w:right w:w="100" w:type="dxa"/>
            </w:tcMar>
            <w:shd w:fill="FFFFFF"/>
          </w:tcPr>
          <w:p>
            <w:r>
              <w:rPr>
                <w:rFonts w:ascii="Calibri" w:hAnsi="Calibri"/>
                <w:b w:val="0"/>
                <w:i w:val="0"/>
                <w:color w:val="1D1D1F"/>
                <w:sz w:val="20"/>
              </w:rPr>
              <w:t>test_scan</w:t>
            </w:r>
          </w:p>
        </w:tc>
      </w:tr>
      <w:tr>
        <w:tc>
          <w:tcPr>
            <w:tcW w:type="dxa" w:w="4680"/>
            <w:tcMar>
              <w:top w:w="80" w:type="dxa"/>
              <w:bottom w:w="80" w:type="dxa"/>
              <w:left w:w="100" w:type="dxa"/>
              <w:right w:w="100" w:type="dxa"/>
            </w:tcMar>
            <w:shd w:fill="F5F5F2"/>
          </w:tcPr>
          <w:p>
            <w:r>
              <w:rPr>
                <w:rFonts w:ascii="Calibri" w:hAnsi="Calibri"/>
                <w:b/>
                <w:i w:val="0"/>
                <w:color w:val="6E6E73"/>
                <w:sz w:val="20"/>
              </w:rPr>
              <w:t>Execution Profile</w:t>
            </w:r>
          </w:p>
        </w:tc>
        <w:tc>
          <w:tcPr>
            <w:tcW w:type="dxa" w:w="4680"/>
            <w:tcMar>
              <w:top w:w="80" w:type="dxa"/>
              <w:bottom w:w="80" w:type="dxa"/>
              <w:left w:w="100" w:type="dxa"/>
              <w:right w:w="100" w:type="dxa"/>
            </w:tcMar>
            <w:shd w:fill="FFFFFF"/>
          </w:tcPr>
          <w:p>
            <w:r>
              <w:rPr>
                <w:rFonts w:ascii="Calibri" w:hAnsi="Calibri"/>
                <w:b w:val="0"/>
                <w:i w:val="0"/>
                <w:color w:val="1D1D1F"/>
                <w:sz w:val="20"/>
              </w:rPr>
              <w:t>Standard Assessment</w:t>
            </w:r>
          </w:p>
        </w:tc>
      </w:tr>
      <w:tr>
        <w:tc>
          <w:tcPr>
            <w:tcW w:type="dxa" w:w="4680"/>
            <w:tcMar>
              <w:top w:w="80" w:type="dxa"/>
              <w:bottom w:w="80" w:type="dxa"/>
              <w:left w:w="100" w:type="dxa"/>
              <w:right w:w="100" w:type="dxa"/>
            </w:tcMar>
            <w:shd w:fill="F5F5F2"/>
          </w:tcPr>
          <w:p>
            <w:r>
              <w:rPr>
                <w:rFonts w:ascii="Calibri" w:hAnsi="Calibri"/>
                <w:b/>
                <w:i w:val="0"/>
                <w:color w:val="6E6E73"/>
                <w:sz w:val="20"/>
              </w:rPr>
              <w:t>Date &amp; Time</w:t>
            </w:r>
          </w:p>
        </w:tc>
        <w:tc>
          <w:tcPr>
            <w:tcW w:type="dxa" w:w="4680"/>
            <w:tcMar>
              <w:top w:w="80" w:type="dxa"/>
              <w:bottom w:w="80" w:type="dxa"/>
              <w:left w:w="100" w:type="dxa"/>
              <w:right w:w="100" w:type="dxa"/>
            </w:tcMar>
            <w:shd w:fill="FFFFFF"/>
          </w:tcPr>
          <w:p>
            <w:r>
              <w:rPr>
                <w:rFonts w:ascii="Calibri" w:hAnsi="Calibri"/>
                <w:b w:val="0"/>
                <w:i w:val="0"/>
                <w:color w:val="1D1D1F"/>
                <w:sz w:val="20"/>
              </w:rPr>
              <w:t>2026-10-08 15:46:16</w:t>
            </w:r>
          </w:p>
        </w:tc>
      </w:tr>
      <w:tr>
        <w:tc>
          <w:tcPr>
            <w:tcW w:type="dxa" w:w="4680"/>
            <w:tcMar>
              <w:top w:w="80" w:type="dxa"/>
              <w:bottom w:w="80" w:type="dxa"/>
              <w:left w:w="100" w:type="dxa"/>
              <w:right w:w="100" w:type="dxa"/>
            </w:tcMar>
            <w:shd w:fill="F5F5F2"/>
          </w:tcPr>
          <w:p>
            <w:r>
              <w:rPr>
                <w:rFonts w:ascii="Calibri" w:hAnsi="Calibri"/>
                <w:b/>
                <w:i w:val="0"/>
                <w:color w:val="6E6E73"/>
                <w:sz w:val="20"/>
              </w:rPr>
              <w:t>Total Duration</w:t>
            </w:r>
          </w:p>
        </w:tc>
        <w:tc>
          <w:tcPr>
            <w:tcW w:type="dxa" w:w="4680"/>
            <w:tcMar>
              <w:top w:w="80" w:type="dxa"/>
              <w:bottom w:w="80" w:type="dxa"/>
              <w:left w:w="100" w:type="dxa"/>
              <w:right w:w="100" w:type="dxa"/>
            </w:tcMar>
            <w:shd w:fill="FFFFFF"/>
          </w:tcPr>
          <w:p>
            <w:r>
              <w:rPr>
                <w:rFonts w:ascii="Calibri" w:hAnsi="Calibri"/>
                <w:b w:val="0"/>
                <w:i w:val="0"/>
                <w:color w:val="1D1D1F"/>
                <w:sz w:val="20"/>
              </w:rPr>
              <w:t>1.25 seconds</w:t>
            </w:r>
          </w:p>
        </w:tc>
      </w:tr>
      <w:tr>
        <w:tc>
          <w:tcPr>
            <w:tcW w:type="dxa" w:w="4680"/>
            <w:tcMar>
              <w:top w:w="80" w:type="dxa"/>
              <w:bottom w:w="80" w:type="dxa"/>
              <w:left w:w="100" w:type="dxa"/>
              <w:right w:w="100" w:type="dxa"/>
            </w:tcMar>
            <w:shd w:fill="F5F5F2"/>
          </w:tcPr>
          <w:p>
            <w:r>
              <w:rPr>
                <w:rFonts w:ascii="Calibri" w:hAnsi="Calibri"/>
                <w:b/>
                <w:i w:val="0"/>
                <w:color w:val="6E6E73"/>
                <w:sz w:val="20"/>
              </w:rPr>
              <w:t>Assessed Hosts</w:t>
            </w:r>
          </w:p>
        </w:tc>
        <w:tc>
          <w:tcPr>
            <w:tcW w:type="dxa" w:w="4680"/>
            <w:tcMar>
              <w:top w:w="80" w:type="dxa"/>
              <w:bottom w:w="80" w:type="dxa"/>
              <w:left w:w="100" w:type="dxa"/>
              <w:right w:w="100" w:type="dxa"/>
            </w:tcMar>
            <w:shd w:fill="FFFFFF"/>
          </w:tcPr>
          <w:p>
            <w:r>
              <w:rPr>
                <w:rFonts w:ascii="Calibri" w:hAnsi="Calibri"/>
                <w:b w:val="0"/>
                <w:i w:val="0"/>
                <w:color w:val="1D1D1F"/>
                <w:sz w:val="20"/>
              </w:rPr>
              <w:t>1 alive (1 designated)</w:t>
            </w:r>
          </w:p>
        </w:tc>
      </w:tr>
    </w:tbl>
    <w:p>
      <w:pPr>
        <w:spacing w:before="1600"/>
      </w:pPr>
      <w:r>
        <w:rPr>
          <w:rFonts w:ascii="Calibri" w:hAnsi="Calibri"/>
          <w:b w:val="0"/>
          <w:i/>
          <w:color w:val="6E6E73"/>
          <w:sz w:val="18"/>
        </w:rPr>
        <w:t>Confidential Network Assessment · Authorized College Laboratory Demonstration</w:t>
      </w:r>
    </w:p>
    <w:p>
      <w:r>
        <w:br w:type="page"/>
      </w:r>
    </w:p>
    <w:p>
      <w:pPr>
        <w:pStyle w:val="Heading1"/>
      </w:pPr>
      <w:r>
        <w:rPr>
          <w:rFonts w:ascii="Calibri" w:hAnsi="Calibri"/>
          <w:b/>
          <w:i w:val="0"/>
          <w:color w:val="1D1D1F"/>
          <w:sz w:val="36"/>
        </w:rPr>
        <w:t>1. Executive Summary</w:t>
      </w:r>
    </w:p>
    <w:p>
      <w:pPr>
        <w:spacing w:after="280"/>
      </w:pPr>
      <w:r>
        <w:rPr>
          <w:rFonts w:ascii="Calibri" w:hAnsi="Calibri"/>
          <w:b w:val="0"/>
          <w:i w:val="0"/>
          <w:color w:val="1D1D1F"/>
          <w:sz w:val="20"/>
        </w:rPr>
        <w:t>This document presents the technical findings and network visibility intelligence collected by ShieldScan during the assessment of 127.0.0.1. The evaluation was initiated under the 'Standard Assessment' profile, completing in 1.25 seconds. A total of 1 port probes were conducted across 1 target hosts, uncovering 1 open ports, 1 distinct active network services, and generating 1 evidence-grounded security findings.</w:t>
      </w:r>
    </w:p>
    <w:tbl>
      <w:tblPr>
        <w:tblW w:type="auto" w:w="0"/>
        <w:jc w:val="center"/>
        <w:tblLook w:firstColumn="1" w:firstRow="1" w:lastColumn="0" w:lastRow="0" w:noHBand="0" w:noVBand="1" w:val="04A0"/>
      </w:tblPr>
      <w:tblGrid>
        <w:gridCol w:w="3120"/>
        <w:gridCol w:w="3120"/>
        <w:gridCol w:w="3120"/>
      </w:tblGrid>
      <w:tr>
        <w:tc>
          <w:tcPr>
            <w:tcW w:type="dxa" w:w="3120"/>
            <w:shd w:fill="F0F0EC"/>
            <w:tcMar>
              <w:top w:w="100" w:type="dxa"/>
              <w:bottom w:w="100" w:type="dxa"/>
              <w:left w:w="120" w:type="dxa"/>
              <w:right w:w="120" w:type="dxa"/>
            </w:tcMar>
          </w:tcPr>
          <w:p>
            <w:r>
              <w:rPr>
                <w:rFonts w:ascii="Calibri" w:hAnsi="Calibri"/>
                <w:b/>
                <w:i w:val="0"/>
                <w:color w:val="1D1D1F"/>
                <w:sz w:val="20"/>
              </w:rPr>
              <w:t>Metric Category</w:t>
            </w:r>
          </w:p>
        </w:tc>
        <w:tc>
          <w:tcPr>
            <w:tcW w:type="dxa" w:w="3120"/>
            <w:shd w:fill="F0F0EC"/>
            <w:tcMar>
              <w:top w:w="100" w:type="dxa"/>
              <w:bottom w:w="100" w:type="dxa"/>
              <w:left w:w="120" w:type="dxa"/>
              <w:right w:w="120" w:type="dxa"/>
            </w:tcMar>
          </w:tcPr>
          <w:p>
            <w:r>
              <w:rPr>
                <w:rFonts w:ascii="Calibri" w:hAnsi="Calibri"/>
                <w:b/>
                <w:i w:val="0"/>
                <w:color w:val="1D1D1F"/>
                <w:sz w:val="20"/>
              </w:rPr>
              <w:t>Observed Count</w:t>
            </w:r>
          </w:p>
        </w:tc>
        <w:tc>
          <w:tcPr>
            <w:tcW w:type="dxa" w:w="3120"/>
            <w:shd w:fill="F0F0EC"/>
            <w:tcMar>
              <w:top w:w="100" w:type="dxa"/>
              <w:bottom w:w="100" w:type="dxa"/>
              <w:left w:w="120" w:type="dxa"/>
              <w:right w:w="120" w:type="dxa"/>
            </w:tcMar>
          </w:tcPr>
          <w:p>
            <w:r>
              <w:rPr>
                <w:rFonts w:ascii="Calibri" w:hAnsi="Calibri"/>
                <w:b/>
                <w:i w:val="0"/>
                <w:color w:val="1D1D1F"/>
                <w:sz w:val="20"/>
              </w:rPr>
              <w:t>Operational Context</w:t>
            </w:r>
          </w:p>
        </w:tc>
      </w:tr>
      <w:tr>
        <w:tc>
          <w:tcPr>
            <w:tcW w:type="dxa" w:w="3120"/>
            <w:shd w:fill="FFFFFF"/>
            <w:tcMar>
              <w:top w:w="80" w:type="dxa"/>
              <w:bottom w:w="80" w:type="dxa"/>
              <w:left w:w="120" w:type="dxa"/>
              <w:right w:w="120" w:type="dxa"/>
            </w:tcMar>
          </w:tcPr>
          <w:p>
            <w:r>
              <w:rPr>
                <w:rFonts w:ascii="Calibri" w:hAnsi="Calibri"/>
                <w:b/>
                <w:i w:val="0"/>
                <w:color w:val="1D1D1F"/>
                <w:sz w:val="19"/>
              </w:rPr>
              <w:t>Target Scope</w:t>
            </w:r>
          </w:p>
        </w:tc>
        <w:tc>
          <w:tcPr>
            <w:tcW w:type="dxa" w:w="3120"/>
            <w:shd w:fill="FFFFFF"/>
            <w:tcMar>
              <w:top w:w="80" w:type="dxa"/>
              <w:bottom w:w="80" w:type="dxa"/>
              <w:left w:w="120" w:type="dxa"/>
              <w:right w:w="120" w:type="dxa"/>
            </w:tcMar>
          </w:tcPr>
          <w:p>
            <w:r>
              <w:rPr>
                <w:rFonts w:ascii="Calibri" w:hAnsi="Calibri"/>
                <w:b w:val="0"/>
                <w:i w:val="0"/>
                <w:color w:val="1D1D1F"/>
                <w:sz w:val="19"/>
              </w:rPr>
              <w:t>1 Hosts</w:t>
            </w:r>
          </w:p>
        </w:tc>
        <w:tc>
          <w:tcPr>
            <w:tcW w:type="dxa" w:w="3120"/>
            <w:shd w:fill="FFFFFF"/>
            <w:tcMar>
              <w:top w:w="80" w:type="dxa"/>
              <w:bottom w:w="80" w:type="dxa"/>
              <w:left w:w="120" w:type="dxa"/>
              <w:right w:w="120" w:type="dxa"/>
            </w:tcMar>
          </w:tcPr>
          <w:p>
            <w:r>
              <w:rPr>
                <w:rFonts w:ascii="Calibri" w:hAnsi="Calibri"/>
                <w:b w:val="0"/>
                <w:i w:val="0"/>
                <w:color w:val="1D1D1F"/>
                <w:sz w:val="19"/>
              </w:rPr>
              <w:t>1 responsive, 0 unresponsive</w:t>
            </w:r>
          </w:p>
        </w:tc>
      </w:tr>
      <w:tr>
        <w:tc>
          <w:tcPr>
            <w:tcW w:type="dxa" w:w="3120"/>
            <w:shd w:fill="F9F9F8"/>
            <w:tcMar>
              <w:top w:w="80" w:type="dxa"/>
              <w:bottom w:w="80" w:type="dxa"/>
              <w:left w:w="120" w:type="dxa"/>
              <w:right w:w="120" w:type="dxa"/>
            </w:tcMar>
          </w:tcPr>
          <w:p>
            <w:r>
              <w:rPr>
                <w:rFonts w:ascii="Calibri" w:hAnsi="Calibri"/>
                <w:b/>
                <w:i w:val="0"/>
                <w:color w:val="1D1D1F"/>
                <w:sz w:val="19"/>
              </w:rPr>
              <w:t>Port Exposure</w:t>
            </w:r>
          </w:p>
        </w:tc>
        <w:tc>
          <w:tcPr>
            <w:tcW w:type="dxa" w:w="3120"/>
            <w:shd w:fill="F9F9F8"/>
            <w:tcMar>
              <w:top w:w="80" w:type="dxa"/>
              <w:bottom w:w="80" w:type="dxa"/>
              <w:left w:w="120" w:type="dxa"/>
              <w:right w:w="120" w:type="dxa"/>
            </w:tcMar>
          </w:tcPr>
          <w:p>
            <w:r>
              <w:rPr>
                <w:rFonts w:ascii="Calibri" w:hAnsi="Calibri"/>
                <w:b w:val="0"/>
                <w:i w:val="0"/>
                <w:color w:val="1D1D1F"/>
                <w:sz w:val="19"/>
              </w:rPr>
              <w:t>1 Open Ports</w:t>
            </w:r>
          </w:p>
        </w:tc>
        <w:tc>
          <w:tcPr>
            <w:tcW w:type="dxa" w:w="3120"/>
            <w:shd w:fill="F9F9F8"/>
            <w:tcMar>
              <w:top w:w="80" w:type="dxa"/>
              <w:bottom w:w="80" w:type="dxa"/>
              <w:left w:w="120" w:type="dxa"/>
              <w:right w:w="120" w:type="dxa"/>
            </w:tcMar>
          </w:tcPr>
          <w:p>
            <w:r>
              <w:rPr>
                <w:rFonts w:ascii="Calibri" w:hAnsi="Calibri"/>
                <w:b w:val="0"/>
                <w:i w:val="0"/>
                <w:color w:val="1D1D1F"/>
                <w:sz w:val="19"/>
              </w:rPr>
              <w:t>0 filtered, 0 closed</w:t>
            </w:r>
          </w:p>
        </w:tc>
      </w:tr>
      <w:tr>
        <w:tc>
          <w:tcPr>
            <w:tcW w:type="dxa" w:w="3120"/>
            <w:shd w:fill="FFFFFF"/>
            <w:tcMar>
              <w:top w:w="80" w:type="dxa"/>
              <w:bottom w:w="80" w:type="dxa"/>
              <w:left w:w="120" w:type="dxa"/>
              <w:right w:w="120" w:type="dxa"/>
            </w:tcMar>
          </w:tcPr>
          <w:p>
            <w:r>
              <w:rPr>
                <w:rFonts w:ascii="Calibri" w:hAnsi="Calibri"/>
                <w:b/>
                <w:i w:val="0"/>
                <w:color w:val="1D1D1F"/>
                <w:sz w:val="19"/>
              </w:rPr>
              <w:t>Services Identified</w:t>
            </w:r>
          </w:p>
        </w:tc>
        <w:tc>
          <w:tcPr>
            <w:tcW w:type="dxa" w:w="3120"/>
            <w:shd w:fill="FFFFFF"/>
            <w:tcMar>
              <w:top w:w="80" w:type="dxa"/>
              <w:bottom w:w="80" w:type="dxa"/>
              <w:left w:w="120" w:type="dxa"/>
              <w:right w:w="120" w:type="dxa"/>
            </w:tcMar>
          </w:tcPr>
          <w:p>
            <w:r>
              <w:rPr>
                <w:rFonts w:ascii="Calibri" w:hAnsi="Calibri"/>
                <w:b w:val="0"/>
                <w:i w:val="0"/>
                <w:color w:val="1D1D1F"/>
                <w:sz w:val="19"/>
              </w:rPr>
              <w:t>1 Services</w:t>
            </w:r>
          </w:p>
        </w:tc>
        <w:tc>
          <w:tcPr>
            <w:tcW w:type="dxa" w:w="3120"/>
            <w:shd w:fill="FFFFFF"/>
            <w:tcMar>
              <w:top w:w="80" w:type="dxa"/>
              <w:bottom w:w="80" w:type="dxa"/>
              <w:left w:w="120" w:type="dxa"/>
              <w:right w:w="120" w:type="dxa"/>
            </w:tcMar>
          </w:tcPr>
          <w:p>
            <w:r>
              <w:rPr>
                <w:rFonts w:ascii="Calibri" w:hAnsi="Calibri"/>
                <w:b w:val="0"/>
                <w:i w:val="0"/>
                <w:color w:val="1D1D1F"/>
                <w:sz w:val="19"/>
              </w:rPr>
              <w:t>Fingerprinted via protocol banners and TLS</w:t>
            </w:r>
          </w:p>
        </w:tc>
      </w:tr>
      <w:tr>
        <w:tc>
          <w:tcPr>
            <w:tcW w:type="dxa" w:w="3120"/>
            <w:shd w:fill="F9F9F8"/>
            <w:tcMar>
              <w:top w:w="80" w:type="dxa"/>
              <w:bottom w:w="80" w:type="dxa"/>
              <w:left w:w="120" w:type="dxa"/>
              <w:right w:w="120" w:type="dxa"/>
            </w:tcMar>
          </w:tcPr>
          <w:p>
            <w:r>
              <w:rPr>
                <w:rFonts w:ascii="Calibri" w:hAnsi="Calibri"/>
                <w:b/>
                <w:i w:val="0"/>
                <w:color w:val="1D1D1F"/>
                <w:sz w:val="19"/>
              </w:rPr>
              <w:t>Security Findings</w:t>
            </w:r>
          </w:p>
        </w:tc>
        <w:tc>
          <w:tcPr>
            <w:tcW w:type="dxa" w:w="3120"/>
            <w:shd w:fill="F9F9F8"/>
            <w:tcMar>
              <w:top w:w="80" w:type="dxa"/>
              <w:bottom w:w="80" w:type="dxa"/>
              <w:left w:w="120" w:type="dxa"/>
              <w:right w:w="120" w:type="dxa"/>
            </w:tcMar>
          </w:tcPr>
          <w:p>
            <w:r>
              <w:rPr>
                <w:rFonts w:ascii="Calibri" w:hAnsi="Calibri"/>
                <w:b w:val="0"/>
                <w:i w:val="0"/>
                <w:color w:val="1D1D1F"/>
                <w:sz w:val="19"/>
              </w:rPr>
              <w:t>1 Total</w:t>
            </w:r>
          </w:p>
        </w:tc>
        <w:tc>
          <w:tcPr>
            <w:tcW w:type="dxa" w:w="3120"/>
            <w:shd w:fill="F9F9F8"/>
            <w:tcMar>
              <w:top w:w="80" w:type="dxa"/>
              <w:bottom w:w="80" w:type="dxa"/>
              <w:left w:w="120" w:type="dxa"/>
              <w:right w:w="120" w:type="dxa"/>
            </w:tcMar>
          </w:tcPr>
          <w:p>
            <w:r>
              <w:rPr>
                <w:rFonts w:ascii="Calibri" w:hAnsi="Calibri"/>
                <w:b w:val="0"/>
                <w:i w:val="0"/>
                <w:color w:val="1D1D1F"/>
                <w:sz w:val="19"/>
              </w:rPr>
              <w:t>High: 0 | Med: 0 | Low: 0</w:t>
            </w:r>
          </w:p>
        </w:tc>
      </w:tr>
      <w:tr>
        <w:tc>
          <w:tcPr>
            <w:tcW w:type="dxa" w:w="3120"/>
            <w:shd w:fill="FFFFFF"/>
            <w:tcMar>
              <w:top w:w="80" w:type="dxa"/>
              <w:bottom w:w="80" w:type="dxa"/>
              <w:left w:w="120" w:type="dxa"/>
              <w:right w:w="120" w:type="dxa"/>
            </w:tcMar>
          </w:tcPr>
          <w:p>
            <w:r>
              <w:rPr>
                <w:rFonts w:ascii="Calibri" w:hAnsi="Calibri"/>
                <w:b/>
                <w:i w:val="0"/>
                <w:color w:val="1D1D1F"/>
                <w:sz w:val="19"/>
              </w:rPr>
              <w:t>Informational Items</w:t>
            </w:r>
          </w:p>
        </w:tc>
        <w:tc>
          <w:tcPr>
            <w:tcW w:type="dxa" w:w="3120"/>
            <w:shd w:fill="FFFFFF"/>
            <w:tcMar>
              <w:top w:w="80" w:type="dxa"/>
              <w:bottom w:w="80" w:type="dxa"/>
              <w:left w:w="120" w:type="dxa"/>
              <w:right w:w="120" w:type="dxa"/>
            </w:tcMar>
          </w:tcPr>
          <w:p>
            <w:r>
              <w:rPr>
                <w:rFonts w:ascii="Calibri" w:hAnsi="Calibri"/>
                <w:b w:val="0"/>
                <w:i w:val="0"/>
                <w:color w:val="1D1D1F"/>
                <w:sz w:val="19"/>
              </w:rPr>
              <w:t>1 Items</w:t>
            </w:r>
          </w:p>
        </w:tc>
        <w:tc>
          <w:tcPr>
            <w:tcW w:type="dxa" w:w="3120"/>
            <w:shd w:fill="FFFFFF"/>
            <w:tcMar>
              <w:top w:w="80" w:type="dxa"/>
              <w:bottom w:w="80" w:type="dxa"/>
              <w:left w:w="120" w:type="dxa"/>
              <w:right w:w="120" w:type="dxa"/>
            </w:tcMar>
          </w:tcPr>
          <w:p>
            <w:r>
              <w:rPr>
                <w:rFonts w:ascii="Calibri" w:hAnsi="Calibri"/>
                <w:b w:val="0"/>
                <w:i w:val="0"/>
                <w:color w:val="1D1D1F"/>
                <w:sz w:val="19"/>
              </w:rPr>
              <w:t>Verified service baselines and configurations</w:t>
            </w:r>
          </w:p>
        </w:tc>
      </w:tr>
    </w:tbl>
    <w:p>
      <w:pPr>
        <w:spacing w:before="320"/>
      </w:pPr>
    </w:p>
    <w:p>
      <w:pPr>
        <w:pStyle w:val="Heading1"/>
      </w:pPr>
      <w:r>
        <w:rPr>
          <w:rFonts w:ascii="Calibri" w:hAnsi="Calibri"/>
          <w:b/>
          <w:i w:val="0"/>
          <w:color w:val="1D1D1F"/>
          <w:sz w:val="36"/>
        </w:rPr>
        <w:t>2. Assessment Scope &amp; Methodology</w:t>
      </w:r>
    </w:p>
    <w:p>
      <w:pPr>
        <w:spacing w:after="200"/>
      </w:pPr>
      <w:r>
        <w:rPr>
          <w:rFonts w:ascii="Calibri" w:hAnsi="Calibri"/>
          <w:b w:val="0"/>
          <w:i w:val="0"/>
          <w:color w:val="1D1D1F"/>
          <w:sz w:val="20"/>
        </w:rPr>
        <w:t>ShieldScan employs a disciplined, non-destructive four-phase network visibility methodology designed for defensive verification:</w:t>
      </w:r>
    </w:p>
    <w:p>
      <w:pPr>
        <w:pStyle w:val="ListBullet"/>
        <w:spacing w:after="80"/>
      </w:pPr>
      <w:r>
        <w:rPr>
          <w:rFonts w:ascii="Calibri" w:hAnsi="Calibri"/>
          <w:b/>
          <w:i w:val="0"/>
          <w:color w:val="1D1D1F"/>
          <w:sz w:val="20"/>
        </w:rPr>
        <w:t xml:space="preserve">Phase 1: Multi-Vector Host Discovery: </w:t>
      </w:r>
      <w:r>
        <w:rPr>
          <w:rFonts w:ascii="Calibri" w:hAnsi="Calibri"/>
          <w:b w:val="0"/>
          <w:i w:val="0"/>
          <w:color w:val="6E6E73"/>
          <w:sz w:val="19"/>
        </w:rPr>
        <w:t>Verifies host reachability via ICMP Echo requests, TCP SYN/ACK connects on administrative ports, and local reverse DNS resolution.</w:t>
      </w:r>
    </w:p>
    <w:p>
      <w:pPr>
        <w:pStyle w:val="ListBullet"/>
        <w:spacing w:after="80"/>
      </w:pPr>
      <w:r>
        <w:rPr>
          <w:rFonts w:ascii="Calibri" w:hAnsi="Calibri"/>
          <w:b/>
          <w:i w:val="0"/>
          <w:color w:val="1D1D1F"/>
          <w:sz w:val="20"/>
        </w:rPr>
        <w:t xml:space="preserve">Phase 2: Asynchronous Port Enumeration: </w:t>
      </w:r>
      <w:r>
        <w:rPr>
          <w:rFonts w:ascii="Calibri" w:hAnsi="Calibri"/>
          <w:b w:val="0"/>
          <w:i w:val="0"/>
          <w:color w:val="6E6E73"/>
          <w:sz w:val="19"/>
        </w:rPr>
        <w:t>Conducts non-blocking, managed-concurrency TCP probes across designated port lists, tracking latency and response states (Open, Closed, Filtered).</w:t>
      </w:r>
    </w:p>
    <w:p>
      <w:pPr>
        <w:pStyle w:val="ListBullet"/>
        <w:spacing w:after="80"/>
      </w:pPr>
      <w:r>
        <w:rPr>
          <w:rFonts w:ascii="Calibri" w:hAnsi="Calibri"/>
          <w:b/>
          <w:i w:val="0"/>
          <w:color w:val="1D1D1F"/>
          <w:sz w:val="20"/>
        </w:rPr>
        <w:t xml:space="preserve">Phase 3: Deep Service Fingerprinting: </w:t>
      </w:r>
      <w:r>
        <w:rPr>
          <w:rFonts w:ascii="Calibri" w:hAnsi="Calibri"/>
          <w:b w:val="0"/>
          <w:i w:val="0"/>
          <w:color w:val="6E6E73"/>
          <w:sz w:val="19"/>
        </w:rPr>
        <w:t>Interrogates listening ports using standard protocol handshakes (HTTP HEAD, TLS certificate extraction, SSH banner analysis, MySQL handshakes, Redis commands), capturing raw evidence.</w:t>
      </w:r>
    </w:p>
    <w:p>
      <w:pPr>
        <w:pStyle w:val="ListBullet"/>
        <w:spacing w:after="80"/>
      </w:pPr>
      <w:r>
        <w:rPr>
          <w:rFonts w:ascii="Calibri" w:hAnsi="Calibri"/>
          <w:b/>
          <w:i w:val="0"/>
          <w:color w:val="1D1D1F"/>
          <w:sz w:val="20"/>
        </w:rPr>
        <w:t xml:space="preserve">Phase 4: Evidence-First Security Analysis: </w:t>
      </w:r>
      <w:r>
        <w:rPr>
          <w:rFonts w:ascii="Calibri" w:hAnsi="Calibri"/>
          <w:b w:val="0"/>
          <w:i w:val="0"/>
          <w:color w:val="6E6E73"/>
          <w:sz w:val="19"/>
        </w:rPr>
        <w:t>Translates concrete observations into risk classifications (Informational, Low, Medium, High) and correlates software versions against known CVE advisories without exploitation.</w:t>
      </w:r>
    </w:p>
    <w:p>
      <w:pPr>
        <w:spacing w:before="320"/>
      </w:pPr>
    </w:p>
    <w:p>
      <w:pPr>
        <w:pStyle w:val="Heading1"/>
      </w:pPr>
      <w:r>
        <w:rPr>
          <w:rFonts w:ascii="Calibri" w:hAnsi="Calibri"/>
          <w:b/>
          <w:i w:val="0"/>
          <w:color w:val="1D1D1F"/>
          <w:sz w:val="36"/>
        </w:rPr>
        <w:t>3. Host Inventory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0F0EC"/>
            <w:tcMar>
              <w:top w:w="100" w:type="dxa"/>
              <w:bottom w:w="100" w:type="dxa"/>
              <w:left w:w="100" w:type="dxa"/>
              <w:right w:w="100" w:type="dxa"/>
            </w:tcMar>
          </w:tcPr>
          <w:p>
            <w:r>
              <w:rPr>
                <w:rFonts w:ascii="Calibri" w:hAnsi="Calibri"/>
                <w:b/>
                <w:i w:val="0"/>
                <w:color w:val="1D1D1F"/>
                <w:sz w:val="19"/>
              </w:rPr>
              <w:t>IP Address</w:t>
            </w:r>
          </w:p>
        </w:tc>
        <w:tc>
          <w:tcPr>
            <w:tcW w:type="dxa" w:w="1560"/>
            <w:shd w:fill="F0F0EC"/>
            <w:tcMar>
              <w:top w:w="100" w:type="dxa"/>
              <w:bottom w:w="100" w:type="dxa"/>
              <w:left w:w="100" w:type="dxa"/>
              <w:right w:w="100" w:type="dxa"/>
            </w:tcMar>
          </w:tcPr>
          <w:p>
            <w:r>
              <w:rPr>
                <w:rFonts w:ascii="Calibri" w:hAnsi="Calibri"/>
                <w:b/>
                <w:i w:val="0"/>
                <w:color w:val="1D1D1F"/>
                <w:sz w:val="19"/>
              </w:rPr>
              <w:t>Hostname</w:t>
            </w:r>
          </w:p>
        </w:tc>
        <w:tc>
          <w:tcPr>
            <w:tcW w:type="dxa" w:w="1560"/>
            <w:shd w:fill="F0F0EC"/>
            <w:tcMar>
              <w:top w:w="100" w:type="dxa"/>
              <w:bottom w:w="100" w:type="dxa"/>
              <w:left w:w="100" w:type="dxa"/>
              <w:right w:w="100" w:type="dxa"/>
            </w:tcMar>
          </w:tcPr>
          <w:p>
            <w:r>
              <w:rPr>
                <w:rFonts w:ascii="Calibri" w:hAnsi="Calibri"/>
                <w:b/>
                <w:i w:val="0"/>
                <w:color w:val="1D1D1F"/>
                <w:sz w:val="19"/>
              </w:rPr>
              <w:t>Status</w:t>
            </w:r>
          </w:p>
        </w:tc>
        <w:tc>
          <w:tcPr>
            <w:tcW w:type="dxa" w:w="1560"/>
            <w:shd w:fill="F0F0EC"/>
            <w:tcMar>
              <w:top w:w="100" w:type="dxa"/>
              <w:bottom w:w="100" w:type="dxa"/>
              <w:left w:w="100" w:type="dxa"/>
              <w:right w:w="100" w:type="dxa"/>
            </w:tcMar>
          </w:tcPr>
          <w:p>
            <w:r>
              <w:rPr>
                <w:rFonts w:ascii="Calibri" w:hAnsi="Calibri"/>
                <w:b/>
                <w:i w:val="0"/>
                <w:color w:val="1D1D1F"/>
                <w:sz w:val="19"/>
              </w:rPr>
              <w:t>Latency</w:t>
            </w:r>
          </w:p>
        </w:tc>
        <w:tc>
          <w:tcPr>
            <w:tcW w:type="dxa" w:w="1560"/>
            <w:shd w:fill="F0F0EC"/>
            <w:tcMar>
              <w:top w:w="100" w:type="dxa"/>
              <w:bottom w:w="100" w:type="dxa"/>
              <w:left w:w="100" w:type="dxa"/>
              <w:right w:w="100" w:type="dxa"/>
            </w:tcMar>
          </w:tcPr>
          <w:p>
            <w:r>
              <w:rPr>
                <w:rFonts w:ascii="Calibri" w:hAnsi="Calibri"/>
                <w:b/>
                <w:i w:val="0"/>
                <w:color w:val="1D1D1F"/>
                <w:sz w:val="19"/>
              </w:rPr>
              <w:t>Open Ports</w:t>
            </w:r>
          </w:p>
        </w:tc>
        <w:tc>
          <w:tcPr>
            <w:tcW w:type="dxa" w:w="1560"/>
            <w:shd w:fill="F0F0EC"/>
            <w:tcMar>
              <w:top w:w="100" w:type="dxa"/>
              <w:bottom w:w="100" w:type="dxa"/>
              <w:left w:w="100" w:type="dxa"/>
              <w:right w:w="100" w:type="dxa"/>
            </w:tcMar>
          </w:tcPr>
          <w:p>
            <w:r>
              <w:rPr>
                <w:rFonts w:ascii="Calibri" w:hAnsi="Calibri"/>
                <w:b/>
                <w:i w:val="0"/>
                <w:color w:val="1D1D1F"/>
                <w:sz w:val="19"/>
              </w:rPr>
              <w:t>Findings</w:t>
            </w:r>
          </w:p>
        </w:tc>
      </w:tr>
      <w:tr>
        <w:tc>
          <w:tcPr>
            <w:tcW w:type="dxa" w:w="1560"/>
            <w:shd w:fill="FFFFFF"/>
            <w:tcMar>
              <w:top w:w="80" w:type="dxa"/>
              <w:bottom w:w="80" w:type="dxa"/>
              <w:left w:w="100" w:type="dxa"/>
              <w:right w:w="100" w:type="dxa"/>
            </w:tcMar>
          </w:tcPr>
          <w:p>
            <w:r>
              <w:rPr>
                <w:rFonts w:ascii="Calibri" w:hAnsi="Calibri"/>
                <w:b/>
                <w:i w:val="0"/>
                <w:color w:val="1D1D1F"/>
                <w:sz w:val="18"/>
              </w:rPr>
              <w:t>127.0.0.1</w:t>
            </w:r>
          </w:p>
        </w:tc>
        <w:tc>
          <w:tcPr>
            <w:tcW w:type="dxa" w:w="1560"/>
            <w:shd w:fill="FFFFFF"/>
            <w:tcMar>
              <w:top w:w="80" w:type="dxa"/>
              <w:bottom w:w="80" w:type="dxa"/>
              <w:left w:w="100" w:type="dxa"/>
              <w:right w:w="100" w:type="dxa"/>
            </w:tcMar>
          </w:tcPr>
          <w:p>
            <w:r>
              <w:rPr>
                <w:rFonts w:ascii="Calibri" w:hAnsi="Calibri"/>
                <w:b w:val="0"/>
                <w:i w:val="0"/>
                <w:color w:val="1D1D1F"/>
                <w:sz w:val="18"/>
              </w:rPr>
              <w:t>localhost</w:t>
            </w:r>
          </w:p>
        </w:tc>
        <w:tc>
          <w:tcPr>
            <w:tcW w:type="dxa" w:w="1560"/>
            <w:shd w:fill="FFFFFF"/>
            <w:tcMar>
              <w:top w:w="80" w:type="dxa"/>
              <w:bottom w:w="80" w:type="dxa"/>
              <w:left w:w="100" w:type="dxa"/>
              <w:right w:w="100" w:type="dxa"/>
            </w:tcMar>
          </w:tcPr>
          <w:p>
            <w:r>
              <w:rPr>
                <w:rFonts w:ascii="Calibri" w:hAnsi="Calibri"/>
                <w:b w:val="0"/>
                <w:i w:val="0"/>
                <w:color w:val="1D1D1F"/>
                <w:sz w:val="18"/>
              </w:rPr>
              <w:t>REACHABLE</w:t>
            </w:r>
          </w:p>
        </w:tc>
        <w:tc>
          <w:tcPr>
            <w:tcW w:type="dxa" w:w="1560"/>
            <w:shd w:fill="FFFFFF"/>
            <w:tcMar>
              <w:top w:w="80" w:type="dxa"/>
              <w:bottom w:w="80" w:type="dxa"/>
              <w:left w:w="100" w:type="dxa"/>
              <w:right w:w="100" w:type="dxa"/>
            </w:tcMar>
          </w:tcPr>
          <w:p>
            <w:r>
              <w:rPr>
                <w:rFonts w:ascii="Calibri" w:hAnsi="Calibri"/>
                <w:b w:val="0"/>
                <w:i w:val="0"/>
                <w:color w:val="1D1D1F"/>
                <w:sz w:val="18"/>
              </w:rPr>
              <w:t>0.0 ms</w:t>
            </w:r>
          </w:p>
        </w:tc>
        <w:tc>
          <w:tcPr>
            <w:tcW w:type="dxa" w:w="1560"/>
            <w:shd w:fill="FFFFFF"/>
            <w:tcMar>
              <w:top w:w="80" w:type="dxa"/>
              <w:bottom w:w="80" w:type="dxa"/>
              <w:left w:w="100" w:type="dxa"/>
              <w:right w:w="100" w:type="dxa"/>
            </w:tcMar>
          </w:tcPr>
          <w:p>
            <w:r>
              <w:rPr>
                <w:rFonts w:ascii="Calibri" w:hAnsi="Calibri"/>
                <w:b w:val="0"/>
                <w:i w:val="0"/>
                <w:color w:val="1D1D1F"/>
                <w:sz w:val="18"/>
              </w:rPr>
              <w:t>1</w:t>
            </w:r>
          </w:p>
        </w:tc>
        <w:tc>
          <w:tcPr>
            <w:tcW w:type="dxa" w:w="1560"/>
            <w:shd w:fill="FFFFFF"/>
            <w:tcMar>
              <w:top w:w="80" w:type="dxa"/>
              <w:bottom w:w="80" w:type="dxa"/>
              <w:left w:w="100" w:type="dxa"/>
              <w:right w:w="100" w:type="dxa"/>
            </w:tcMar>
          </w:tcPr>
          <w:p>
            <w:r>
              <w:rPr>
                <w:rFonts w:ascii="Calibri" w:hAnsi="Calibri"/>
                <w:b w:val="0"/>
                <w:i w:val="0"/>
                <w:color w:val="1D1D1F"/>
                <w:sz w:val="18"/>
              </w:rPr>
              <w:t>1</w:t>
            </w:r>
          </w:p>
        </w:tc>
      </w:tr>
    </w:tbl>
    <w:p>
      <w:pPr>
        <w:spacing w:before="320"/>
      </w:pPr>
    </w:p>
    <w:p>
      <w:pPr>
        <w:pStyle w:val="Heading1"/>
      </w:pPr>
      <w:r>
        <w:rPr>
          <w:rFonts w:ascii="Calibri" w:hAnsi="Calibri"/>
          <w:b/>
          <w:i w:val="0"/>
          <w:color w:val="1D1D1F"/>
          <w:sz w:val="36"/>
        </w:rPr>
        <w:t>4. Port &amp; Service Inventory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0F0EC"/>
            <w:tcMar>
              <w:top w:w="100" w:type="dxa"/>
              <w:bottom w:w="100" w:type="dxa"/>
              <w:left w:w="80" w:type="dxa"/>
              <w:right w:w="80" w:type="dxa"/>
            </w:tcMar>
          </w:tcPr>
          <w:p>
            <w:r>
              <w:rPr>
                <w:rFonts w:ascii="Calibri" w:hAnsi="Calibri"/>
                <w:b/>
                <w:i w:val="0"/>
                <w:color w:val="1D1D1F"/>
                <w:sz w:val="19"/>
              </w:rPr>
              <w:t>Host</w:t>
            </w:r>
          </w:p>
        </w:tc>
        <w:tc>
          <w:tcPr>
            <w:tcW w:type="dxa" w:w="1560"/>
            <w:shd w:fill="F0F0EC"/>
            <w:tcMar>
              <w:top w:w="100" w:type="dxa"/>
              <w:bottom w:w="100" w:type="dxa"/>
              <w:left w:w="80" w:type="dxa"/>
              <w:right w:w="80" w:type="dxa"/>
            </w:tcMar>
          </w:tcPr>
          <w:p>
            <w:r>
              <w:rPr>
                <w:rFonts w:ascii="Calibri" w:hAnsi="Calibri"/>
                <w:b/>
                <w:i w:val="0"/>
                <w:color w:val="1D1D1F"/>
                <w:sz w:val="19"/>
              </w:rPr>
              <w:t>Port / Proto</w:t>
            </w:r>
          </w:p>
        </w:tc>
        <w:tc>
          <w:tcPr>
            <w:tcW w:type="dxa" w:w="1560"/>
            <w:shd w:fill="F0F0EC"/>
            <w:tcMar>
              <w:top w:w="100" w:type="dxa"/>
              <w:bottom w:w="100" w:type="dxa"/>
              <w:left w:w="80" w:type="dxa"/>
              <w:right w:w="80" w:type="dxa"/>
            </w:tcMar>
          </w:tcPr>
          <w:p>
            <w:r>
              <w:rPr>
                <w:rFonts w:ascii="Calibri" w:hAnsi="Calibri"/>
                <w:b/>
                <w:i w:val="0"/>
                <w:color w:val="1D1D1F"/>
                <w:sz w:val="19"/>
              </w:rPr>
              <w:t>Service</w:t>
            </w:r>
          </w:p>
        </w:tc>
        <w:tc>
          <w:tcPr>
            <w:tcW w:type="dxa" w:w="1560"/>
            <w:shd w:fill="F0F0EC"/>
            <w:tcMar>
              <w:top w:w="100" w:type="dxa"/>
              <w:bottom w:w="100" w:type="dxa"/>
              <w:left w:w="80" w:type="dxa"/>
              <w:right w:w="80" w:type="dxa"/>
            </w:tcMar>
          </w:tcPr>
          <w:p>
            <w:r>
              <w:rPr>
                <w:rFonts w:ascii="Calibri" w:hAnsi="Calibri"/>
                <w:b/>
                <w:i w:val="0"/>
                <w:color w:val="1D1D1F"/>
                <w:sz w:val="19"/>
              </w:rPr>
              <w:t>Product &amp; Version</w:t>
            </w:r>
          </w:p>
        </w:tc>
        <w:tc>
          <w:tcPr>
            <w:tcW w:type="dxa" w:w="1560"/>
            <w:shd w:fill="F0F0EC"/>
            <w:tcMar>
              <w:top w:w="100" w:type="dxa"/>
              <w:bottom w:w="100" w:type="dxa"/>
              <w:left w:w="80" w:type="dxa"/>
              <w:right w:w="80" w:type="dxa"/>
            </w:tcMar>
          </w:tcPr>
          <w:p>
            <w:r>
              <w:rPr>
                <w:rFonts w:ascii="Calibri" w:hAnsi="Calibri"/>
                <w:b/>
                <w:i w:val="0"/>
                <w:color w:val="1D1D1F"/>
                <w:sz w:val="19"/>
              </w:rPr>
              <w:t>Confidence</w:t>
            </w:r>
          </w:p>
        </w:tc>
        <w:tc>
          <w:tcPr>
            <w:tcW w:type="dxa" w:w="1560"/>
            <w:shd w:fill="F0F0EC"/>
            <w:tcMar>
              <w:top w:w="100" w:type="dxa"/>
              <w:bottom w:w="100" w:type="dxa"/>
              <w:left w:w="80" w:type="dxa"/>
              <w:right w:w="80" w:type="dxa"/>
            </w:tcMar>
          </w:tcPr>
          <w:p>
            <w:r>
              <w:rPr>
                <w:rFonts w:ascii="Calibri" w:hAnsi="Calibri"/>
                <w:b/>
                <w:i w:val="0"/>
                <w:color w:val="1D1D1F"/>
                <w:sz w:val="19"/>
              </w:rPr>
              <w:t>Latency</w:t>
            </w:r>
          </w:p>
        </w:tc>
      </w:tr>
      <w:tr>
        <w:tc>
          <w:tcPr>
            <w:tcW w:type="dxa" w:w="1560"/>
            <w:shd w:fill="FFFFFF"/>
            <w:tcMar>
              <w:top w:w="80" w:type="dxa"/>
              <w:bottom w:w="80" w:type="dxa"/>
              <w:left w:w="80" w:type="dxa"/>
              <w:right w:w="80" w:type="dxa"/>
            </w:tcMar>
          </w:tcPr>
          <w:p>
            <w:r>
              <w:rPr>
                <w:rFonts w:ascii="Calibri" w:hAnsi="Calibri"/>
                <w:b w:val="0"/>
                <w:i w:val="0"/>
                <w:color w:val="1D1D1F"/>
                <w:sz w:val="18"/>
              </w:rPr>
              <w:t>127.0.0.1</w:t>
            </w:r>
          </w:p>
        </w:tc>
        <w:tc>
          <w:tcPr>
            <w:tcW w:type="dxa" w:w="1560"/>
            <w:shd w:fill="FFFFFF"/>
            <w:tcMar>
              <w:top w:w="80" w:type="dxa"/>
              <w:bottom w:w="80" w:type="dxa"/>
              <w:left w:w="80" w:type="dxa"/>
              <w:right w:w="80" w:type="dxa"/>
            </w:tcMar>
          </w:tcPr>
          <w:p>
            <w:r>
              <w:rPr>
                <w:rFonts w:ascii="Calibri" w:hAnsi="Calibri"/>
                <w:b/>
                <w:i w:val="0"/>
                <w:color w:val="1D1D1F"/>
                <w:sz w:val="18"/>
              </w:rPr>
              <w:t>80/TCP</w:t>
            </w:r>
          </w:p>
        </w:tc>
        <w:tc>
          <w:tcPr>
            <w:tcW w:type="dxa" w:w="1560"/>
            <w:shd w:fill="FFFFFF"/>
            <w:tcMar>
              <w:top w:w="80" w:type="dxa"/>
              <w:bottom w:w="80" w:type="dxa"/>
              <w:left w:w="80" w:type="dxa"/>
              <w:right w:w="80" w:type="dxa"/>
            </w:tcMar>
          </w:tcPr>
          <w:p>
            <w:r>
              <w:rPr>
                <w:rFonts w:ascii="Calibri" w:hAnsi="Calibri"/>
                <w:b w:val="0"/>
                <w:i w:val="0"/>
                <w:color w:val="1D1D1F"/>
                <w:sz w:val="18"/>
              </w:rPr>
              <w:t>HTTP</w:t>
            </w:r>
          </w:p>
        </w:tc>
        <w:tc>
          <w:tcPr>
            <w:tcW w:type="dxa" w:w="1560"/>
            <w:shd w:fill="FFFFFF"/>
            <w:tcMar>
              <w:top w:w="80" w:type="dxa"/>
              <w:bottom w:w="80" w:type="dxa"/>
              <w:left w:w="80" w:type="dxa"/>
              <w:right w:w="80" w:type="dxa"/>
            </w:tcMar>
          </w:tcPr>
          <w:p>
            <w:r>
              <w:rPr>
                <w:rFonts w:ascii="Calibri" w:hAnsi="Calibri"/>
                <w:b w:val="0"/>
                <w:i w:val="0"/>
                <w:color w:val="1D1D1F"/>
                <w:sz w:val="18"/>
              </w:rPr>
              <w:t>Python http.server 3.13</w:t>
            </w:r>
          </w:p>
        </w:tc>
        <w:tc>
          <w:tcPr>
            <w:tcW w:type="dxa" w:w="1560"/>
            <w:shd w:fill="FFFFFF"/>
            <w:tcMar>
              <w:top w:w="80" w:type="dxa"/>
              <w:bottom w:w="80" w:type="dxa"/>
              <w:left w:w="80" w:type="dxa"/>
              <w:right w:w="80" w:type="dxa"/>
            </w:tcMar>
          </w:tcPr>
          <w:p>
            <w:r>
              <w:rPr>
                <w:rFonts w:ascii="Calibri" w:hAnsi="Calibri"/>
                <w:b w:val="0"/>
                <w:i w:val="0"/>
                <w:color w:val="1D1D1F"/>
                <w:sz w:val="18"/>
              </w:rPr>
              <w:t>HIGH</w:t>
            </w:r>
          </w:p>
        </w:tc>
        <w:tc>
          <w:tcPr>
            <w:tcW w:type="dxa" w:w="1560"/>
            <w:shd w:fill="FFFFFF"/>
            <w:tcMar>
              <w:top w:w="80" w:type="dxa"/>
              <w:bottom w:w="80" w:type="dxa"/>
              <w:left w:w="80" w:type="dxa"/>
              <w:right w:w="80" w:type="dxa"/>
            </w:tcMar>
          </w:tcPr>
          <w:p>
            <w:r>
              <w:rPr>
                <w:rFonts w:ascii="Calibri" w:hAnsi="Calibri"/>
                <w:b w:val="0"/>
                <w:i w:val="0"/>
                <w:color w:val="1D1D1F"/>
                <w:sz w:val="18"/>
              </w:rPr>
              <w:t>0.0 ms</w:t>
            </w:r>
          </w:p>
        </w:tc>
      </w:tr>
    </w:tbl>
    <w:p>
      <w:pPr>
        <w:spacing w:before="320"/>
      </w:pPr>
    </w:p>
    <w:p>
      <w:pPr>
        <w:pStyle w:val="Heading1"/>
      </w:pPr>
      <w:r>
        <w:rPr>
          <w:rFonts w:ascii="Calibri" w:hAnsi="Calibri"/>
          <w:b/>
          <w:i w:val="0"/>
          <w:color w:val="1D1D1F"/>
          <w:sz w:val="36"/>
        </w:rPr>
        <w:t>5. Security Findings &amp; Evidence Trail</w:t>
      </w:r>
    </w:p>
    <w:tbl>
      <w:tblPr>
        <w:tblW w:type="auto" w:w="0"/>
        <w:jc w:val="center"/>
        <w:tblLook w:firstColumn="1" w:firstRow="1" w:lastColumn="0" w:lastRow="0" w:noHBand="0" w:noVBand="1" w:val="04A0"/>
      </w:tblPr>
      <w:tblGrid>
        <w:gridCol w:w="4680"/>
        <w:gridCol w:w="4680"/>
      </w:tblGrid>
      <w:tr>
        <w:tc>
          <w:tcPr>
            <w:tcW w:type="dxa" w:w="4680"/>
            <w:shd w:fill="F0F0EC"/>
            <w:tcMar>
              <w:top w:w="100" w:type="dxa"/>
              <w:bottom w:w="100" w:type="dxa"/>
              <w:left w:w="120" w:type="dxa"/>
              <w:right w:w="120" w:type="dxa"/>
            </w:tcMar>
            <w:tcMar>
              <w:top w:w="80" w:type="dxa"/>
              <w:bottom w:w="80" w:type="dxa"/>
              <w:left w:w="100" w:type="dxa"/>
              <w:right w:w="100" w:type="dxa"/>
            </w:tcMar>
          </w:tcPr>
          <w:p>
            <w:r>
              <w:rPr>
                <w:rFonts w:ascii="Calibri" w:hAnsi="Calibri"/>
                <w:b/>
                <w:i w:val="0"/>
                <w:color w:val="2F6B4F"/>
                <w:sz w:val="22"/>
              </w:rPr>
              <w:t>[INFORMATIONAL]  FIND-127001-001 — Active Service Verification: HTTP</w:t>
            </w:r>
          </w:p>
        </w:tc>
        <w:tc>
          <w:tcPr>
            <w:tcW w:type="dxa" w:w="4680"/>
            <w:shd w:fill="F0F0EC"/>
            <w:tcMar>
              <w:top w:w="100" w:type="dxa"/>
              <w:bottom w:w="100" w:type="dxa"/>
              <w:left w:w="120" w:type="dxa"/>
              <w:right w:w="120" w:type="dxa"/>
            </w:tcMar>
            <w:tcMar>
              <w:top w:w="80" w:type="dxa"/>
              <w:bottom w:w="80" w:type="dxa"/>
              <w:left w:w="100" w:type="dxa"/>
              <w:right w:w="100" w:type="dxa"/>
            </w:tcMar>
          </w:tcPr>
          <w:p>
            <w:pPr>
              <w:jc w:val="right"/>
            </w:pPr>
            <w:r>
              <w:rPr>
                <w:rFonts w:ascii="Calibri" w:hAnsi="Calibri"/>
                <w:b w:val="0"/>
                <w:i w:val="0"/>
                <w:color w:val="6E6E73"/>
                <w:sz w:val="19"/>
              </w:rPr>
              <w:t>127.0.0.1:80 (HTTP)</w:t>
            </w:r>
          </w:p>
        </w:tc>
      </w:tr>
      <w:tr>
        <w:tc>
          <w:tcPr>
            <w:tcW w:type="dxa" w:w="4680"/>
            <w:tcMar>
              <w:top w:w="80" w:type="dxa"/>
              <w:bottom w:w="80" w:type="dxa"/>
              <w:left w:w="100" w:type="dxa"/>
              <w:right w:w="100" w:type="dxa"/>
            </w:tcMar>
          </w:tcPr>
          <w:p>
            <w:r>
              <w:rPr>
                <w:rFonts w:ascii="Calibri" w:hAnsi="Calibri"/>
                <w:b/>
                <w:i w:val="0"/>
                <w:color w:val="6E6E73"/>
                <w:sz w:val="18"/>
              </w:rPr>
              <w:t>Description</w:t>
            </w:r>
          </w:p>
        </w:tc>
        <w:tc>
          <w:tcPr>
            <w:tcW w:type="dxa" w:w="4680"/>
            <w:tcMar>
              <w:top w:w="80" w:type="dxa"/>
              <w:bottom w:w="80" w:type="dxa"/>
              <w:left w:w="100" w:type="dxa"/>
              <w:right w:w="100" w:type="dxa"/>
            </w:tcMar>
          </w:tcPr>
          <w:p>
            <w:r>
              <w:rPr>
                <w:rFonts w:ascii="Calibri" w:hAnsi="Calibri"/>
                <w:b w:val="0"/>
                <w:i w:val="0"/>
                <w:color w:val="1D1D1F"/>
                <w:sz w:val="19"/>
              </w:rPr>
              <w:t>Standard network service HTTP verified operational on host 127.0.0.1 port 80. Latency: 0.0ms.</w:t>
            </w:r>
          </w:p>
        </w:tc>
      </w:tr>
      <w:tr>
        <w:tc>
          <w:tcPr>
            <w:tcW w:type="dxa" w:w="4680"/>
            <w:tcMar>
              <w:top w:w="80" w:type="dxa"/>
              <w:bottom w:w="80" w:type="dxa"/>
              <w:left w:w="100" w:type="dxa"/>
              <w:right w:w="100" w:type="dxa"/>
            </w:tcMar>
          </w:tcPr>
          <w:p>
            <w:r>
              <w:rPr>
                <w:rFonts w:ascii="Calibri" w:hAnsi="Calibri"/>
                <w:b/>
                <w:i w:val="0"/>
                <w:color w:val="6E6E73"/>
                <w:sz w:val="18"/>
              </w:rPr>
              <w:t>Observed Evidence</w:t>
            </w:r>
          </w:p>
        </w:tc>
        <w:tc>
          <w:tcPr>
            <w:tcW w:type="dxa" w:w="4680"/>
            <w:tcMar>
              <w:top w:w="80" w:type="dxa"/>
              <w:bottom w:w="80" w:type="dxa"/>
              <w:left w:w="100" w:type="dxa"/>
              <w:right w:w="100" w:type="dxa"/>
            </w:tcMar>
          </w:tcPr>
          <w:p>
            <w:r>
              <w:rPr>
                <w:rFonts w:ascii="Calibri" w:hAnsi="Calibri"/>
                <w:b w:val="0"/>
                <w:i w:val="0"/>
                <w:color w:val="1D1D1F"/>
                <w:sz w:val="18"/>
              </w:rPr>
              <w:t>HTTP 200 OK</w:t>
            </w:r>
          </w:p>
        </w:tc>
      </w:tr>
      <w:tr>
        <w:tc>
          <w:tcPr>
            <w:tcW w:type="dxa" w:w="4680"/>
            <w:tcMar>
              <w:top w:w="80" w:type="dxa"/>
              <w:bottom w:w="80" w:type="dxa"/>
              <w:left w:w="100" w:type="dxa"/>
              <w:right w:w="100" w:type="dxa"/>
            </w:tcMar>
          </w:tcPr>
          <w:p>
            <w:r>
              <w:rPr>
                <w:rFonts w:ascii="Calibri" w:hAnsi="Calibri"/>
                <w:b/>
                <w:i w:val="0"/>
                <w:color w:val="6E6E73"/>
                <w:sz w:val="18"/>
              </w:rPr>
              <w:t>Potential Impact</w:t>
            </w:r>
          </w:p>
        </w:tc>
        <w:tc>
          <w:tcPr>
            <w:tcW w:type="dxa" w:w="4680"/>
            <w:tcMar>
              <w:top w:w="80" w:type="dxa"/>
              <w:bottom w:w="80" w:type="dxa"/>
              <w:left w:w="100" w:type="dxa"/>
              <w:right w:w="100" w:type="dxa"/>
            </w:tcMar>
          </w:tcPr>
          <w:p>
            <w:r>
              <w:rPr>
                <w:rFonts w:ascii="Calibri" w:hAnsi="Calibri"/>
                <w:b w:val="0"/>
                <w:i w:val="0"/>
                <w:color w:val="1D1D1F"/>
                <w:sz w:val="19"/>
              </w:rPr>
              <w:t>Normal operational service exposure.</w:t>
            </w:r>
          </w:p>
        </w:tc>
      </w:tr>
      <w:tr>
        <w:tc>
          <w:tcPr>
            <w:tcW w:type="dxa" w:w="4680"/>
            <w:tcMar>
              <w:top w:w="80" w:type="dxa"/>
              <w:bottom w:w="80" w:type="dxa"/>
              <w:left w:w="100" w:type="dxa"/>
              <w:right w:w="100" w:type="dxa"/>
            </w:tcMar>
          </w:tcPr>
          <w:p>
            <w:r>
              <w:rPr>
                <w:rFonts w:ascii="Calibri" w:hAnsi="Calibri"/>
                <w:b/>
                <w:i w:val="0"/>
                <w:color w:val="2F6B4F"/>
                <w:sz w:val="18"/>
              </w:rPr>
              <w:t>Remediation</w:t>
            </w:r>
          </w:p>
        </w:tc>
        <w:tc>
          <w:tcPr>
            <w:tcW w:type="dxa" w:w="4680"/>
            <w:tcMar>
              <w:top w:w="80" w:type="dxa"/>
              <w:bottom w:w="80" w:type="dxa"/>
              <w:left w:w="100" w:type="dxa"/>
              <w:right w:w="100" w:type="dxa"/>
            </w:tcMar>
          </w:tcPr>
          <w:p>
            <w:r>
              <w:rPr>
                <w:rFonts w:ascii="Calibri" w:hAnsi="Calibri"/>
                <w:b/>
                <w:i w:val="0"/>
                <w:color w:val="1D1D1F"/>
                <w:sz w:val="19"/>
              </w:rPr>
              <w:t>Maintain standard patch cycle and audit authorized access logs periodically.</w:t>
            </w:r>
          </w:p>
        </w:tc>
      </w:tr>
    </w:tbl>
    <w:p>
      <w:pPr>
        <w:spacing w:after="200"/>
      </w:pPr>
    </w:p>
    <w:p>
      <w:pPr>
        <w:pStyle w:val="Heading1"/>
      </w:pPr>
      <w:r>
        <w:rPr>
          <w:rFonts w:ascii="Calibri" w:hAnsi="Calibri"/>
          <w:b/>
          <w:i w:val="0"/>
          <w:color w:val="1D1D1F"/>
          <w:sz w:val="36"/>
        </w:rPr>
        <w:t>6. Strategic Remediation Roadmap</w:t>
      </w:r>
    </w:p>
    <w:p>
      <w:r>
        <w:rPr>
          <w:rFonts w:ascii="Calibri" w:hAnsi="Calibri"/>
          <w:b w:val="0"/>
          <w:i w:val="0"/>
          <w:color w:val="1D1D1F"/>
          <w:sz w:val="20"/>
        </w:rPr>
        <w:t>Based on the specific services and risk exposures identified during this assessment, the following prioritized engineering countermeasures should be implemented:</w:t>
      </w:r>
    </w:p>
    <w:p>
      <w:pPr>
        <w:pStyle w:val="ListBullet"/>
        <w:spacing w:after="120"/>
      </w:pPr>
      <w:r>
        <w:rPr>
          <w:rFonts w:ascii="Calibri" w:hAnsi="Calibri"/>
          <w:b/>
          <w:i w:val="0"/>
          <w:color w:val="1D1D1F"/>
          <w:sz w:val="20"/>
        </w:rPr>
        <w:t xml:space="preserve">Enforce Modern Transport Encryption: </w:t>
      </w:r>
      <w:r>
        <w:rPr>
          <w:rFonts w:ascii="Calibri" w:hAnsi="Calibri"/>
          <w:b w:val="0"/>
          <w:i w:val="0"/>
          <w:color w:val="6E6E73"/>
          <w:sz w:val="19"/>
        </w:rPr>
        <w:t>Deprecate plaintext transport protocols (such as unencrypted HTTP, Telnet, or FTP). Mandate TLS 1.3 or SSH v2 for all administrative and user communications.</w:t>
      </w:r>
    </w:p>
    <w:p>
      <w:pPr>
        <w:pStyle w:val="ListBullet"/>
        <w:spacing w:after="120"/>
      </w:pPr>
      <w:r>
        <w:rPr>
          <w:rFonts w:ascii="Calibri" w:hAnsi="Calibri"/>
          <w:b/>
          <w:i w:val="0"/>
          <w:color w:val="1D1D1F"/>
          <w:sz w:val="20"/>
        </w:rPr>
        <w:t xml:space="preserve">Isolate Database Management Ports: </w:t>
      </w:r>
      <w:r>
        <w:rPr>
          <w:rFonts w:ascii="Calibri" w:hAnsi="Calibri"/>
          <w:b w:val="0"/>
          <w:i w:val="0"/>
          <w:color w:val="6E6E73"/>
          <w:sz w:val="19"/>
        </w:rPr>
        <w:t>Ensure database listening ports (e.g., MySQL 3306, Redis 6379, PostgreSQL 5432) are bound exclusively to 127.0.0.1 or restricted private VLANs with strict host firewall filtering.</w:t>
      </w:r>
    </w:p>
    <w:p>
      <w:pPr>
        <w:pStyle w:val="ListBullet"/>
        <w:spacing w:after="120"/>
      </w:pPr>
      <w:r>
        <w:rPr>
          <w:rFonts w:ascii="Calibri" w:hAnsi="Calibri"/>
          <w:b/>
          <w:i w:val="0"/>
          <w:color w:val="1D1D1F"/>
          <w:sz w:val="20"/>
        </w:rPr>
        <w:t xml:space="preserve">Bastion &amp; VPN for Remote Administration: </w:t>
      </w:r>
      <w:r>
        <w:rPr>
          <w:rFonts w:ascii="Calibri" w:hAnsi="Calibri"/>
          <w:b w:val="0"/>
          <w:i w:val="0"/>
          <w:color w:val="6E6E73"/>
          <w:sz w:val="19"/>
        </w:rPr>
        <w:t>Restrict administrative surfaces (RDP, SSH, WinRM) behind multi-factor authenticated VPN gateways rather than exposing them to wide network segments.</w:t>
      </w:r>
    </w:p>
    <w:p>
      <w:pPr>
        <w:pStyle w:val="ListBullet"/>
        <w:spacing w:after="120"/>
      </w:pPr>
      <w:r>
        <w:rPr>
          <w:rFonts w:ascii="Calibri" w:hAnsi="Calibri"/>
          <w:b/>
          <w:i w:val="0"/>
          <w:color w:val="1D1D1F"/>
          <w:sz w:val="20"/>
        </w:rPr>
        <w:t xml:space="preserve">Continuous Discovery &amp; Differential Audits: </w:t>
      </w:r>
      <w:r>
        <w:rPr>
          <w:rFonts w:ascii="Calibri" w:hAnsi="Calibri"/>
          <w:b w:val="0"/>
          <w:i w:val="0"/>
          <w:color w:val="6E6E73"/>
          <w:sz w:val="19"/>
        </w:rPr>
        <w:t>Establish periodic ShieldScan automated assessments to track host and port drift, catching newly exposed listeners before they are discovered externally.</w:t>
      </w:r>
    </w:p>
    <w:p>
      <w:pPr>
        <w:spacing w:before="320"/>
      </w:pPr>
    </w:p>
    <w:p>
      <w:pPr>
        <w:pStyle w:val="Heading1"/>
      </w:pPr>
      <w:r>
        <w:rPr>
          <w:rFonts w:ascii="Calibri" w:hAnsi="Calibri"/>
          <w:b/>
          <w:i w:val="0"/>
          <w:color w:val="1D1D1F"/>
          <w:sz w:val="36"/>
        </w:rPr>
        <w:t>7. Technical Appendix &amp; Assessment Limitations</w:t>
      </w:r>
    </w:p>
    <w:p>
      <w:r>
        <w:rPr>
          <w:rFonts w:ascii="Calibri" w:hAnsi="Calibri"/>
          <w:b w:val="0"/>
          <w:i w:val="0"/>
          <w:color w:val="6E6E73"/>
          <w:sz w:val="18"/>
        </w:rPr>
        <w:t>Scan Engine: ShieldScan Enterprise Core v5.0</w:t>
        <w:br/>
        <w:t>Assessment Profile: Standard Assessment (ID: standard_assessment)</w:t>
        <w:br/>
        <w:t>Probe Timeout: 0.35s | Concurrency: 250 workers</w:t>
        <w:br/>
        <w:t>Timestamp: Started at 2026-10-08T15:46:16.817628 | Concluded at N/A</w:t>
        <w:br/>
      </w:r>
    </w:p>
    <w:p>
      <w:r>
        <w:rPr>
          <w:rFonts w:ascii="Calibri" w:hAnsi="Calibri"/>
          <w:b/>
          <w:i w:val="0"/>
          <w:color w:val="1D1D1F"/>
          <w:sz w:val="20"/>
        </w:rPr>
        <w:t>Assessment Limitations:</w:t>
      </w:r>
    </w:p>
    <w:p>
      <w:pPr>
        <w:pStyle w:val="ListBullet"/>
        <w:spacing w:after="80"/>
      </w:pPr>
      <w:r>
        <w:rPr>
          <w:rFonts w:ascii="Calibri" w:hAnsi="Calibri"/>
          <w:b w:val="0"/>
          <w:i w:val="0"/>
          <w:color w:val="6E6E73"/>
          <w:sz w:val="18"/>
        </w:rPr>
        <w:t>Network Firewalls &amp; Stateful Inspection: In-line firewalls or host-based packet filters (e.g., Windows Defender Firewall, iptables) may drop or silently reset probes, causing ports to be categorized as FILTERED.</w:t>
      </w:r>
    </w:p>
    <w:p>
      <w:pPr>
        <w:pStyle w:val="ListBullet"/>
        <w:spacing w:after="80"/>
      </w:pPr>
      <w:r>
        <w:rPr>
          <w:rFonts w:ascii="Calibri" w:hAnsi="Calibri"/>
          <w:b w:val="0"/>
          <w:i w:val="0"/>
          <w:color w:val="6E6E73"/>
          <w:sz w:val="18"/>
        </w:rPr>
        <w:t>Fingerprint Uncertainty: Version identification depends on banners published by target daemons. Custom or obfuscated banners may produce LOW confidence classifications.</w:t>
      </w:r>
    </w:p>
    <w:p>
      <w:pPr>
        <w:pStyle w:val="ListBullet"/>
        <w:spacing w:after="80"/>
      </w:pPr>
      <w:r>
        <w:rPr>
          <w:rFonts w:ascii="Calibri" w:hAnsi="Calibri"/>
          <w:b w:val="0"/>
          <w:i w:val="0"/>
          <w:color w:val="6E6E73"/>
          <w:sz w:val="18"/>
        </w:rPr>
        <w:t>Defensive Scope: ShieldScan operates strictly as a discovery, enumeration, and non-destructive assessment tool. It does not perform active exploits, denial of service, or authentication bypass.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