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Calibri" w:hAnsi="Calibri"/>
          <w:b/>
          <w:i w:val="0"/>
          <w:color w:val="B42318"/>
          <w:sz w:val="22"/>
        </w:rPr>
        <w:t>SHIELDSCAN PLATFORM ASSESSMENT REPORT</w:t>
      </w:r>
    </w:p>
    <w:p>
      <w:pPr>
        <w:spacing w:after="160"/>
      </w:pPr>
      <w:r>
        <w:rPr>
          <w:rFonts w:ascii="Calibri" w:hAnsi="Calibri"/>
          <w:b/>
          <w:i w:val="0"/>
          <w:color w:val="1D1D1F"/>
          <w:sz w:val="52"/>
        </w:rPr>
        <w:t>Network Security &amp; Visibility Assessment</w:t>
      </w:r>
    </w:p>
    <w:p>
      <w:pPr>
        <w:spacing w:after="800"/>
      </w:pPr>
      <w:r>
        <w:rPr>
          <w:rFonts w:ascii="Calibri" w:hAnsi="Calibri"/>
          <w:b w:val="0"/>
          <w:i w:val="0"/>
          <w:color w:val="6E6E73"/>
          <w:sz w:val="26"/>
        </w:rPr>
        <w:t>Target Environment: 192.168.1.0/28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Assessment ID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scan_college_demo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Execution Profile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Standard Assessment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Date &amp; Time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2026-10-09 10:36:04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Total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42.18 seconds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Assessed Hosts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3 alive (3 designated)</w:t>
            </w:r>
          </w:p>
        </w:tc>
      </w:tr>
    </w:tbl>
    <w:p>
      <w:pPr>
        <w:spacing w:before="1600"/>
      </w:pPr>
      <w:r>
        <w:rPr>
          <w:rFonts w:ascii="Calibri" w:hAnsi="Calibri"/>
          <w:b w:val="0"/>
          <w:i/>
          <w:color w:val="6E6E73"/>
          <w:sz w:val="18"/>
        </w:rPr>
        <w:t>Confidential Network Assessment · Authorized College Laboratory Demonstration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1. Executive Summary</w:t>
      </w:r>
    </w:p>
    <w:p>
      <w:pPr>
        <w:spacing w:after="280"/>
      </w:pPr>
      <w:r>
        <w:rPr>
          <w:rFonts w:ascii="Calibri" w:hAnsi="Calibri"/>
          <w:b w:val="0"/>
          <w:i w:val="0"/>
          <w:color w:val="1D1D1F"/>
          <w:sz w:val="20"/>
        </w:rPr>
        <w:t>This document presents the technical findings and network visibility intelligence collected by ShieldScan during the assessment of 192.168.1.0/28. The evaluation was initiated under the 'Standard Assessment' profile, completing in 42.18 seconds. A total of 9 port probes were conducted across 3 target hosts, uncovering 9 open ports, 9 distinct active network services, and generating 12 evidence-grounded security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Metric Category</w:t>
            </w:r>
          </w:p>
        </w:tc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Observed Count</w:t>
            </w:r>
          </w:p>
        </w:tc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Operational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Target Scope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3 Hosts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3 responsive, 0 unresponsive</w:t>
            </w:r>
          </w:p>
        </w:tc>
      </w:tr>
      <w:tr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Port Exposure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9 Open Ports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0 filtered, 0 closed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Services Identified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9 Services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Fingerprinted via protocol banners and TLS</w:t>
            </w:r>
          </w:p>
        </w:tc>
      </w:tr>
      <w:tr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Security Findings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12 Total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High: 3 | Med: 4 | Low: 1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Informational Items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4 Items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Verified service baselines and configurations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2. Assessment Scope &amp; Methodology</w:t>
      </w:r>
    </w:p>
    <w:p>
      <w:pPr>
        <w:spacing w:after="200"/>
      </w:pPr>
      <w:r>
        <w:rPr>
          <w:rFonts w:ascii="Calibri" w:hAnsi="Calibri"/>
          <w:b w:val="0"/>
          <w:i w:val="0"/>
          <w:color w:val="1D1D1F"/>
          <w:sz w:val="20"/>
        </w:rPr>
        <w:t>ShieldScan employs a disciplined, non-destructive four-phase network visibility methodology designed for defensive verification: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1: Multi-Vector Host Discovery: </w:t>
      </w:r>
      <w:r>
        <w:rPr>
          <w:rFonts w:ascii="Calibri" w:hAnsi="Calibri"/>
          <w:b w:val="0"/>
          <w:i w:val="0"/>
          <w:color w:val="6E6E73"/>
          <w:sz w:val="19"/>
        </w:rPr>
        <w:t>Verifies host reachability via ICMP Echo requests, TCP SYN/ACK connects on administrative ports, and local reverse DNS resolution.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2: Asynchronous Port Enumeration: </w:t>
      </w:r>
      <w:r>
        <w:rPr>
          <w:rFonts w:ascii="Calibri" w:hAnsi="Calibri"/>
          <w:b w:val="0"/>
          <w:i w:val="0"/>
          <w:color w:val="6E6E73"/>
          <w:sz w:val="19"/>
        </w:rPr>
        <w:t>Conducts non-blocking, managed-concurrency TCP probes across designated port lists, tracking latency and response states (Open, Closed, Filtered).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3: Deep Service Fingerprinting: </w:t>
      </w:r>
      <w:r>
        <w:rPr>
          <w:rFonts w:ascii="Calibri" w:hAnsi="Calibri"/>
          <w:b w:val="0"/>
          <w:i w:val="0"/>
          <w:color w:val="6E6E73"/>
          <w:sz w:val="19"/>
        </w:rPr>
        <w:t>Interrogates listening ports using standard protocol handshakes (HTTP HEAD, TLS certificate extraction, SSH banner analysis, MySQL handshakes, Redis commands), capturing raw evidence.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4: Evidence-First Security Analysis: </w:t>
      </w:r>
      <w:r>
        <w:rPr>
          <w:rFonts w:ascii="Calibri" w:hAnsi="Calibri"/>
          <w:b w:val="0"/>
          <w:i w:val="0"/>
          <w:color w:val="6E6E73"/>
          <w:sz w:val="19"/>
        </w:rPr>
        <w:t>Translates concrete observations into risk classifications (Informational, Low, Medium, High) and correlates software versions against known CVE advisories without exploitation.</w:t>
      </w:r>
    </w:p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3. Host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IP Address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Hostname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Status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Latency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Open Ports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Findings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gateway.local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1.8 ms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app-prod.internal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4.2 ms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lab-test.local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6.1 ms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4. Port &amp; Service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Host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Port / Proto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Service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Product &amp; Version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Confidence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Latency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80/TCP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lighttpd 1.4.59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1.9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443/TCP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TLS Gateway Admin TLSv1.3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2.1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53/TCP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dnsmasq 2.85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1.2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22/TCP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SSH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OpenSSH 8.9p1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4.1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3306/TCP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 Server 8.0.35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5.0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6379/TCP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 Key-Value Store 6.2.6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3.8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21/TCP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FTP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vsftpd 3.0.3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5.8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23/TCP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Telnet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Linux Telnetd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6.3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3389/TCP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RDP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Remote Desktop Protocol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7.0 ms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5. Security Findings &amp; Evidence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FIND-192168-001 — Active Service Verification: HTTP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192.168.1.1:80 (HTTP)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HTTP verified operational on host 192.168.1.1 port 80. Latency: 1.9ms.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 200 OK | Server: lighttpd/1.4.59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FIND-192168-002 — Active Service Verification: HTTPS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192.168.1.1:443 (HTTPS)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HTTPS verified operational on host 192.168.1.1 port 443. Latency: 2.1ms.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TLS 1.3 Handshake completed. CN: gateway.local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FIND-192168-003 — Active Service Verification: DNS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192.168.1.1:53 (DNS)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DNS verified operational on host 192.168.1.1 port 53. Latency: 1.2ms.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 TCP port listening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FIND-192168-001 — Potential Vulnerability: Terrapin Attack: SSH Channel Prefix Truncation (CVE-2023-48795)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OpenSSH 8.9p1</w:t>
              <w:br/>
              <w:t>Advisory Description: Vulnerability in SSH transport protocol allowing MITM attackers to truncate initial extension messages.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'OpenSSH' and version string '8.9p1'. Advisory: CVE-2023-48795</w:t>
              <w:br/>
              <w:t>[Raw Trace: SSH-2.0-OpenSSH_8.9p1 Ubuntu-3ubuntu0.6]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Terrapin Attack: SSH Channel Prefix Truncation.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Upgrade OpenSSH to version 9.6p1 or newer, or disable ChaCha20-Poly1305 and CBC ciphers.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FIND-192168-002 — Potential Vulnerability: OpenSSH PKCS#11 Provider Remote Code Execution (CVE-2023-38408)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OpenSSH 8.9p1</w:t>
              <w:br/>
              <w:t>Advisory Description: Condition in ssh-agent forwarding allows arbitrary shared library loading via PKCS#11 providers.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'OpenSSH' and version string '8.9p1'. Advisory: CVE-2023-38408</w:t>
              <w:br/>
              <w:t>[Raw Trace: SSH-2.0-OpenSSH_8.9p1 Ubuntu-3ubuntu0.6]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OpenSSH PKCS#11 Provider Remote Code Execution.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Update OpenSSH to 9.3p2 or disable remote agent forwarding.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FIND-192168-003 — Active Service Verification: SSH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SSH verified operational on host 192.168.1.10 port 22. Latency: 4.1ms.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SSH banner: SSH-2.0-OpenSSH_8.9p1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FIND-192168-004 — Direct Database Management Port Exposure (MYSQL)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192.168.1.10:3306 (MYSQL)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Database service MYSQL is listening on external network port 3306. Direct exposure increases risk of unauthorized queries and brute force.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 Initial Handshake parsed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Potential exposure of sensitive records, denial of service, or unauthorized administrative actions if weak credentials exist.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Bind the MYSQL daemon strictly to localhost (127.0.0.1) or an internal private subnet; mandate VPN tunnels or application proxy access.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FIND-192168-005 — Direct Database Management Port Exposure (REDIS)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192.168.1.10:6379 (REDIS)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Database service REDIS is listening on external network port 6379. Direct exposure increases risk of unauthorized queries and brute force.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 PING returned +PONG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Potential exposure of sensitive records, denial of service, or unauthorized administrative actions if weak credentials exist.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Bind the REDIS daemon strictly to localhost (127.0.0.1) or an internal private subnet; mandate VPN tunnels or application proxy access.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FIND-192168-001 — Unencrypted FTP Protocol Exposure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192.168.1.15:21 (FTP)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FTP service detected on port 21. FTP transmits authentication credentials and transferred data without transport encryption.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220 vsftpd 3.0.3 banner received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Sensitive files and credentials may be subject to packet sniffing and credential theft over unsegmented networks.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Replace legacy FTP with SFTP (SSH File Transfer Protocol) or require FTPS with explicit TLS enforcement.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22"/>
              </w:rPr>
              <w:t>[LOW]  FIND-192168-002 — Potential Vulnerability: vsftpd Denial of Service via Resource Exhaustion (CVE-2015-1849)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192.168.1.15:21 (FTP)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vsftpd 3.0.3</w:t>
              <w:br/>
              <w:t>Advisory Description: Improper resource limits in specific non-standard configurations may lead to denial of service.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'vsftpd' and version string '3.0.3'. Advisory: CVE-2015-1849</w:t>
              <w:br/>
              <w:t>[Raw Trace: 220 (vsFTPd 3.0.3)]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vsftpd Denial of Service via Resource Exhaustion.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Upgrade vsftpd to 3.0.3 or implement strict per-IP connection limits.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FIND-192168-003 — Unencrypted Telnet Remote Administration Service Exposed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192.168.1.15:23 (Telnet)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Port 23 accepts Telnet connections. The Telnet protocol transmits credentials, session tokens, and commands in cleartext.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Telnet connection accepted without encryption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Network eavesdroppers on the transit path can intercept administrative credentials and execute unauthorized commands.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Disable the Telnet daemon immediately and transition all remote access workflows to SSH (port 22).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FIND-192168-004 — Administrative Service Exposed (Remote Desktop (RDP))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192.168.1.15:3389 (Remote Desktop (RDP))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Administrative access interface Remote Desktop (RDP) detected listening on TCP/3389.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RDP port open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Exposed administration endpoints are frequent targets of brute-force password guessing and lateral movement attacks.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Enforce Network Level Authentication (NLA), place administration behind a dedicated VPN / bastion host, and restrict firewall access rules.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6. Strategic Remediation Roadmap</w:t>
      </w:r>
    </w:p>
    <w:p>
      <w:r>
        <w:rPr>
          <w:rFonts w:ascii="Calibri" w:hAnsi="Calibri"/>
          <w:b w:val="0"/>
          <w:i w:val="0"/>
          <w:color w:val="1D1D1F"/>
          <w:sz w:val="20"/>
        </w:rPr>
        <w:t>Based on the specific services and risk exposures identified during this assessment, the following prioritized engineering countermeasures should be implemented: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Enforce Modern Transport Encryption: </w:t>
      </w:r>
      <w:r>
        <w:rPr>
          <w:rFonts w:ascii="Calibri" w:hAnsi="Calibri"/>
          <w:b w:val="0"/>
          <w:i w:val="0"/>
          <w:color w:val="6E6E73"/>
          <w:sz w:val="19"/>
        </w:rPr>
        <w:t>Deprecate plaintext transport protocols (such as unencrypted HTTP, Telnet, or FTP). Mandate TLS 1.3 or SSH v2 for all administrative and user communications.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Isolate Database Management Ports: </w:t>
      </w:r>
      <w:r>
        <w:rPr>
          <w:rFonts w:ascii="Calibri" w:hAnsi="Calibri"/>
          <w:b w:val="0"/>
          <w:i w:val="0"/>
          <w:color w:val="6E6E73"/>
          <w:sz w:val="19"/>
        </w:rPr>
        <w:t>Ensure database listening ports (e.g., MySQL 3306, Redis 6379, PostgreSQL 5432) are bound exclusively to 127.0.0.1 or restricted private VLANs with strict host firewall filtering.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Bastion &amp; VPN for Remote Administration: </w:t>
      </w:r>
      <w:r>
        <w:rPr>
          <w:rFonts w:ascii="Calibri" w:hAnsi="Calibri"/>
          <w:b w:val="0"/>
          <w:i w:val="0"/>
          <w:color w:val="6E6E73"/>
          <w:sz w:val="19"/>
        </w:rPr>
        <w:t>Restrict administrative surfaces (RDP, SSH, WinRM) behind multi-factor authenticated VPN gateways rather than exposing them to wide network segments.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Continuous Discovery &amp; Differential Audits: </w:t>
      </w:r>
      <w:r>
        <w:rPr>
          <w:rFonts w:ascii="Calibri" w:hAnsi="Calibri"/>
          <w:b w:val="0"/>
          <w:i w:val="0"/>
          <w:color w:val="6E6E73"/>
          <w:sz w:val="19"/>
        </w:rPr>
        <w:t>Establish periodic ShieldScan automated assessments to track host and port drift, catching newly exposed listeners before they are discovered externally.</w:t>
      </w:r>
    </w:p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7. Technical Appendix &amp; Assessment Limitations</w:t>
      </w:r>
    </w:p>
    <w:p>
      <w:r>
        <w:rPr>
          <w:rFonts w:ascii="Calibri" w:hAnsi="Calibri"/>
          <w:b w:val="0"/>
          <w:i w:val="0"/>
          <w:color w:val="6E6E73"/>
          <w:sz w:val="18"/>
        </w:rPr>
        <w:t>Scan Engine: ShieldScan Enterprise Core v5.0</w:t>
        <w:br/>
        <w:t>Assessment Profile: Standard Assessment (ID: standard_assessment)</w:t>
        <w:br/>
        <w:t>Probe Timeout: 0.35s | Concurrency: 250 workers</w:t>
        <w:br/>
        <w:t>Timestamp: Started at 2026-10-09T10:36:04.468651 | Concluded at N/A</w:t>
        <w:br/>
      </w:r>
    </w:p>
    <w:p>
      <w:r>
        <w:rPr>
          <w:rFonts w:ascii="Calibri" w:hAnsi="Calibri"/>
          <w:b/>
          <w:i w:val="0"/>
          <w:color w:val="1D1D1F"/>
          <w:sz w:val="20"/>
        </w:rPr>
        <w:t>Assessment Limitations: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Network Firewalls &amp; Stateful Inspection: In-line firewalls or host-based packet filters (e.g., Windows Defender Firewall, iptables) may drop or silently reset probes, causing ports to be categorized as FILTERED.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Fingerprint Uncertainty: Version identification depends on banners published by target daemons. Custom or obfuscated banners may produce LOW confidence classifications.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Defensive Scope: ShieldScan operates strictly as a discovery, enumeration, and non-destructive assessment tool. It does not perform active exploits, denial of service, or authentication bypass.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