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HEDGE PERFORMANCE REVIEW</w:t>
      </w:r>
    </w:p>
    <w:p>
      <w:pPr>
        <w:spacing w:after="240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Duration-Neutral Hedge of a Simulated $100.0mm Treasury Portfolio</w:t>
      </w:r>
    </w:p>
    <w:tbl>
      <w:tblPr>
        <w:tblW w:type="dxa" w:w="9360"/>
        <w:tblBorders>
          <w:top w:val="single" w:color="BFBFBF" w:sz="4"/>
          <w:left w:val="none"/>
          <w:bottom w:val="single" w:color="BFBFBF" w:sz="4"/>
          <w:right w:val="none"/>
          <w:insideH w:val="single" w:color="D9D9D9" w:sz="2"/>
          <w:insideV w:val="none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Asset–Liability Committee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Treasury Risk — Portfolio Analysis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 July 2026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Mandate</w:t>
            </w:r>
          </w:p>
        </w:tc>
        <w:tc>
          <w:tcPr>
            <w:tcW w:type="dxa" w:w="6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Minimise deviation of portfolio market value from its starting base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Management period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 February – 7 April 2026 (31 trading sessions)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Hedge instrument</w:t>
            </w:r>
          </w:p>
        </w:tc>
        <w:tc>
          <w:tcPr>
            <w:tcW w:type="dxa" w:w="6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CBOT 10-Year U.S. Treasury Note futures (TYM6)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Conclusion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MANDATE MET — subject to two measurement corrections in Section 6</w:t>
            </w:r>
          </w:p>
        </w:tc>
      </w:tr>
    </w:tbl>
    <w:p>
      <w:pPr>
        <w:pBdr>
          <w:bottom w:val="single" w:color="1F3864" w:sz="8" w:space="4"/>
        </w:pBdr>
        <w:spacing w:after="160" w:before="320"/>
      </w:pPr>
      <w:r>
        <w:rPr>
          <w:rFonts w:ascii="Times New Roman" w:cs="Times New Roman" w:eastAsia="Times New Roman" w:hAnsi="Times New Roman"/>
          <w:b/>
          <w:bCs/>
          <w:caps/>
          <w:color w:val="1F3864"/>
          <w:sz w:val="22"/>
          <w:szCs w:val="22"/>
        </w:rPr>
        <w:t xml:space="preserve">1.  Summary</w:t>
      </w:r>
    </w:p>
    <w:p>
      <w:pPr>
        <w:spacing w:after="120" w:before="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The mandate was to hold the market value of a simulated $100.0mm U.S. Treasury portfolio as close as possible to its starting base over the period 24 February to 7 April 2026. The portfolio comprises four on-the-run Treasury notes across the 5-, 7-, 10- and 20-year points, carrying a weighted-average modified duration of 9.29 years and a DV01 of $92,887. Unhedged, a 25bp parallel move in rates would have swung portfolio value by approximately $2.3mm.</w:t>
      </w:r>
    </w:p>
    <w:p>
      <w:pPr>
        <w:spacing w:after="120" w:before="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The hedge shorted CBOT 10-year Treasury note futures (TYM6), sized by the duration-ratio method — portfolio dollar duration divided by futures dollar duration — and re-solved at each adjustment. Over 31 evaluated trading sessions, the standard deviation of portfolio deviation was $463,570, or 0.46% of the $100.0mm base.</w:t>
      </w:r>
    </w:p>
    <w:p>
      <w:pPr>
        <w:pBdr>
          <w:top w:val="single" w:color="1F3864" w:sz="6" w:space="6"/>
          <w:bottom w:val="single" w:color="1F3864" w:sz="6" w:space="6"/>
        </w:pBdr>
        <w:spacing w:after="200" w:before="200" w:line="260"/>
      </w:pPr>
      <w:r>
        <w:rPr>
          <w:rFonts w:ascii="Times New Roman" w:cs="Times New Roman" w:eastAsia="Times New Roman" w:hAnsi="Times New Roman"/>
          <w:b/>
          <w:bCs/>
          <w:color w:val="1F3864"/>
          <w:sz w:val="20"/>
          <w:szCs w:val="20"/>
        </w:rPr>
        <w:t xml:space="preserve">The variance objective was met. The two items requiring correction are measurement conventions, not defects in the hedge design.</w:t>
      </w:r>
    </w:p>
    <w:p>
      <w:pPr>
        <w:spacing w:after="120" w:before="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Over the period the bond portfolio lost $2,548,316 of market value while the futures margin account gained $2,946,296 — a hedge capture ratio of 115.6%, indicating a modest over-hedge. Section 6 identifies two items to resolve before the result is presented externally: the deviation baseline is set to face value rather than starting market value, which inflates every reported deviation by a fixed $1,378,688 and makes the book appear persistently long; and the number of hedge executions is stated three different ways across the workbook.</w:t>
      </w:r>
    </w:p>
    <w:p>
      <w:pPr>
        <w:pBdr>
          <w:bottom w:val="single" w:color="1F3864" w:sz="8" w:space="4"/>
        </w:pBdr>
        <w:spacing w:after="160" w:before="320"/>
      </w:pPr>
      <w:r>
        <w:rPr>
          <w:rFonts w:ascii="Times New Roman" w:cs="Times New Roman" w:eastAsia="Times New Roman" w:hAnsi="Times New Roman"/>
          <w:b/>
          <w:bCs/>
          <w:caps/>
          <w:color w:val="1F3864"/>
          <w:sz w:val="22"/>
          <w:szCs w:val="22"/>
        </w:rPr>
        <w:t xml:space="preserve">2.  Mandate and Portfolio</w:t>
      </w:r>
    </w:p>
    <w:tbl>
      <w:tblPr>
        <w:tblW w:type="dxa" w:w="9360"/>
        <w:tblBorders>
          <w:top w:val="single" w:color="BFBFBF" w:sz="4"/>
          <w:left w:val="none"/>
          <w:bottom w:val="single" w:color="BFBFBF" w:sz="4"/>
          <w:right w:val="none"/>
          <w:insideH w:val="single" w:color="D9D9D9" w:sz="2"/>
          <w:insideV w:val="none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Portfolio face value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$100,000,000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Starting market value (24 Feb 2026)</w:t>
            </w:r>
          </w:p>
        </w:tc>
        <w:tc>
          <w:tcPr>
            <w:tcW w:type="dxa" w:w="6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$101,378,688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Weighted-average modified duration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9.29 years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Portfolio DV01</w:t>
            </w:r>
          </w:p>
        </w:tc>
        <w:tc>
          <w:tcPr>
            <w:tcW w:type="dxa" w:w="6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$92,887 per basis point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Marking convention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End-of-day prices; daily mark-to-market with margin financing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Margin financing rate</w:t>
            </w:r>
          </w:p>
        </w:tc>
        <w:tc>
          <w:tcPr>
            <w:tcW w:type="dxa" w:w="6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5.0% (assumed)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Non-trading days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Weekends carried at prior mark and excluded from statistics</w:t>
            </w:r>
          </w:p>
        </w:tc>
      </w:tr>
    </w:tbl>
    <w:p>
      <w:pPr>
        <w:spacing w:after="120"/>
      </w:pP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1F3864"/>
          <w:sz w:val="20"/>
          <w:szCs w:val="20"/>
        </w:rPr>
        <w:t xml:space="preserve">2.1  Holdings</w:t>
      </w:r>
    </w:p>
    <w:tbl>
      <w:tblPr>
        <w:tblW w:type="dxa" w:w="9360"/>
        <w:tblBorders>
          <w:top w:val="single" w:color="BFBFBF" w:sz="4"/>
          <w:left w:val="none"/>
          <w:bottom w:val="single" w:color="BFBFBF" w:sz="4"/>
          <w:right w:val="none"/>
          <w:insideH w:val="single" w:color="D9D9D9" w:sz="2"/>
          <w:insideV w:val="none"/>
        </w:tblBorders>
      </w:tblPr>
      <w:tblGrid>
        <w:gridCol w:w="900"/>
        <w:gridCol w:w="1300"/>
        <w:gridCol w:w="1100"/>
        <w:gridCol w:w="1000"/>
        <w:gridCol w:w="1560"/>
        <w:gridCol w:w="1500"/>
        <w:gridCol w:w="20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Face ($mm)</w:t>
            </w:r>
          </w:p>
        </w:tc>
        <w:tc>
          <w:tcPr>
            <w:tcW w:type="dxa" w:w="1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Coupon</w:t>
            </w:r>
          </w:p>
        </w:tc>
        <w:tc>
          <w:tcPr>
            <w:tcW w:type="dxa" w:w="1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Yield</w:t>
            </w:r>
          </w:p>
        </w:tc>
        <w:tc>
          <w:tcPr>
            <w:tcW w:type="dxa" w:w="15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Maturity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Mod. duration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Duration contribution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5Y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15.0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3.750%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3.63%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31 Jan 2031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4.557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0.68 yrs  (7.4%)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7Y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17.0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4.000%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3.82%</w:t>
            </w:r>
          </w:p>
        </w:tc>
        <w:tc>
          <w:tcPr>
            <w:tcW w:type="dxa" w:w="1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31 Jan 2033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6.130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1.04 yrs  (11.2%)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10Y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25.0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4.625%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4.05%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 Nov 2035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7.906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1.98 yrs  (21.3%)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20Y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43.0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4.625%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4.63%</w:t>
            </w:r>
          </w:p>
        </w:tc>
        <w:tc>
          <w:tcPr>
            <w:tcW w:type="dxa" w:w="1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 Nov 2045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12.992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5.59 yrs  (60.1%)</w:t>
            </w:r>
          </w:p>
        </w:tc>
      </w:tr>
      <w:tr>
        <w:tc>
          <w:tcPr>
            <w:tcW w:type="dxa" w:w="900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300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100.0</w:t>
            </w:r>
          </w:p>
        </w:tc>
        <w:tc>
          <w:tcPr>
            <w:tcW w:type="dxa" w:w="1100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9.29</w:t>
            </w:r>
          </w:p>
        </w:tc>
        <w:tc>
          <w:tcPr>
            <w:tcW w:type="dxa" w:w="2000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9.29 yrs  (100.0%)</w:t>
            </w:r>
          </w:p>
        </w:tc>
      </w:tr>
    </w:tbl>
    <w:p>
      <w:pPr>
        <w:spacing w:after="80"/>
      </w:pPr>
    </w:p>
    <w:p>
      <w:pPr>
        <w:spacing w:after="120" w:before="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19"/>
          <w:szCs w:val="19"/>
        </w:rPr>
        <w:t xml:space="preserve">The duration profile is concentrated. The 20-year note represents 43.0% of face but contributes 60.1% of portfolio duration. This concentration is the origin of the curve exposure discussed in Section 7 — the portfolio's risk sits materially further out the curve than the instrument used to hedge it.</w:t>
      </w:r>
    </w:p>
    <w:p>
      <w:pPr>
        <w:pBdr>
          <w:bottom w:val="single" w:color="1F3864" w:sz="8" w:space="4"/>
        </w:pBdr>
        <w:spacing w:after="160" w:before="320"/>
      </w:pPr>
      <w:r>
        <w:rPr>
          <w:rFonts w:ascii="Times New Roman" w:cs="Times New Roman" w:eastAsia="Times New Roman" w:hAnsi="Times New Roman"/>
          <w:b/>
          <w:bCs/>
          <w:caps/>
          <w:color w:val="1F3864"/>
          <w:sz w:val="22"/>
          <w:szCs w:val="22"/>
        </w:rPr>
        <w:t xml:space="preserve">3.  Hedge Construction and Sizing</w:t>
      </w:r>
    </w:p>
    <w:p>
      <w:pPr>
        <w:spacing w:after="120" w:before="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The hedge is sized by the duration-ratio method. The required short position is portfolio DV01 divided by the DV01 of a single futures contract:</w:t>
      </w:r>
    </w:p>
    <w:p>
      <w:pPr>
        <w:spacing w:after="160" w:before="60" w:line="2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N  =  (Portfolio face × Modified duration × 0.0001)  ÷  (Futures price ÷ 100 × Contract size × Futures modified duration × 0.0001)</w:t>
      </w:r>
    </w:p>
    <w:tbl>
      <w:tblPr>
        <w:tblW w:type="dxa" w:w="9360"/>
        <w:tblBorders>
          <w:top w:val="single" w:color="BFBFBF" w:sz="4"/>
          <w:left w:val="none"/>
          <w:bottom w:val="single" w:color="BFBFBF" w:sz="4"/>
          <w:right w:val="none"/>
          <w:insideH w:val="single" w:color="D9D9D9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Hedge instrument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CBOT 10-Year U.S. Treasury Note futures, June 2026 (TYM6)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Contract size</w:t>
            </w:r>
          </w:p>
        </w:tc>
        <w:tc>
          <w:tcPr>
            <w:tcW w:type="dxa" w:w="5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$100,000 face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Futures modified duration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6.50 (held constant)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Portfolio DV01</w:t>
            </w:r>
          </w:p>
        </w:tc>
        <w:tc>
          <w:tcPr>
            <w:tcW w:type="dxa" w:w="5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$92,887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Sizing basis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Duration ratio; re-solved at each adjustment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FBFBF" w:sz="4"/>
          <w:left w:val="none"/>
          <w:bottom w:val="single" w:color="BFBFBF" w:sz="4"/>
          <w:right w:val="none"/>
          <w:insideH w:val="single" w:color="D9D9D9" w:sz="2"/>
          <w:insideV w:val="none"/>
        </w:tblBorders>
      </w:tblPr>
      <w:tblGrid>
        <w:gridCol w:w="2600"/>
        <w:gridCol w:w="1900"/>
        <w:gridCol w:w="2430"/>
        <w:gridCol w:w="243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Sizing point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Futures price</w:t>
            </w:r>
          </w:p>
        </w:tc>
        <w:tc>
          <w:tcPr>
            <w:tcW w:type="dxa" w:w="243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Futures DV01 / contract</w:t>
            </w:r>
          </w:p>
        </w:tc>
        <w:tc>
          <w:tcPr>
            <w:tcW w:type="dxa" w:w="243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Contracts required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 Feb 2026 (inception)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113.297</w:t>
            </w:r>
          </w:p>
        </w:tc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$73.64</w:t>
            </w:r>
          </w:p>
        </w:tc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1,261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 Apr 2026 (final)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110.750</w:t>
            </w:r>
          </w:p>
        </w:tc>
        <w:tc>
          <w:tcPr>
            <w:tcW w:type="dxa" w:w="243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$71.99</w:t>
            </w:r>
          </w:p>
        </w:tc>
        <w:tc>
          <w:tcPr>
            <w:tcW w:type="dxa" w:w="243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1,290</w:t>
            </w:r>
          </w:p>
        </w:tc>
      </w:tr>
    </w:tbl>
    <w:p>
      <w:pPr>
        <w:spacing w:after="80"/>
      </w:pPr>
    </w:p>
    <w:p>
      <w:pPr>
        <w:spacing w:after="120" w:before="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19"/>
          <w:szCs w:val="19"/>
        </w:rPr>
        <w:t xml:space="preserve">As futures prices fell over the period, the DV01 of each contract declined, and the position required to remain duration-neutral rose from 1,261 to 1,290 contracts. The hedge ratio is therefore not static even when portfolio duration is unchanged — the denominator moves with the market.</w:t>
      </w:r>
    </w:p>
    <w:p>
      <w:pPr>
        <w:pBdr>
          <w:bottom w:val="single" w:color="1F3864" w:sz="8" w:space="4"/>
        </w:pBdr>
        <w:spacing w:after="160" w:before="320"/>
      </w:pPr>
      <w:r>
        <w:rPr>
          <w:rFonts w:ascii="Times New Roman" w:cs="Times New Roman" w:eastAsia="Times New Roman" w:hAnsi="Times New Roman"/>
          <w:b/>
          <w:bCs/>
          <w:caps/>
          <w:color w:val="1F3864"/>
          <w:sz w:val="22"/>
          <w:szCs w:val="22"/>
        </w:rPr>
        <w:t xml:space="preserve">4.  Execution</w:t>
      </w:r>
    </w:p>
    <w:p>
      <w:pPr>
        <w:spacing w:after="120" w:before="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Eight transactions were executed: one initial hedge and seven subsequent adjustments. All were priced at end-of-day marks.</w:t>
      </w:r>
    </w:p>
    <w:tbl>
      <w:tblPr>
        <w:tblW w:type="dxa" w:w="9360"/>
        <w:tblBorders>
          <w:top w:val="single" w:color="BFBFBF" w:sz="4"/>
          <w:left w:val="none"/>
          <w:bottom w:val="single" w:color="BFBFBF" w:sz="4"/>
          <w:right w:val="none"/>
          <w:insideH w:val="single" w:color="D9D9D9" w:sz="2"/>
          <w:insideV w:val="none"/>
        </w:tblBorders>
      </w:tblPr>
      <w:tblGrid>
        <w:gridCol w:w="1500"/>
        <w:gridCol w:w="1050"/>
        <w:gridCol w:w="1400"/>
        <w:gridCol w:w="1600"/>
        <w:gridCol w:w="1700"/>
        <w:gridCol w:w="211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0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Contracts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Fee ($)</w:t>
            </w:r>
          </w:p>
        </w:tc>
        <w:tc>
          <w:tcPr>
            <w:tcW w:type="dxa" w:w="211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Running short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27 Feb 2026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1,261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113.641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14,330.08</w:t>
            </w:r>
          </w:p>
        </w:tc>
        <w:tc>
          <w:tcPr>
            <w:tcW w:type="dxa" w:w="2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1,261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27 Feb 2026</w:t>
            </w:r>
          </w:p>
        </w:tc>
        <w:tc>
          <w:tcPr>
            <w:tcW w:type="dxa" w:w="10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Buy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113.641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34.09</w:t>
            </w:r>
          </w:p>
        </w:tc>
        <w:tc>
          <w:tcPr>
            <w:tcW w:type="dxa" w:w="211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1,258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Mar 2026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113.344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34.00</w:t>
            </w:r>
          </w:p>
        </w:tc>
        <w:tc>
          <w:tcPr>
            <w:tcW w:type="dxa" w:w="2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1,261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Mar 2026</w:t>
            </w:r>
          </w:p>
        </w:tc>
        <w:tc>
          <w:tcPr>
            <w:tcW w:type="dxa" w:w="10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Sell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112.781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67.67</w:t>
            </w:r>
          </w:p>
        </w:tc>
        <w:tc>
          <w:tcPr>
            <w:tcW w:type="dxa" w:w="211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1,267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 Mar 2026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112.063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89.65</w:t>
            </w:r>
          </w:p>
        </w:tc>
        <w:tc>
          <w:tcPr>
            <w:tcW w:type="dxa" w:w="2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1,275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 Mar 2026</w:t>
            </w:r>
          </w:p>
        </w:tc>
        <w:tc>
          <w:tcPr>
            <w:tcW w:type="dxa" w:w="10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Sell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110.859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155.20</w:t>
            </w:r>
          </w:p>
        </w:tc>
        <w:tc>
          <w:tcPr>
            <w:tcW w:type="dxa" w:w="211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1,289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Apr 2026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111.000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22.20</w:t>
            </w:r>
          </w:p>
        </w:tc>
        <w:tc>
          <w:tcPr>
            <w:tcW w:type="dxa" w:w="2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1,287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Apr 2026</w:t>
            </w:r>
          </w:p>
        </w:tc>
        <w:tc>
          <w:tcPr>
            <w:tcW w:type="dxa" w:w="10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Sell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110.750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33.23</w:t>
            </w:r>
          </w:p>
        </w:tc>
        <w:tc>
          <w:tcPr>
            <w:tcW w:type="dxa" w:w="211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1,290</w:t>
            </w:r>
          </w:p>
        </w:tc>
      </w:tr>
      <w:tr>
        <w:tc>
          <w:tcPr>
            <w:tcW w:type="dxa" w:w="1500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050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14,766.12</w:t>
            </w:r>
          </w:p>
        </w:tc>
        <w:tc>
          <w:tcPr>
            <w:tcW w:type="dxa" w:w="2110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1,290 short</w:t>
            </w:r>
          </w:p>
        </w:tc>
      </w:tr>
    </w:tbl>
    <w:p>
      <w:pPr>
        <w:spacing w:after="80"/>
      </w:pPr>
    </w:p>
    <w:p>
      <w:pPr>
        <w:spacing w:after="120" w:before="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19"/>
          <w:szCs w:val="19"/>
        </w:rPr>
        <w:t xml:space="preserve">Adjustments cluster around the larger rate moves rather than on a fixed calendar, which is the correct behaviour for a threshold-triggered rebalancing policy. Total transaction cost across the period was $14,766, of which $14,330 (97.0%) was incurred on the initial hedge.</w:t>
      </w:r>
    </w:p>
    <w:p>
      <w:pPr>
        <w:pBdr>
          <w:bottom w:val="single" w:color="1F3864" w:sz="8" w:space="4"/>
        </w:pBdr>
        <w:spacing w:after="160" w:before="320"/>
      </w:pPr>
      <w:r>
        <w:rPr>
          <w:rFonts w:ascii="Times New Roman" w:cs="Times New Roman" w:eastAsia="Times New Roman" w:hAnsi="Times New Roman"/>
          <w:b/>
          <w:bCs/>
          <w:caps/>
          <w:color w:val="1F3864"/>
          <w:sz w:val="22"/>
          <w:szCs w:val="22"/>
        </w:rPr>
        <w:t xml:space="preserve">5.  Performance and Attribution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1F3864"/>
          <w:sz w:val="20"/>
          <w:szCs w:val="20"/>
        </w:rPr>
        <w:t xml:space="preserve">5.1  Stability scorecard</w:t>
      </w:r>
    </w:p>
    <w:tbl>
      <w:tblPr>
        <w:tblW w:type="dxa" w:w="9360"/>
        <w:tblBorders>
          <w:top w:val="single" w:color="BFBFBF" w:sz="4"/>
          <w:left w:val="none"/>
          <w:bottom w:val="single" w:color="BFBFBF" w:sz="4"/>
          <w:right w:val="none"/>
          <w:insideH w:val="single" w:color="D9D9D9" w:sz="2"/>
          <w:insideV w:val="none"/>
        </w:tblBorders>
      </w:tblPr>
      <w:tblGrid>
        <w:gridCol w:w="3200"/>
        <w:gridCol w:w="1880"/>
        <w:gridCol w:w="2400"/>
        <w:gridCol w:w="1880"/>
      </w:tblGrid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Trading sessions evaluated</w:t>
            </w:r>
          </w:p>
        </w:tc>
        <w:tc>
          <w:tcPr>
            <w:tcW w:type="dxa" w:w="1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Maximum deviation</w:t>
            </w:r>
          </w:p>
        </w:tc>
        <w:tc>
          <w:tcPr>
            <w:tcW w:type="dxa" w:w="1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$2,284,750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Mean deviation from base</w:t>
            </w:r>
          </w:p>
        </w:tc>
        <w:tc>
          <w:tcPr>
            <w:tcW w:type="dxa" w:w="18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$1,612,394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Minimum deviation</w:t>
            </w:r>
          </w:p>
        </w:tc>
        <w:tc>
          <w:tcPr>
            <w:tcW w:type="dxa" w:w="18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$734,492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Standard deviation of deviation</w:t>
            </w:r>
          </w:p>
        </w:tc>
        <w:tc>
          <w:tcPr>
            <w:tcW w:type="dxa" w:w="1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$463,570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Deviation range</w:t>
            </w:r>
          </w:p>
        </w:tc>
        <w:tc>
          <w:tcPr>
            <w:tcW w:type="dxa" w:w="1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$1,550,258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Standard deviation as % of base</w:t>
            </w:r>
          </w:p>
        </w:tc>
        <w:tc>
          <w:tcPr>
            <w:tcW w:type="dxa" w:w="18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0.46%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Coefficient of variation</w:t>
            </w:r>
          </w:p>
        </w:tc>
        <w:tc>
          <w:tcPr>
            <w:tcW w:type="dxa" w:w="18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0.29</w:t>
            </w:r>
          </w:p>
        </w:tc>
      </w:tr>
    </w:tbl>
    <w:p>
      <w:pPr>
        <w:spacing w:after="120"/>
      </w:pP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1F3864"/>
          <w:sz w:val="20"/>
          <w:szCs w:val="20"/>
        </w:rPr>
        <w:t xml:space="preserve">5.2  Attribution, 24 February to 7 April 2026</w:t>
      </w:r>
    </w:p>
    <w:tbl>
      <w:tblPr>
        <w:tblW w:type="dxa" w:w="9360"/>
        <w:tblBorders>
          <w:top w:val="single" w:color="BFBFBF" w:sz="4"/>
          <w:left w:val="none"/>
          <w:bottom w:val="single" w:color="BFBFBF" w:sz="4"/>
          <w:right w:val="none"/>
          <w:insideH w:val="single" w:color="D9D9D9" w:sz="2"/>
          <w:insideV w:val="none"/>
        </w:tblBorders>
      </w:tblPr>
      <w:tblGrid>
        <w:gridCol w:w="5560"/>
        <w:gridCol w:w="3800"/>
      </w:tblGrid>
      <w:tr>
        <w:trPr>
          <w:tblHeader/>
        </w:trPr>
        <w:tc>
          <w:tcPr>
            <w:tcW w:type="dxa" w:w="55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Bond portfolio market value, 24 February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101,378,688</w:t>
            </w:r>
          </w:p>
        </w:tc>
      </w:tr>
      <w:tr>
        <w:tc>
          <w:tcPr>
            <w:tcW w:type="dxa" w:w="5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Change in bond market value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(2,548,316)</w:t>
            </w:r>
          </w:p>
        </w:tc>
      </w:tr>
      <w:tr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Accrued interest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504,863</w:t>
            </w:r>
          </w:p>
        </w:tc>
      </w:tr>
      <w:tr>
        <w:tc>
          <w:tcPr>
            <w:tcW w:type="dxa" w:w="5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Futures margin account balance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2,946,296</w:t>
            </w:r>
          </w:p>
        </w:tc>
      </w:tr>
      <w:tr>
        <w:tc>
          <w:tcPr>
            <w:tcW w:type="dxa" w:w="5560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 portfolio value, 7 April</w:t>
            </w:r>
          </w:p>
        </w:tc>
        <w:tc>
          <w:tcPr>
            <w:tcW w:type="dxa" w:w="3800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102,281,531</w:t>
            </w:r>
          </w:p>
        </w:tc>
      </w:tr>
      <w:tr>
        <w:tc>
          <w:tcPr>
            <w:tcW w:type="dxa" w:w="5560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Deviation from $100.0mm base</w:t>
            </w:r>
          </w:p>
        </w:tc>
        <w:tc>
          <w:tcPr>
            <w:tcW w:type="dxa" w:w="3800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2,281,531</w:t>
            </w:r>
          </w:p>
        </w:tc>
      </w:tr>
    </w:tbl>
    <w:p>
      <w:pPr>
        <w:spacing w:after="80"/>
      </w:pPr>
    </w:p>
    <w:p>
      <w:pPr>
        <w:spacing w:after="120" w:before="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The hedge performed its function. The bond portfolio lost $2,548,316 of market value as rates rose across the period; the short futures position generated $2,946,296 in the margin account, offsetting that loss and exceeding it by $397,980. Expressed as a capture ratio, the hedge recovered 115.6% of the underlying loss — directionally correct, modestly over-sized.</w:t>
      </w:r>
    </w:p>
    <w:p>
      <w:pPr>
        <w:pBdr>
          <w:bottom w:val="single" w:color="1F3864" w:sz="8" w:space="4"/>
        </w:pBdr>
        <w:spacing w:after="160" w:before="320"/>
      </w:pPr>
      <w:r>
        <w:rPr>
          <w:rFonts w:ascii="Times New Roman" w:cs="Times New Roman" w:eastAsia="Times New Roman" w:hAnsi="Times New Roman"/>
          <w:b/>
          <w:bCs/>
          <w:caps/>
          <w:color w:val="1F3864"/>
          <w:sz w:val="22"/>
          <w:szCs w:val="22"/>
        </w:rPr>
        <w:t xml:space="preserve">6.  Measurement Review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1F3864"/>
          <w:sz w:val="20"/>
          <w:szCs w:val="20"/>
        </w:rPr>
        <w:t xml:space="preserve">6.1  The deviation baseline is face value, not starting market value</w:t>
      </w:r>
    </w:p>
    <w:p>
      <w:pPr>
        <w:spacing w:after="120" w:before="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Deviation is currently measured against $100,000,000 — the portfolio's face value. Its actual market value at inception was $101,378,688, because all four notes priced above par. Every deviation reading therefore carries a fixed $1,378,688 offset unrelated to hedge performance.</w:t>
      </w:r>
    </w:p>
    <w:p>
      <w:pPr>
        <w:spacing w:after="120" w:before="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Restating the scorecard on a starting-market-value basis:</w:t>
      </w:r>
    </w:p>
    <w:tbl>
      <w:tblPr>
        <w:tblW w:type="dxa" w:w="9360"/>
        <w:tblBorders>
          <w:top w:val="single" w:color="BFBFBF" w:sz="4"/>
          <w:left w:val="none"/>
          <w:bottom w:val="single" w:color="BFBFBF" w:sz="4"/>
          <w:right w:val="none"/>
          <w:insideH w:val="single" w:color="D9D9D9" w:sz="2"/>
          <w:insideV w:val="none"/>
        </w:tblBorders>
      </w:tblPr>
      <w:tblGrid>
        <w:gridCol w:w="3760"/>
        <w:gridCol w:w="2800"/>
        <w:gridCol w:w="2800"/>
      </w:tblGrid>
      <w:tr>
        <w:trPr>
          <w:tblHeader/>
        </w:trPr>
        <w:tc>
          <w:tcPr>
            <w:tcW w:type="dxa" w:w="37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vs. face ($100.0mm)</w:t>
            </w:r>
          </w:p>
        </w:tc>
        <w:tc>
          <w:tcPr>
            <w:tcW w:type="dxa" w:w="2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vs. starting market value</w:t>
            </w:r>
          </w:p>
        </w:tc>
      </w:tr>
      <w:tr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Mean deviation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$1,612,394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$233,707</w:t>
            </w:r>
          </w:p>
        </w:tc>
      </w:tr>
      <w:tr>
        <w:tc>
          <w:tcPr>
            <w:tcW w:type="dxa" w:w="3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Standard deviation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$463,570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$463,570</w:t>
            </w:r>
          </w:p>
        </w:tc>
      </w:tr>
      <w:tr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Minimum deviation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$734,492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($644,196)</w:t>
            </w:r>
          </w:p>
        </w:tc>
      </w:tr>
      <w:tr>
        <w:tc>
          <w:tcPr>
            <w:tcW w:type="dxa" w:w="3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Maximum deviation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$2,284,750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$906,062</w:t>
            </w:r>
          </w:p>
        </w:tc>
      </w:tr>
    </w:tbl>
    <w:p>
      <w:pPr>
        <w:spacing w:after="80"/>
      </w:pPr>
    </w:p>
    <w:p>
      <w:pPr>
        <w:spacing w:after="120" w:before="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The standard deviation is identical under both conventions — changing the baseline shifts location, not scale — so the headline 0.46% stability result is robust and stands either way. What changes is the interpretation. On the face-value basis the deviation never turns negative, which reads as a persistent long-value tilt; on the correct basis it straddles zero, ranging from ($644,196) to $906,062. The conclusion that the book “ran a modest long-value tilt rather than sitting flat at zero” is harsher than the evidence supports and should be revised.</w:t>
      </w:r>
    </w:p>
    <w:p>
      <w:pPr>
        <w:spacing w:after="120" w:before="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A residual mean of $233,707 remains, of which accrued interest is a substantial part — $504,863 by the final session. Coupon accretion is deterministic income, not hedging error. A cleaner stability metric would measure deviation on a clean-price basis, or state accrued interest as a separate line.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1F3864"/>
          <w:sz w:val="20"/>
          <w:szCs w:val="20"/>
        </w:rPr>
        <w:t xml:space="preserve">6.2  The number of hedge executions is stated three ways</w:t>
      </w:r>
    </w:p>
    <w:tbl>
      <w:tblPr>
        <w:tblW w:type="dxa" w:w="9360"/>
        <w:tblBorders>
          <w:top w:val="single" w:color="BFBFBF" w:sz="4"/>
          <w:left w:val="none"/>
          <w:bottom w:val="single" w:color="BFBFBF" w:sz="4"/>
          <w:right w:val="none"/>
          <w:insideH w:val="single" w:color="D9D9D9" w:sz="2"/>
          <w:insideV w:val="none"/>
        </w:tblBorders>
      </w:tblPr>
      <w:tblGrid>
        <w:gridCol w:w="3760"/>
        <w:gridCol w:w="2800"/>
        <w:gridCol w:w="2800"/>
      </w:tblGrid>
      <w:tr>
        <w:trPr>
          <w:tblHeader/>
        </w:trPr>
        <w:tc>
          <w:tcPr>
            <w:tcW w:type="dxa" w:w="37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Currently states</w:t>
            </w:r>
          </w:p>
        </w:tc>
        <w:tc>
          <w:tcPr>
            <w:tcW w:type="dxa" w:w="2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Correct</w:t>
            </w:r>
          </w:p>
        </w:tc>
      </w:tr>
      <w:tr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Cover sheet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 executions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 executions</w:t>
            </w:r>
          </w:p>
        </w:tc>
      </w:tr>
      <w:tr>
        <w:tc>
          <w:tcPr>
            <w:tcW w:type="dxa" w:w="3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Executive Summary scorecard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 executions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 executions — correct</w:t>
            </w:r>
          </w:p>
        </w:tc>
      </w:tr>
      <w:tr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Executive Summary narrative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“adjusted eight times”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adjusted seven times</w:t>
            </w:r>
          </w:p>
        </w:tc>
      </w:tr>
    </w:tbl>
    <w:p>
      <w:pPr>
        <w:spacing w:after="80"/>
      </w:pPr>
    </w:p>
    <w:p>
      <w:pPr>
        <w:spacing w:after="120" w:before="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The Trade Log contains eight rows: one initial hedge of 1,261 contracts on 27 February and seven subsequent adjustments. Both framings are defensible — “eight executions” or “one initial hedge plus seven adjustments” — but only one should appear, and it should appear consistently.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1F3864"/>
          <w:sz w:val="20"/>
          <w:szCs w:val="20"/>
        </w:rPr>
        <w:t xml:space="preserve">6.3  The portfolio ran unhedged for the first three sessions</w:t>
      </w:r>
    </w:p>
    <w:p>
      <w:pPr>
        <w:spacing w:after="120" w:before="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The management period opens on 24 February; the initial hedge was executed at the 27 February close. Three trading sessions carried the full $92,887 DV01 without any offset, over which deviation ranged from $1,378,688 to $1,711,527. This is not material to the final result, but it is visible in the trade log and should be disclosed in the summary rather than left for a reader to infer.</w:t>
      </w:r>
    </w:p>
    <w:p>
      <w:pPr>
        <w:pBdr>
          <w:bottom w:val="single" w:color="1F3864" w:sz="8" w:space="4"/>
        </w:pBdr>
        <w:spacing w:after="160" w:before="320"/>
      </w:pPr>
      <w:r>
        <w:rPr>
          <w:rFonts w:ascii="Times New Roman" w:cs="Times New Roman" w:eastAsia="Times New Roman" w:hAnsi="Times New Roman"/>
          <w:b/>
          <w:bCs/>
          <w:caps/>
          <w:color w:val="1F3864"/>
          <w:sz w:val="22"/>
          <w:szCs w:val="22"/>
        </w:rPr>
        <w:t xml:space="preserve">7.  Risks and Recommendations</w:t>
      </w:r>
    </w:p>
    <w:p>
      <w:pPr>
        <w:pStyle w:val="ListParagraph"/>
        <w:numPr>
          <w:ilvl w:val="0"/>
          <w:numId w:val="1"/>
        </w:numPr>
        <w:spacing w:after="10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Curve risk is unhedged. A single 10-year contract hedges a ladder spanning 5 to 20 years. The 20-year note contributes 60.1% of portfolio duration but is hedged with an instrument of 6.50 modified duration. The sizing embeds a parallel-shift assumption; any steepening or flattening passes through unhedged. Recommendation: a two-point hedge — for example FV plus US, or TY plus US — with front- and long-end DV01 matched separately.</w:t>
      </w:r>
    </w:p>
    <w:p>
      <w:pPr>
        <w:pStyle w:val="ListParagraph"/>
        <w:numPr>
          <w:ilvl w:val="0"/>
          <w:numId w:val="1"/>
        </w:numPr>
        <w:spacing w:after="10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hedge is modestly over-sized. A capture ratio of 115.6% means the futures gained $397,980 more than the bonds lost. Over a longer horizon or a larger rate move, systematic over-hedging becomes a source of variance in its own right rather than a reduction of it.</w:t>
      </w:r>
    </w:p>
    <w:p>
      <w:pPr>
        <w:pStyle w:val="ListParagraph"/>
        <w:numPr>
          <w:ilvl w:val="0"/>
          <w:numId w:val="1"/>
        </w:numPr>
        <w:spacing w:after="10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Futures modified duration is held constant at 6.50. In practice the cheapest-to-deliver bond and its conversion factor shift as the curve moves, so the true contract DV01 drifts. Holding it fixed means the position departs from genuine DV01-neutrality between re-solves, independently of any portfolio drift.</w:t>
      </w:r>
    </w:p>
    <w:p>
      <w:pPr>
        <w:pStyle w:val="ListParagraph"/>
        <w:numPr>
          <w:ilvl w:val="0"/>
          <w:numId w:val="1"/>
        </w:numPr>
        <w:spacing w:after="10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rebalancing trigger is undocumented. Seven adjustments over 31 sessions is consistent with a threshold policy, but the threshold itself is not stated in the workbook. Absent a documented trigger, the rebalancing record cannot be independently reviewed or replicated.</w:t>
      </w:r>
    </w:p>
    <w:p>
      <w:pPr>
        <w:pStyle w:val="ListParagraph"/>
        <w:numPr>
          <w:ilvl w:val="0"/>
          <w:numId w:val="1"/>
        </w:numPr>
        <w:spacing w:after="10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Margin financing is modelled one-directional. The margin balance ran positive for most of the period and earned interest at the assumed 5% rate. A sustained adverse move would invert this into a funding cost, and no stress case tests that outcome.</w:t>
      </w:r>
    </w:p>
    <w:p>
      <w:pPr>
        <w:pStyle w:val="ListParagraph"/>
        <w:numPr>
          <w:ilvl w:val="0"/>
          <w:numId w:val="1"/>
        </w:numPr>
        <w:spacing w:after="10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hedge is first-order only. Duration-ratio sizing neutralises the linear rate exposure; convexity is unhedged. For a portfolio with a 20-year component this is a real, if second-order, residual under large moves.</w:t>
      </w:r>
    </w:p>
    <w:p>
      <w:pPr>
        <w:pBdr>
          <w:bottom w:val="single" w:color="1F3864" w:sz="8" w:space="4"/>
        </w:pBdr>
        <w:spacing w:after="160" w:before="320"/>
      </w:pPr>
      <w:r>
        <w:rPr>
          <w:rFonts w:ascii="Times New Roman" w:cs="Times New Roman" w:eastAsia="Times New Roman" w:hAnsi="Times New Roman"/>
          <w:b/>
          <w:bCs/>
          <w:caps/>
          <w:color w:val="1F3864"/>
          <w:sz w:val="22"/>
          <w:szCs w:val="22"/>
        </w:rPr>
        <w:t xml:space="preserve">8.  Caveats</w:t>
      </w:r>
    </w:p>
    <w:p>
      <w:pPr>
        <w:pStyle w:val="ListParagraph"/>
        <w:numPr>
          <w:ilvl w:val="0"/>
          <w:numId w:val="1"/>
        </w:numPr>
        <w:spacing w:after="10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portfolio, its marks and the hedging record are simulated. The exercise was prepared as a course assignment (Boston University, AD713 Derivative Securities and Markets) and for portfolio purposes.</w:t>
      </w:r>
    </w:p>
    <w:p>
      <w:pPr>
        <w:pStyle w:val="ListParagraph"/>
        <w:numPr>
          <w:ilvl w:val="0"/>
          <w:numId w:val="1"/>
        </w:numPr>
        <w:spacing w:after="10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Futures modified duration is fixed at 6.50 throughout. No cheapest-to-deliver identification or conversion-factor calculation is performed.</w:t>
      </w:r>
    </w:p>
    <w:p>
      <w:pPr>
        <w:pStyle w:val="ListParagraph"/>
        <w:numPr>
          <w:ilvl w:val="0"/>
          <w:numId w:val="1"/>
        </w:numPr>
        <w:spacing w:after="10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Transaction fees are applied per contract. No bid-offer spread, market impact or slippage is modelled.</w:t>
      </w:r>
    </w:p>
    <w:p>
      <w:pPr>
        <w:pStyle w:val="ListParagraph"/>
        <w:numPr>
          <w:ilvl w:val="0"/>
          <w:numId w:val="1"/>
        </w:numPr>
        <w:spacing w:after="10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Margin interest accrues at an assumed 5.0%. Initial and maintenance margin requirements and margin-call mechanics are not modelled.</w:t>
      </w:r>
    </w:p>
    <w:p>
      <w:pPr>
        <w:pStyle w:val="ListParagraph"/>
        <w:numPr>
          <w:ilvl w:val="0"/>
          <w:numId w:val="1"/>
        </w:numPr>
        <w:spacing w:after="10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Weekend and non-trading sessions carry the prior mark and are excluded from all deviation statistics, which are computed over 31 trading sessions only.</w:t>
      </w:r>
    </w:p>
    <w:p>
      <w:pPr>
        <w:pStyle w:val="ListParagraph"/>
        <w:numPr>
          <w:ilvl w:val="0"/>
          <w:numId w:val="1"/>
        </w:numPr>
        <w:spacing w:after="10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Yields, prices and durations are taken as given at inception. No independent term-structure model or yield-curve fitting underlies the marks.</w:t>
      </w:r>
    </w:p>
    <w:p>
      <w:pPr>
        <w:spacing w:after="200"/>
      </w:pPr>
    </w:p>
    <w:p>
      <w:pPr>
        <w:spacing w:after="120" w:before="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95959"/>
          <w:sz w:val="17"/>
          <w:szCs w:val="17"/>
        </w:rPr>
        <w:t xml:space="preserve">This memorandum is prepared for portfolio and educational purposes only. Figures are illustrative, derived from a simulated portfolio and hedging model, and do not constitute investment advice, an offer, or a solicitation with respect to any security.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before="60"/>
    </w:pPr>
    <w:r>
      <w:rPr>
        <w:rFonts w:ascii="Times New Roman" w:cs="Times New Roman" w:eastAsia="Times New Roman" w:hAnsi="Times New Roman"/>
        <w:color w:val="595959"/>
        <w:sz w:val="15"/>
        <w:szCs w:val="15"/>
      </w:rPr>
      <w:t xml:space="preserve">Deal Intelligence Lab — Draft for portfolio purposes only</w:t>
    </w:r>
    <w:r>
      <w:rPr>
        <w:rFonts w:ascii="Times New Roman" w:cs="Times New Roman" w:eastAsia="Times New Roman" w:hAnsi="Times New Roman"/>
        <w:sz w:val="15"/>
        <w:szCs w:val="15"/>
      </w:rPr>
      <w:ptab w:alignment="right" w:relativeTo="margin" w:leader="none"/>
    </w:r>
    <w:r>
      <w:rPr>
        <w:rFonts w:ascii="Times New Roman" w:cs="Times New Roman" w:eastAsia="Times New Roman" w:hAnsi="Times New Roman"/>
        <w:color w:val="595959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spacing w:after="60"/>
    </w:pPr>
    <w:r>
      <w:rPr>
        <w:rFonts w:ascii="Times New Roman" w:cs="Times New Roman" w:eastAsia="Times New Roman" w:hAnsi="Times New Roman"/>
        <w:b/>
        <w:bCs/>
        <w:color w:val="595959"/>
        <w:sz w:val="16"/>
        <w:szCs w:val="16"/>
      </w:rPr>
      <w:t xml:space="preserve">STRICTLY PRIVATE AND CONFIDENTIAL</w:t>
    </w:r>
    <w:r>
      <w:rPr>
        <w:rFonts w:ascii="Times New Roman" w:cs="Times New Roman" w:eastAsia="Times New Roman" w:hAnsi="Times New Roman"/>
        <w:sz w:val="16"/>
        <w:szCs w:val="16"/>
      </w:rPr>
      <w:ptab w:alignment="right" w:relativeTo="margin" w:leader="none"/>
    </w:r>
    <w:r>
      <w:rPr>
        <w:rFonts w:ascii="Times New Roman" w:cs="Times New Roman" w:eastAsia="Times New Roman" w:hAnsi="Times New Roman"/>
        <w:i/>
        <w:iCs/>
        <w:color w:val="595959"/>
        <w:sz w:val="16"/>
        <w:szCs w:val="16"/>
      </w:rPr>
      <w:t xml:space="preserve">Hedge Performance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Hedge Performance Review — $100mm Treasury Portfolio</dc:title>
  <dc:creator>Tejasvi Gupta</dc:creator>
  <dc:description>Duration-neutral hedge performance review</dc:description>
  <cp:lastModifiedBy>Un-named</cp:lastModifiedBy>
  <cp:revision>1</cp:revision>
  <dcterms:created xsi:type="dcterms:W3CDTF">2026-07-26T00:08:00.109Z</dcterms:created>
  <dcterms:modified xsi:type="dcterms:W3CDTF">2026-07-26T00:08:00.127Z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