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1F3864"/>
          <w:sz w:val="32"/>
          <w:szCs w:val="32"/>
        </w:rPr>
        <w:t xml:space="preserve">STRATEGY PERFORMANCE REVIEW</w:t>
      </w:r>
    </w:p>
    <w:p>
      <w:pPr>
        <w:spacing w:after="240"/>
      </w:pPr>
      <w:r>
        <w:rPr>
          <w:rFonts w:ascii="Times New Roman" w:cs="Times New Roman" w:eastAsia="Times New Roman" w:hAnsi="Times New Roman"/>
          <w:i/>
          <w:iCs/>
          <w:color w:val="595959"/>
          <w:sz w:val="22"/>
          <w:szCs w:val="22"/>
        </w:rPr>
        <w:t xml:space="preserve">Short S&amp;P 500 Index Strangle — Trade Review and Risk Governance Assessment</w:t>
      </w:r>
    </w:p>
    <w:tbl>
      <w:tblPr>
        <w:tblW w:type="dxa" w:w="9360"/>
        <w:tblBorders>
          <w:top w:val="single" w:color="BFBFBF" w:sz="4"/>
          <w:left w:val="none"/>
          <w:bottom w:val="single" w:color="BFBFBF" w:sz="4"/>
          <w:right w:val="none"/>
          <w:insideH w:val="single" w:color="D9D9D9" w:sz="2"/>
          <w:insideV w:val="none"/>
        </w:tblBorders>
      </w:tblPr>
      <w:tblGrid>
        <w:gridCol w:w="2600"/>
        <w:gridCol w:w="6760"/>
      </w:tblGrid>
      <w:tr>
        <w:tc>
          <w:tcPr>
            <w:tcW w:type="dxa" w:w="26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Prepared for</w:t>
            </w:r>
          </w:p>
        </w:tc>
        <w:tc>
          <w:tcPr>
            <w:tcW w:type="dxa" w:w="6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Derivatives Risk Committee</w:t>
            </w:r>
          </w:p>
        </w:tc>
      </w:tr>
      <w:tr>
        <w:tc>
          <w:tcPr>
            <w:tcW w:type="dxa" w:w="26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Prepared by</w:t>
            </w:r>
          </w:p>
        </w:tc>
        <w:tc>
          <w:tcPr>
            <w:tcW w:type="dxa" w:w="67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Volatility Strategies — Portfolio Analysis</w:t>
            </w:r>
          </w:p>
        </w:tc>
      </w:tr>
      <w:tr>
        <w:tc>
          <w:tcPr>
            <w:tcW w:type="dxa" w:w="26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Date</w:t>
            </w:r>
          </w:p>
        </w:tc>
        <w:tc>
          <w:tcPr>
            <w:tcW w:type="dxa" w:w="6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25 July 2026</w:t>
            </w:r>
          </w:p>
        </w:tc>
      </w:tr>
      <w:tr>
        <w:tc>
          <w:tcPr>
            <w:tcW w:type="dxa" w:w="26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Mandate</w:t>
            </w:r>
          </w:p>
        </w:tc>
        <w:tc>
          <w:tcPr>
            <w:tcW w:type="dxa" w:w="67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Monetise elevated implied volatility via a short index strangle</w:t>
            </w:r>
          </w:p>
        </w:tc>
      </w:tr>
      <w:tr>
        <w:tc>
          <w:tcPr>
            <w:tcW w:type="dxa" w:w="26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Trading period</w:t>
            </w:r>
          </w:p>
        </w:tc>
        <w:tc>
          <w:tcPr>
            <w:tcW w:type="dxa" w:w="6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26 March – 24 April 2026 (21 trading sessions)</w:t>
            </w:r>
          </w:p>
        </w:tc>
      </w:tr>
      <w:tr>
        <w:tc>
          <w:tcPr>
            <w:tcW w:type="dxa" w:w="26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Instrument</w:t>
            </w:r>
          </w:p>
        </w:tc>
        <w:tc>
          <w:tcPr>
            <w:tcW w:type="dxa" w:w="67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S&amp;P 500 Index (SPX) options, 16 May 2026 expiry</w:t>
            </w:r>
          </w:p>
        </w:tc>
      </w:tr>
      <w:tr>
        <w:tc>
          <w:tcPr>
            <w:tcW w:type="dxa" w:w="26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Conclusion</w:t>
            </w:r>
          </w:p>
        </w:tc>
        <w:tc>
          <w:tcPr>
            <w:tcW w:type="dxa" w:w="6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P&amp;L OBJECTIVE MET — directional thesis invalidated; see Section 6</w:t>
            </w:r>
          </w:p>
        </w:tc>
      </w:tr>
    </w:tbl>
    <w:p>
      <w:pPr>
        <w:pBdr>
          <w:bottom w:val="single" w:color="1F3864" w:sz="8" w:space="4"/>
        </w:pBdr>
        <w:spacing w:after="140" w:before="250"/>
      </w:pPr>
      <w:r>
        <w:rPr>
          <w:rFonts w:ascii="Times New Roman" w:cs="Times New Roman" w:eastAsia="Times New Roman" w:hAnsi="Times New Roman"/>
          <w:b/>
          <w:bCs/>
          <w:caps/>
          <w:color w:val="1F3864"/>
          <w:sz w:val="22"/>
          <w:szCs w:val="22"/>
        </w:rPr>
        <w:t xml:space="preserve">1.  Summary</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The strategy sold a 6385 put and a 6595 call on the S&amp;P 500 Index for 16 May 2026 expiry, collecting $453.70 of net premium against a view that the index would remain range-bound between roughly 6,365 and 6,615 through expiry. Implied volatility was elevated — VIX 25–30 on Middle East conflict risk — and the geopolitical premium was judged to be fully priced.</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The position closed the review period at +$135.31, or 29.8% of premium collected, over 21 trading sessions. Portfolio delta was managed against a stated ±0.20 band, with a call roll executed on 6 April and a risk-reducing close on 9 April.</w:t>
      </w:r>
    </w:p>
    <w:p>
      <w:pPr>
        <w:pBdr>
          <w:top w:val="single" w:color="1F3864" w:sz="6" w:space="6"/>
          <w:bottom w:val="single" w:color="1F3864" w:sz="6" w:space="6"/>
        </w:pBdr>
        <w:spacing w:after="200" w:before="200" w:line="260"/>
      </w:pPr>
      <w:r>
        <w:rPr>
          <w:rFonts w:ascii="Times New Roman" w:cs="Times New Roman" w:eastAsia="Times New Roman" w:hAnsi="Times New Roman"/>
          <w:b/>
          <w:bCs/>
          <w:color w:val="1F3864"/>
          <w:sz w:val="20"/>
          <w:szCs w:val="20"/>
        </w:rPr>
        <w:t xml:space="preserve">The return is real, but it was not earned by the thesis. The index finished at 7,165.08 — above the upper break-even of 7,048.70 — so the position as originally structured was a loss-maker. The gain is attributable to active risk management, not to the market view.</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Section 6 quantifies this. Had the rolled 6625 call been held to the end of the review period rather than closed on 9 April, the book would have finished at approximately negative $124.19. The decision to close was worth $259.50 — materially more than the estimated $30–40 cost of the one-session delay that the internal retrospective identifies as its principal finding. Two governance items also require correction: the ±0.20 delta band was breached on five of twenty-one sessions rather than the single session recorded, and the execution count is stated inconsistently between the blotter and the summary sheets.</w:t>
      </w:r>
    </w:p>
    <w:p>
      <w:pPr>
        <w:pBdr>
          <w:bottom w:val="single" w:color="1F3864" w:sz="8" w:space="4"/>
        </w:pBdr>
        <w:spacing w:after="140" w:before="250"/>
      </w:pPr>
      <w:r>
        <w:rPr>
          <w:rFonts w:ascii="Times New Roman" w:cs="Times New Roman" w:eastAsia="Times New Roman" w:hAnsi="Times New Roman"/>
          <w:b/>
          <w:bCs/>
          <w:caps/>
          <w:color w:val="1F3864"/>
          <w:sz w:val="22"/>
          <w:szCs w:val="22"/>
        </w:rPr>
        <w:t xml:space="preserve">2.  Mandate and Position</w:t>
      </w:r>
    </w:p>
    <w:p>
      <w:pPr>
        <w:spacing w:after="90" w:before="200"/>
      </w:pPr>
      <w:r>
        <w:rPr>
          <w:rFonts w:ascii="Times New Roman" w:cs="Times New Roman" w:eastAsia="Times New Roman" w:hAnsi="Times New Roman"/>
          <w:b/>
          <w:bCs/>
          <w:i/>
          <w:iCs/>
          <w:color w:val="1F3864"/>
          <w:sz w:val="20"/>
          <w:szCs w:val="20"/>
        </w:rPr>
        <w:t xml:space="preserve">2.1  Market view</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The index was expected to hold a range of approximately 6,365 to 6,615 through the 16 May expiry. Elevated implied volatility relative to anticipated realised volatility was the source of edge; the objective was to monetise that spread and collect time decay on both legs, with no net directional exposure at initiation.</w:t>
      </w:r>
    </w:p>
    <w:p>
      <w:pPr>
        <w:spacing w:after="90" w:before="200"/>
      </w:pPr>
      <w:r>
        <w:rPr>
          <w:rFonts w:ascii="Times New Roman" w:cs="Times New Roman" w:eastAsia="Times New Roman" w:hAnsi="Times New Roman"/>
          <w:b/>
          <w:bCs/>
          <w:i/>
          <w:iCs/>
          <w:color w:val="1F3864"/>
          <w:sz w:val="20"/>
          <w:szCs w:val="20"/>
        </w:rPr>
        <w:t xml:space="preserve">2.2  Initial positions — executed 27 March 2026 at end-of-day marks</w:t>
      </w:r>
    </w:p>
    <w:tbl>
      <w:tblPr>
        <w:tblW w:type="dxa" w:w="9360"/>
        <w:tblBorders>
          <w:top w:val="single" w:color="BFBFBF" w:sz="4"/>
          <w:left w:val="none"/>
          <w:bottom w:val="single" w:color="BFBFBF" w:sz="4"/>
          <w:right w:val="none"/>
          <w:insideH w:val="single" w:color="D9D9D9" w:sz="2"/>
          <w:insideV w:val="none"/>
        </w:tblBorders>
      </w:tblPr>
      <w:tblGrid>
        <w:gridCol w:w="900"/>
        <w:gridCol w:w="1000"/>
        <w:gridCol w:w="1100"/>
        <w:gridCol w:w="1000"/>
        <w:gridCol w:w="1560"/>
        <w:gridCol w:w="1400"/>
        <w:gridCol w:w="2400"/>
      </w:tblGrid>
      <w:tr>
        <w:trPr>
          <w:tblHeader/>
        </w:trPr>
        <w:tc>
          <w:tcPr>
            <w:tcW w:type="dxa" w:w="900"/>
            <w:shd w:fill="1F3864"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FFFFFF"/>
                <w:sz w:val="18"/>
                <w:szCs w:val="18"/>
              </w:rPr>
              <w:t xml:space="preserve">Leg</w:t>
            </w:r>
          </w:p>
        </w:tc>
        <w:tc>
          <w:tcPr>
            <w:tcW w:type="dxa" w:w="10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Type</w:t>
            </w:r>
          </w:p>
        </w:tc>
        <w:tc>
          <w:tcPr>
            <w:tcW w:type="dxa" w:w="11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Strike</w:t>
            </w:r>
          </w:p>
        </w:tc>
        <w:tc>
          <w:tcPr>
            <w:tcW w:type="dxa" w:w="10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Qty</w:t>
            </w:r>
          </w:p>
        </w:tc>
        <w:tc>
          <w:tcPr>
            <w:tcW w:type="dxa" w:w="156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Premium ($)</w:t>
            </w:r>
          </w:p>
        </w:tc>
        <w:tc>
          <w:tcPr>
            <w:tcW w:type="dxa" w:w="14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IV at entry</w:t>
            </w:r>
          </w:p>
        </w:tc>
        <w:tc>
          <w:tcPr>
            <w:tcW w:type="dxa" w:w="24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Expiry</w:t>
            </w:r>
          </w:p>
        </w:tc>
      </w:tr>
      <w:tr>
        <w:tc>
          <w:tcPr>
            <w:tcW w:type="dxa" w:w="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1</w:t>
            </w:r>
          </w:p>
        </w:tc>
        <w:tc>
          <w:tcPr>
            <w:tcW w:type="dxa" w:w="10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Put</w:t>
            </w:r>
          </w:p>
        </w:tc>
        <w:tc>
          <w:tcPr>
            <w:tcW w:type="dxa" w:w="11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6,385</w:t>
            </w:r>
          </w:p>
        </w:tc>
        <w:tc>
          <w:tcPr>
            <w:tcW w:type="dxa" w:w="10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w:t>
            </w:r>
          </w:p>
        </w:tc>
        <w:tc>
          <w:tcPr>
            <w:tcW w:type="dxa" w:w="156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226.20</w:t>
            </w:r>
          </w:p>
        </w:tc>
        <w:tc>
          <w:tcPr>
            <w:tcW w:type="dxa" w:w="14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25.15%</w:t>
            </w:r>
          </w:p>
        </w:tc>
        <w:tc>
          <w:tcPr>
            <w:tcW w:type="dxa" w:w="24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16 May 2026</w:t>
            </w:r>
          </w:p>
        </w:tc>
      </w:tr>
      <w:tr>
        <w:tc>
          <w:tcPr>
            <w:tcW w:type="dxa" w:w="9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2</w:t>
            </w:r>
          </w:p>
        </w:tc>
        <w:tc>
          <w:tcPr>
            <w:tcW w:type="dxa" w:w="10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Call</w:t>
            </w:r>
          </w:p>
        </w:tc>
        <w:tc>
          <w:tcPr>
            <w:tcW w:type="dxa" w:w="11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6,595</w:t>
            </w:r>
          </w:p>
        </w:tc>
        <w:tc>
          <w:tcPr>
            <w:tcW w:type="dxa" w:w="10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w:t>
            </w:r>
          </w:p>
        </w:tc>
        <w:tc>
          <w:tcPr>
            <w:tcW w:type="dxa" w:w="156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227.50</w:t>
            </w:r>
          </w:p>
        </w:tc>
        <w:tc>
          <w:tcPr>
            <w:tcW w:type="dxa" w:w="14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20.79%</w:t>
            </w:r>
          </w:p>
        </w:tc>
        <w:tc>
          <w:tcPr>
            <w:tcW w:type="dxa" w:w="24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16 May 2026</w:t>
            </w:r>
          </w:p>
        </w:tc>
      </w:tr>
      <w:tr>
        <w:tc>
          <w:tcPr>
            <w:tcW w:type="dxa" w:w="900"/>
            <w:shd w:fill="E8EDF5"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000000"/>
                <w:sz w:val="18"/>
                <w:szCs w:val="18"/>
              </w:rPr>
              <w:t xml:space="preserve">Net</w:t>
            </w:r>
          </w:p>
        </w:tc>
        <w:tc>
          <w:tcPr>
            <w:tcW w:type="dxa" w:w="10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w:t>
            </w:r>
          </w:p>
        </w:tc>
        <w:tc>
          <w:tcPr>
            <w:tcW w:type="dxa" w:w="11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w:t>
            </w:r>
          </w:p>
        </w:tc>
        <w:tc>
          <w:tcPr>
            <w:tcW w:type="dxa" w:w="10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w:t>
            </w:r>
          </w:p>
        </w:tc>
        <w:tc>
          <w:tcPr>
            <w:tcW w:type="dxa" w:w="156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453.70</w:t>
            </w:r>
          </w:p>
        </w:tc>
        <w:tc>
          <w:tcPr>
            <w:tcW w:type="dxa" w:w="14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w:t>
            </w:r>
          </w:p>
        </w:tc>
        <w:tc>
          <w:tcPr>
            <w:tcW w:type="dxa" w:w="24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w:t>
            </w:r>
          </w:p>
        </w:tc>
      </w:tr>
    </w:tbl>
    <w:p>
      <w:pPr>
        <w:spacing w:after="120"/>
      </w:pPr>
    </w:p>
    <w:p>
      <w:pPr>
        <w:spacing w:after="90" w:before="200"/>
      </w:pPr>
      <w:r>
        <w:rPr>
          <w:rFonts w:ascii="Times New Roman" w:cs="Times New Roman" w:eastAsia="Times New Roman" w:hAnsi="Times New Roman"/>
          <w:b/>
          <w:bCs/>
          <w:i/>
          <w:iCs/>
          <w:color w:val="1F3864"/>
          <w:sz w:val="20"/>
          <w:szCs w:val="20"/>
        </w:rPr>
        <w:t xml:space="preserve">2.3  Position economics at initiation</w:t>
      </w:r>
    </w:p>
    <w:tbl>
      <w:tblPr>
        <w:tblW w:type="dxa" w:w="9360"/>
        <w:tblBorders>
          <w:top w:val="single" w:color="BFBFBF" w:sz="4"/>
          <w:left w:val="none"/>
          <w:bottom w:val="single" w:color="BFBFBF" w:sz="4"/>
          <w:right w:val="none"/>
          <w:insideH w:val="single" w:color="D9D9D9" w:sz="2"/>
          <w:insideV w:val="none"/>
        </w:tblBorders>
      </w:tblPr>
      <w:tblGrid>
        <w:gridCol w:w="3500"/>
        <w:gridCol w:w="1900"/>
        <w:gridCol w:w="3960"/>
      </w:tblGrid>
      <w:tr>
        <w:tc>
          <w:tcPr>
            <w:tcW w:type="dxa" w:w="35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Net premium collected</w:t>
            </w:r>
          </w:p>
        </w:tc>
        <w:tc>
          <w:tcPr>
            <w:tcW w:type="dxa" w:w="19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$453.70</w:t>
            </w:r>
          </w:p>
        </w:tc>
        <w:tc>
          <w:tcPr>
            <w:tcW w:type="dxa" w:w="39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Both short legs</w:t>
            </w:r>
          </w:p>
        </w:tc>
      </w:tr>
      <w:tr>
        <w:tc>
          <w:tcPr>
            <w:tcW w:type="dxa" w:w="35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Lower break-even</w:t>
            </w:r>
          </w:p>
        </w:tc>
        <w:tc>
          <w:tcPr>
            <w:tcW w:type="dxa" w:w="19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5,931.30</w:t>
            </w:r>
          </w:p>
        </w:tc>
        <w:tc>
          <w:tcPr>
            <w:tcW w:type="dxa" w:w="39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Put strike less net premium</w:t>
            </w:r>
          </w:p>
        </w:tc>
      </w:tr>
      <w:tr>
        <w:tc>
          <w:tcPr>
            <w:tcW w:type="dxa" w:w="35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Upper break-even</w:t>
            </w:r>
          </w:p>
        </w:tc>
        <w:tc>
          <w:tcPr>
            <w:tcW w:type="dxa" w:w="19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7,048.70</w:t>
            </w:r>
          </w:p>
        </w:tc>
        <w:tc>
          <w:tcPr>
            <w:tcW w:type="dxa" w:w="39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Call strike plus net premium</w:t>
            </w:r>
          </w:p>
        </w:tc>
      </w:tr>
      <w:tr>
        <w:tc>
          <w:tcPr>
            <w:tcW w:type="dxa" w:w="35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Profitable range at expiry</w:t>
            </w:r>
          </w:p>
        </w:tc>
        <w:tc>
          <w:tcPr>
            <w:tcW w:type="dxa" w:w="19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1,117.40 pts</w:t>
            </w:r>
          </w:p>
        </w:tc>
        <w:tc>
          <w:tcPr>
            <w:tcW w:type="dxa" w:w="39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17.5% of spot at entry</w:t>
            </w:r>
          </w:p>
        </w:tc>
      </w:tr>
      <w:tr>
        <w:tc>
          <w:tcPr>
            <w:tcW w:type="dxa" w:w="35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Maximum profit at expiry</w:t>
            </w:r>
          </w:p>
        </w:tc>
        <w:tc>
          <w:tcPr>
            <w:tcW w:type="dxa" w:w="19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$453.70</w:t>
            </w:r>
          </w:p>
        </w:tc>
        <w:tc>
          <w:tcPr>
            <w:tcW w:type="dxa" w:w="39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If 6,385 &lt; S &lt; 6,595</w:t>
            </w:r>
          </w:p>
        </w:tc>
      </w:tr>
      <w:tr>
        <w:tc>
          <w:tcPr>
            <w:tcW w:type="dxa" w:w="35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Maximum loss</w:t>
            </w:r>
          </w:p>
        </w:tc>
        <w:tc>
          <w:tcPr>
            <w:tcW w:type="dxa" w:w="19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Unlimited</w:t>
            </w:r>
          </w:p>
        </w:tc>
        <w:tc>
          <w:tcPr>
            <w:tcW w:type="dxa" w:w="39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Undefined risk on both tails</w:t>
            </w:r>
          </w:p>
        </w:tc>
      </w:tr>
    </w:tbl>
    <w:p>
      <w:pPr>
        <w:spacing w:after="80"/>
      </w:pPr>
    </w:p>
    <w:p>
      <w:pPr>
        <w:spacing w:after="120" w:before="0" w:line="260"/>
        <w:jc w:val="left"/>
      </w:pPr>
      <w:r>
        <w:rPr>
          <w:rFonts w:ascii="Times New Roman" w:cs="Times New Roman" w:eastAsia="Times New Roman" w:hAnsi="Times New Roman"/>
          <w:b w:val="false"/>
          <w:bCs w:val="false"/>
          <w:i/>
          <w:iCs/>
          <w:color w:val="595959"/>
          <w:sz w:val="19"/>
          <w:szCs w:val="19"/>
        </w:rPr>
        <w:t xml:space="preserve">The index closed the review period at 7,165.08, some 116 points above the upper break-even and 570 points above the original call strike. The structure was undefined-risk on both tails, which is the origin of the governance question in Section 6.3.</w:t>
      </w:r>
    </w:p>
    <w:p>
      <w:pPr>
        <w:spacing w:after="90" w:before="200"/>
      </w:pPr>
      <w:r>
        <w:rPr>
          <w:rFonts w:ascii="Times New Roman" w:cs="Times New Roman" w:eastAsia="Times New Roman" w:hAnsi="Times New Roman"/>
          <w:b/>
          <w:bCs/>
          <w:i/>
          <w:iCs/>
          <w:color w:val="1F3864"/>
          <w:sz w:val="20"/>
          <w:szCs w:val="20"/>
        </w:rPr>
        <w:t xml:space="preserve">2.4  Hedge policy stated ex ante</w:t>
      </w:r>
    </w:p>
    <w:p>
      <w:pPr>
        <w:pStyle w:val="ListParagraph"/>
        <w:numPr>
          <w:ilvl w:val="0"/>
          <w:numId w:val="1"/>
        </w:numPr>
        <w:spacing w:after="70" w:line="250"/>
      </w:pPr>
      <w:r>
        <w:rPr>
          <w:rFonts w:ascii="Times New Roman" w:cs="Times New Roman" w:eastAsia="Times New Roman" w:hAnsi="Times New Roman"/>
          <w:sz w:val="20"/>
          <w:szCs w:val="20"/>
        </w:rPr>
        <w:t xml:space="preserve">Monitor portfolio delta daily against end-of-day marks and updated implied volatilities.</w:t>
      </w:r>
    </w:p>
    <w:p>
      <w:pPr>
        <w:pStyle w:val="ListParagraph"/>
        <w:numPr>
          <w:ilvl w:val="0"/>
          <w:numId w:val="1"/>
        </w:numPr>
        <w:spacing w:after="70" w:line="250"/>
      </w:pPr>
      <w:r>
        <w:rPr>
          <w:rFonts w:ascii="Times New Roman" w:cs="Times New Roman" w:eastAsia="Times New Roman" w:hAnsi="Times New Roman"/>
          <w:sz w:val="20"/>
          <w:szCs w:val="20"/>
        </w:rPr>
        <w:t xml:space="preserve">If absolute portfolio delta exceeds 0.20, evaluate and execute an adjustment — roll, partial close, or full close.</w:t>
      </w:r>
    </w:p>
    <w:p>
      <w:pPr>
        <w:pStyle w:val="ListParagraph"/>
        <w:numPr>
          <w:ilvl w:val="0"/>
          <w:numId w:val="1"/>
        </w:numPr>
        <w:spacing w:after="70" w:line="250"/>
      </w:pPr>
      <w:r>
        <w:rPr>
          <w:rFonts w:ascii="Times New Roman" w:cs="Times New Roman" w:eastAsia="Times New Roman" w:hAnsi="Times New Roman"/>
          <w:sz w:val="20"/>
          <w:szCs w:val="20"/>
        </w:rPr>
        <w:t xml:space="preserve">If spot approaches either strike within 50 points, evaluate rolling that leg further out-of-the-money.</w:t>
      </w:r>
    </w:p>
    <w:p>
      <w:pPr>
        <w:pStyle w:val="ListParagraph"/>
        <w:numPr>
          <w:ilvl w:val="0"/>
          <w:numId w:val="1"/>
        </w:numPr>
        <w:spacing w:after="70" w:line="250"/>
      </w:pPr>
      <w:r>
        <w:rPr>
          <w:rFonts w:ascii="Times New Roman" w:cs="Times New Roman" w:eastAsia="Times New Roman" w:hAnsi="Times New Roman"/>
          <w:sz w:val="20"/>
          <w:szCs w:val="20"/>
        </w:rPr>
        <w:t xml:space="preserve">If a strike is breached, close or roll the breached leg; do not add to losing legs.</w:t>
      </w:r>
    </w:p>
    <w:p>
      <w:pPr>
        <w:pStyle w:val="ListParagraph"/>
        <w:numPr>
          <w:ilvl w:val="0"/>
          <w:numId w:val="1"/>
        </w:numPr>
        <w:spacing w:after="70" w:line="250"/>
      </w:pPr>
      <w:r>
        <w:rPr>
          <w:rFonts w:ascii="Times New Roman" w:cs="Times New Roman" w:eastAsia="Times New Roman" w:hAnsi="Times New Roman"/>
          <w:sz w:val="20"/>
          <w:szCs w:val="20"/>
        </w:rPr>
        <w:t xml:space="preserve">Tighten the delta band to ±0.10 in the final two weeks as gamma rises into expiry.</w:t>
      </w:r>
    </w:p>
    <w:p>
      <w:pPr>
        <w:pBdr>
          <w:bottom w:val="single" w:color="1F3864" w:sz="8" w:space="4"/>
        </w:pBdr>
        <w:spacing w:after="140" w:before="250"/>
      </w:pPr>
      <w:r>
        <w:rPr>
          <w:rFonts w:ascii="Times New Roman" w:cs="Times New Roman" w:eastAsia="Times New Roman" w:hAnsi="Times New Roman"/>
          <w:b/>
          <w:bCs/>
          <w:caps/>
          <w:color w:val="1F3864"/>
          <w:sz w:val="22"/>
          <w:szCs w:val="22"/>
        </w:rPr>
        <w:t xml:space="preserve">3.  Pricing Framework</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Options are valued using Black-Scholes-Merton for European index options with a continuous dividend yield, discounted at a continuously compounded risk-free rate. The engine generated the daily delta and theta marks used throughout the monitoring period, and put-call parity is verified by construction.</w:t>
      </w:r>
    </w:p>
    <w:tbl>
      <w:tblPr>
        <w:tblW w:type="dxa" w:w="9360"/>
        <w:tblBorders>
          <w:top w:val="single" w:color="BFBFBF" w:sz="4"/>
          <w:left w:val="none"/>
          <w:bottom w:val="single" w:color="BFBFBF" w:sz="4"/>
          <w:right w:val="none"/>
          <w:insideH w:val="single" w:color="D9D9D9" w:sz="2"/>
          <w:insideV w:val="none"/>
        </w:tblBorders>
      </w:tblPr>
      <w:tblGrid>
        <w:gridCol w:w="3400"/>
        <w:gridCol w:w="5960"/>
      </w:tblGrid>
      <w:tr>
        <w:tc>
          <w:tcPr>
            <w:tcW w:type="dxa" w:w="3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Model</w:t>
            </w:r>
          </w:p>
        </w:tc>
        <w:tc>
          <w:tcPr>
            <w:tcW w:type="dxa" w:w="59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Black-Scholes-Merton, European index options</w:t>
            </w:r>
          </w:p>
        </w:tc>
      </w:tr>
      <w:tr>
        <w:tc>
          <w:tcPr>
            <w:tcW w:type="dxa" w:w="34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Risk-free rate (r)</w:t>
            </w:r>
          </w:p>
        </w:tc>
        <w:tc>
          <w:tcPr>
            <w:tcW w:type="dxa" w:w="59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4.30% continuously compounded</w:t>
            </w:r>
          </w:p>
        </w:tc>
      </w:tr>
      <w:tr>
        <w:tc>
          <w:tcPr>
            <w:tcW w:type="dxa" w:w="3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Dividend yield (q)</w:t>
            </w:r>
          </w:p>
        </w:tc>
        <w:tc>
          <w:tcPr>
            <w:tcW w:type="dxa" w:w="59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1.30% continuous</w:t>
            </w:r>
          </w:p>
        </w:tc>
      </w:tr>
      <w:tr>
        <w:tc>
          <w:tcPr>
            <w:tcW w:type="dxa" w:w="34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Volatility input</w:t>
            </w:r>
          </w:p>
        </w:tc>
        <w:tc>
          <w:tcPr>
            <w:tcW w:type="dxa" w:w="59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Posted end-of-day implied volatility per leg</w:t>
            </w:r>
          </w:p>
        </w:tc>
      </w:tr>
      <w:tr>
        <w:tc>
          <w:tcPr>
            <w:tcW w:type="dxa" w:w="3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Greeks convention</w:t>
            </w:r>
          </w:p>
        </w:tc>
        <w:tc>
          <w:tcPr>
            <w:tcW w:type="dxa" w:w="59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Delta and gamma per index point; vega per 1 vol point; theta per calendar day</w:t>
            </w:r>
          </w:p>
        </w:tc>
      </w:tr>
      <w:tr>
        <w:tc>
          <w:tcPr>
            <w:tcW w:type="dxa" w:w="34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Parity check</w:t>
            </w:r>
          </w:p>
        </w:tc>
        <w:tc>
          <w:tcPr>
            <w:tcW w:type="dxa" w:w="59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C − P = S·e^(−qT) − K·e^(−rT), verified at each revaluation</w:t>
            </w:r>
          </w:p>
        </w:tc>
      </w:tr>
    </w:tbl>
    <w:p>
      <w:pPr>
        <w:spacing w:after="80"/>
      </w:pPr>
    </w:p>
    <w:p>
      <w:pPr>
        <w:spacing w:after="120" w:before="0" w:line="260"/>
        <w:jc w:val="left"/>
      </w:pPr>
      <w:r>
        <w:rPr>
          <w:rFonts w:ascii="Times New Roman" w:cs="Times New Roman" w:eastAsia="Times New Roman" w:hAnsi="Times New Roman"/>
          <w:b w:val="false"/>
          <w:bCs w:val="false"/>
          <w:i/>
          <w:iCs/>
          <w:color w:val="595959"/>
          <w:sz w:val="19"/>
          <w:szCs w:val="19"/>
        </w:rPr>
        <w:t xml:space="preserve">A single implied volatility is applied per leg rather than a fitted surface, so skew and term structure are not modelled. This is adequate for position monitoring at posted marks but would understate risk on a book with strike dispersion.</w:t>
      </w:r>
    </w:p>
    <w:p>
      <w:pPr>
        <w:pBdr>
          <w:bottom w:val="single" w:color="1F3864" w:sz="8" w:space="4"/>
        </w:pBdr>
        <w:spacing w:after="140" w:before="250"/>
      </w:pPr>
      <w:r>
        <w:rPr>
          <w:rFonts w:ascii="Times New Roman" w:cs="Times New Roman" w:eastAsia="Times New Roman" w:hAnsi="Times New Roman"/>
          <w:b/>
          <w:bCs/>
          <w:caps/>
          <w:color w:val="1F3864"/>
          <w:sz w:val="22"/>
          <w:szCs w:val="22"/>
        </w:rPr>
        <w:t xml:space="preserve">4.  Execution</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Five option executions were recorded across three trade events: the strangle entry on 27 March, a call roll on 6 April, and a risk-reducing close on 9 April.</w:t>
      </w:r>
    </w:p>
    <w:tbl>
      <w:tblPr>
        <w:tblW w:type="dxa" w:w="9360"/>
        <w:tblBorders>
          <w:top w:val="single" w:color="BFBFBF" w:sz="4"/>
          <w:left w:val="none"/>
          <w:bottom w:val="single" w:color="BFBFBF" w:sz="4"/>
          <w:right w:val="none"/>
          <w:insideH w:val="single" w:color="D9D9D9" w:sz="2"/>
          <w:insideV w:val="none"/>
        </w:tblBorders>
      </w:tblPr>
      <w:tblGrid>
        <w:gridCol w:w="1150"/>
        <w:gridCol w:w="1300"/>
        <w:gridCol w:w="900"/>
        <w:gridCol w:w="800"/>
        <w:gridCol w:w="1300"/>
        <w:gridCol w:w="1300"/>
        <w:gridCol w:w="2610"/>
      </w:tblGrid>
      <w:tr>
        <w:trPr>
          <w:tblHeader/>
        </w:trPr>
        <w:tc>
          <w:tcPr>
            <w:tcW w:type="dxa" w:w="1150"/>
            <w:shd w:fill="1F3864"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FFFFFF"/>
                <w:sz w:val="18"/>
                <w:szCs w:val="18"/>
              </w:rPr>
              <w:t xml:space="preserve">Date</w:t>
            </w:r>
          </w:p>
        </w:tc>
        <w:tc>
          <w:tcPr>
            <w:tcW w:type="dxa" w:w="13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Action</w:t>
            </w:r>
          </w:p>
        </w:tc>
        <w:tc>
          <w:tcPr>
            <w:tcW w:type="dxa" w:w="9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Strike</w:t>
            </w:r>
          </w:p>
        </w:tc>
        <w:tc>
          <w:tcPr>
            <w:tcW w:type="dxa" w:w="8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Qty</w:t>
            </w:r>
          </w:p>
        </w:tc>
        <w:tc>
          <w:tcPr>
            <w:tcW w:type="dxa" w:w="13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Price ($)</w:t>
            </w:r>
          </w:p>
        </w:tc>
        <w:tc>
          <w:tcPr>
            <w:tcW w:type="dxa" w:w="13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S&amp;P ref</w:t>
            </w:r>
          </w:p>
        </w:tc>
        <w:tc>
          <w:tcPr>
            <w:tcW w:type="dxa" w:w="261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Realised P&amp;L ($)</w:t>
            </w:r>
          </w:p>
        </w:tc>
      </w:tr>
      <w:tr>
        <w:tc>
          <w:tcPr>
            <w:tcW w:type="dxa" w:w="11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27 Mar</w:t>
            </w:r>
          </w:p>
        </w:tc>
        <w:tc>
          <w:tcPr>
            <w:tcW w:type="dxa" w:w="13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Open put</w:t>
            </w:r>
          </w:p>
        </w:tc>
        <w:tc>
          <w:tcPr>
            <w:tcW w:type="dxa" w:w="9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6,385</w:t>
            </w:r>
          </w:p>
        </w:tc>
        <w:tc>
          <w:tcPr>
            <w:tcW w:type="dxa" w:w="8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w:t>
            </w:r>
          </w:p>
        </w:tc>
        <w:tc>
          <w:tcPr>
            <w:tcW w:type="dxa" w:w="13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226.20</w:t>
            </w:r>
          </w:p>
        </w:tc>
        <w:tc>
          <w:tcPr>
            <w:tcW w:type="dxa" w:w="13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6,368.85</w:t>
            </w:r>
          </w:p>
        </w:tc>
        <w:tc>
          <w:tcPr>
            <w:tcW w:type="dxa" w:w="261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w:t>
            </w:r>
          </w:p>
        </w:tc>
      </w:tr>
      <w:tr>
        <w:tc>
          <w:tcPr>
            <w:tcW w:type="dxa" w:w="115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27 Mar</w:t>
            </w:r>
          </w:p>
        </w:tc>
        <w:tc>
          <w:tcPr>
            <w:tcW w:type="dxa" w:w="13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Open call</w:t>
            </w:r>
          </w:p>
        </w:tc>
        <w:tc>
          <w:tcPr>
            <w:tcW w:type="dxa" w:w="9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6,595</w:t>
            </w:r>
          </w:p>
        </w:tc>
        <w:tc>
          <w:tcPr>
            <w:tcW w:type="dxa" w:w="8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w:t>
            </w:r>
          </w:p>
        </w:tc>
        <w:tc>
          <w:tcPr>
            <w:tcW w:type="dxa" w:w="13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227.50</w:t>
            </w:r>
          </w:p>
        </w:tc>
        <w:tc>
          <w:tcPr>
            <w:tcW w:type="dxa" w:w="13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6,368.85</w:t>
            </w:r>
          </w:p>
        </w:tc>
        <w:tc>
          <w:tcPr>
            <w:tcW w:type="dxa" w:w="261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w:t>
            </w:r>
          </w:p>
        </w:tc>
      </w:tr>
      <w:tr>
        <w:tc>
          <w:tcPr>
            <w:tcW w:type="dxa" w:w="11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6 Apr</w:t>
            </w:r>
          </w:p>
        </w:tc>
        <w:tc>
          <w:tcPr>
            <w:tcW w:type="dxa" w:w="13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Roll — close</w:t>
            </w:r>
          </w:p>
        </w:tc>
        <w:tc>
          <w:tcPr>
            <w:tcW w:type="dxa" w:w="9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6,595</w:t>
            </w:r>
          </w:p>
        </w:tc>
        <w:tc>
          <w:tcPr>
            <w:tcW w:type="dxa" w:w="8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w:t>
            </w:r>
          </w:p>
        </w:tc>
        <w:tc>
          <w:tcPr>
            <w:tcW w:type="dxa" w:w="13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189.66</w:t>
            </w:r>
          </w:p>
        </w:tc>
        <w:tc>
          <w:tcPr>
            <w:tcW w:type="dxa" w:w="13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6,611.83</w:t>
            </w:r>
          </w:p>
        </w:tc>
        <w:tc>
          <w:tcPr>
            <w:tcW w:type="dxa" w:w="261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+37.84</w:t>
            </w:r>
          </w:p>
        </w:tc>
      </w:tr>
      <w:tr>
        <w:tc>
          <w:tcPr>
            <w:tcW w:type="dxa" w:w="115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6 Apr</w:t>
            </w:r>
          </w:p>
        </w:tc>
        <w:tc>
          <w:tcPr>
            <w:tcW w:type="dxa" w:w="13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Roll — open</w:t>
            </w:r>
          </w:p>
        </w:tc>
        <w:tc>
          <w:tcPr>
            <w:tcW w:type="dxa" w:w="9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6,625</w:t>
            </w:r>
          </w:p>
        </w:tc>
        <w:tc>
          <w:tcPr>
            <w:tcW w:type="dxa" w:w="8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w:t>
            </w:r>
          </w:p>
        </w:tc>
        <w:tc>
          <w:tcPr>
            <w:tcW w:type="dxa" w:w="13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174.46</w:t>
            </w:r>
          </w:p>
        </w:tc>
        <w:tc>
          <w:tcPr>
            <w:tcW w:type="dxa" w:w="13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6,611.83</w:t>
            </w:r>
          </w:p>
        </w:tc>
        <w:tc>
          <w:tcPr>
            <w:tcW w:type="dxa" w:w="261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w:t>
            </w:r>
          </w:p>
        </w:tc>
      </w:tr>
      <w:tr>
        <w:tc>
          <w:tcPr>
            <w:tcW w:type="dxa" w:w="115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9 Apr</w:t>
            </w:r>
          </w:p>
        </w:tc>
        <w:tc>
          <w:tcPr>
            <w:tcW w:type="dxa" w:w="13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Close</w:t>
            </w:r>
          </w:p>
        </w:tc>
        <w:tc>
          <w:tcPr>
            <w:tcW w:type="dxa" w:w="9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6,625</w:t>
            </w:r>
          </w:p>
        </w:tc>
        <w:tc>
          <w:tcPr>
            <w:tcW w:type="dxa" w:w="8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w:t>
            </w:r>
          </w:p>
        </w:tc>
        <w:tc>
          <w:tcPr>
            <w:tcW w:type="dxa" w:w="13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298.59</w:t>
            </w:r>
          </w:p>
        </w:tc>
        <w:tc>
          <w:tcPr>
            <w:tcW w:type="dxa" w:w="13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6,824.66</w:t>
            </w:r>
          </w:p>
        </w:tc>
        <w:tc>
          <w:tcPr>
            <w:tcW w:type="dxa" w:w="261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(124.13)</w:t>
            </w:r>
          </w:p>
        </w:tc>
      </w:tr>
      <w:tr>
        <w:tc>
          <w:tcPr>
            <w:tcW w:type="dxa" w:w="1150"/>
            <w:shd w:fill="E8EDF5"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000000"/>
                <w:sz w:val="18"/>
                <w:szCs w:val="18"/>
              </w:rPr>
              <w:t xml:space="preserve">Call side, net realised</w:t>
            </w:r>
          </w:p>
        </w:tc>
        <w:tc>
          <w:tcPr>
            <w:tcW w:type="dxa" w:w="13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w:t>
            </w:r>
          </w:p>
        </w:tc>
        <w:tc>
          <w:tcPr>
            <w:tcW w:type="dxa" w:w="9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w:t>
            </w:r>
          </w:p>
        </w:tc>
        <w:tc>
          <w:tcPr>
            <w:tcW w:type="dxa" w:w="8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w:t>
            </w:r>
          </w:p>
        </w:tc>
        <w:tc>
          <w:tcPr>
            <w:tcW w:type="dxa" w:w="13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w:t>
            </w:r>
          </w:p>
        </w:tc>
        <w:tc>
          <w:tcPr>
            <w:tcW w:type="dxa" w:w="13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w:t>
            </w:r>
          </w:p>
        </w:tc>
        <w:tc>
          <w:tcPr>
            <w:tcW w:type="dxa" w:w="261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(86.29)</w:t>
            </w:r>
          </w:p>
        </w:tc>
      </w:tr>
    </w:tbl>
    <w:p>
      <w:pPr>
        <w:spacing w:after="80"/>
      </w:pPr>
    </w:p>
    <w:p>
      <w:pPr>
        <w:spacing w:after="120" w:before="0" w:line="260"/>
        <w:jc w:val="left"/>
      </w:pPr>
      <w:r>
        <w:rPr>
          <w:rFonts w:ascii="Times New Roman" w:cs="Times New Roman" w:eastAsia="Times New Roman" w:hAnsi="Times New Roman"/>
          <w:b w:val="false"/>
          <w:bCs w:val="false"/>
          <w:i/>
          <w:iCs/>
          <w:color w:val="595959"/>
          <w:sz w:val="19"/>
          <w:szCs w:val="19"/>
        </w:rPr>
        <w:t xml:space="preserve">The 6 April roll lifted the call strike 30 points for a net cost of $15.20 and improved portfolio delta from −0.18 to −0.16. It was executed on trigger and was mechanically sound. The 9 April close crystallised a loss on the call side but, as Section 6.1 shows, preserved the profitability of the book.</w:t>
      </w:r>
    </w:p>
    <w:p>
      <w:pPr>
        <w:pBdr>
          <w:bottom w:val="single" w:color="1F3864" w:sz="8" w:space="4"/>
        </w:pBdr>
        <w:spacing w:after="140" w:before="250"/>
      </w:pPr>
      <w:r>
        <w:rPr>
          <w:rFonts w:ascii="Times New Roman" w:cs="Times New Roman" w:eastAsia="Times New Roman" w:hAnsi="Times New Roman"/>
          <w:b/>
          <w:bCs/>
          <w:caps/>
          <w:color w:val="1F3864"/>
          <w:sz w:val="22"/>
          <w:szCs w:val="22"/>
        </w:rPr>
        <w:t xml:space="preserve">5.  Performance and Attribution</w:t>
      </w:r>
    </w:p>
    <w:p>
      <w:pPr>
        <w:spacing w:after="90" w:before="200"/>
      </w:pPr>
      <w:r>
        <w:rPr>
          <w:rFonts w:ascii="Times New Roman" w:cs="Times New Roman" w:eastAsia="Times New Roman" w:hAnsi="Times New Roman"/>
          <w:b/>
          <w:bCs/>
          <w:i/>
          <w:iCs/>
          <w:color w:val="1F3864"/>
          <w:sz w:val="20"/>
          <w:szCs w:val="20"/>
        </w:rPr>
        <w:t xml:space="preserve">5.1  Scorecard</w:t>
      </w:r>
    </w:p>
    <w:tbl>
      <w:tblPr>
        <w:tblW w:type="dxa" w:w="9360"/>
        <w:tblBorders>
          <w:top w:val="single" w:color="BFBFBF" w:sz="4"/>
          <w:left w:val="none"/>
          <w:bottom w:val="single" w:color="BFBFBF" w:sz="4"/>
          <w:right w:val="none"/>
          <w:insideH w:val="single" w:color="D9D9D9" w:sz="2"/>
          <w:insideV w:val="none"/>
        </w:tblBorders>
      </w:tblPr>
      <w:tblGrid>
        <w:gridCol w:w="3200"/>
        <w:gridCol w:w="1880"/>
        <w:gridCol w:w="2400"/>
        <w:gridCol w:w="1880"/>
      </w:tblGrid>
      <w:tr>
        <w:tc>
          <w:tcPr>
            <w:tcW w:type="dxa" w:w="3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Net premium collected</w:t>
            </w:r>
          </w:p>
        </w:tc>
        <w:tc>
          <w:tcPr>
            <w:tcW w:type="dxa" w:w="188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$453.70</w:t>
            </w:r>
          </w:p>
        </w:tc>
        <w:tc>
          <w:tcPr>
            <w:tcW w:type="dxa" w:w="2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Trading sessions</w:t>
            </w:r>
          </w:p>
        </w:tc>
        <w:tc>
          <w:tcPr>
            <w:tcW w:type="dxa" w:w="188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21</w:t>
            </w:r>
          </w:p>
        </w:tc>
      </w:tr>
      <w:tr>
        <w:tc>
          <w:tcPr>
            <w:tcW w:type="dxa" w:w="32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Final portfolio P&amp;L</w:t>
            </w:r>
          </w:p>
        </w:tc>
        <w:tc>
          <w:tcPr>
            <w:tcW w:type="dxa" w:w="188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$135.31</w:t>
            </w:r>
          </w:p>
        </w:tc>
        <w:tc>
          <w:tcPr>
            <w:tcW w:type="dxa" w:w="24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Executions</w:t>
            </w:r>
          </w:p>
        </w:tc>
        <w:tc>
          <w:tcPr>
            <w:tcW w:type="dxa" w:w="188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5</w:t>
            </w:r>
          </w:p>
        </w:tc>
      </w:tr>
      <w:tr>
        <w:tc>
          <w:tcPr>
            <w:tcW w:type="dxa" w:w="3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Return on premium collected</w:t>
            </w:r>
          </w:p>
        </w:tc>
        <w:tc>
          <w:tcPr>
            <w:tcW w:type="dxa" w:w="188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29.8%</w:t>
            </w:r>
          </w:p>
        </w:tc>
        <w:tc>
          <w:tcPr>
            <w:tcW w:type="dxa" w:w="2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Peak P&amp;L (7 Apr)</w:t>
            </w:r>
          </w:p>
        </w:tc>
        <w:tc>
          <w:tcPr>
            <w:tcW w:type="dxa" w:w="188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$154.60</w:t>
            </w:r>
          </w:p>
        </w:tc>
      </w:tr>
      <w:tr>
        <w:tc>
          <w:tcPr>
            <w:tcW w:type="dxa" w:w="32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Index move over period</w:t>
            </w:r>
          </w:p>
        </w:tc>
        <w:tc>
          <w:tcPr>
            <w:tcW w:type="dxa" w:w="188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+12.50%</w:t>
            </w:r>
          </w:p>
        </w:tc>
        <w:tc>
          <w:tcPr>
            <w:tcW w:type="dxa" w:w="24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Trough P&amp;L (9 Apr)</w:t>
            </w:r>
          </w:p>
        </w:tc>
        <w:tc>
          <w:tcPr>
            <w:tcW w:type="dxa" w:w="188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$84.47</w:t>
            </w:r>
          </w:p>
        </w:tc>
      </w:tr>
      <w:tr>
        <w:tc>
          <w:tcPr>
            <w:tcW w:type="dxa" w:w="32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Peak-to-trough drawdown</w:t>
            </w:r>
          </w:p>
        </w:tc>
        <w:tc>
          <w:tcPr>
            <w:tcW w:type="dxa" w:w="188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$70.13</w:t>
            </w:r>
          </w:p>
        </w:tc>
        <w:tc>
          <w:tcPr>
            <w:tcW w:type="dxa" w:w="24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Drawdown as % of premium</w:t>
            </w:r>
          </w:p>
        </w:tc>
        <w:tc>
          <w:tcPr>
            <w:tcW w:type="dxa" w:w="188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15.5%</w:t>
            </w:r>
          </w:p>
        </w:tc>
      </w:tr>
    </w:tbl>
    <w:p>
      <w:pPr>
        <w:spacing w:after="120"/>
      </w:pPr>
    </w:p>
    <w:p>
      <w:pPr>
        <w:spacing w:after="90" w:before="200"/>
      </w:pPr>
      <w:r>
        <w:rPr>
          <w:rFonts w:ascii="Times New Roman" w:cs="Times New Roman" w:eastAsia="Times New Roman" w:hAnsi="Times New Roman"/>
          <w:b/>
          <w:bCs/>
          <w:i/>
          <w:iCs/>
          <w:color w:val="1F3864"/>
          <w:sz w:val="20"/>
          <w:szCs w:val="20"/>
        </w:rPr>
        <w:t xml:space="preserve">5.2  Attribution by leg</w:t>
      </w:r>
    </w:p>
    <w:tbl>
      <w:tblPr>
        <w:tblW w:type="dxa" w:w="9360"/>
        <w:tblBorders>
          <w:top w:val="single" w:color="BFBFBF" w:sz="4"/>
          <w:left w:val="none"/>
          <w:bottom w:val="single" w:color="BFBFBF" w:sz="4"/>
          <w:right w:val="none"/>
          <w:insideH w:val="single" w:color="D9D9D9" w:sz="2"/>
          <w:insideV w:val="none"/>
        </w:tblBorders>
      </w:tblPr>
      <w:tblGrid>
        <w:gridCol w:w="4260"/>
        <w:gridCol w:w="1700"/>
        <w:gridCol w:w="1700"/>
        <w:gridCol w:w="1700"/>
      </w:tblGrid>
      <w:tr>
        <w:trPr>
          <w:tblHeader/>
        </w:trPr>
        <w:tc>
          <w:tcPr>
            <w:tcW w:type="dxa" w:w="4260"/>
            <w:shd w:fill="1F3864"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FFFFFF"/>
                <w:sz w:val="18"/>
                <w:szCs w:val="18"/>
              </w:rPr>
              <w:t xml:space="preserve">Leg</w:t>
            </w:r>
          </w:p>
        </w:tc>
        <w:tc>
          <w:tcPr>
            <w:tcW w:type="dxa" w:w="17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Premium ($)</w:t>
            </w:r>
          </w:p>
        </w:tc>
        <w:tc>
          <w:tcPr>
            <w:tcW w:type="dxa" w:w="17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P&amp;L ($)</w:t>
            </w:r>
          </w:p>
        </w:tc>
        <w:tc>
          <w:tcPr>
            <w:tcW w:type="dxa" w:w="17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Capture</w:t>
            </w:r>
          </w:p>
        </w:tc>
      </w:tr>
      <w:tr>
        <w:tc>
          <w:tcPr>
            <w:tcW w:type="dxa" w:w="42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Short put 6385 — retained, marked $4.60</w:t>
            </w:r>
          </w:p>
        </w:tc>
        <w:tc>
          <w:tcPr>
            <w:tcW w:type="dxa" w:w="17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226.20</w:t>
            </w:r>
          </w:p>
        </w:tc>
        <w:tc>
          <w:tcPr>
            <w:tcW w:type="dxa" w:w="17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+221.60</w:t>
            </w:r>
          </w:p>
        </w:tc>
        <w:tc>
          <w:tcPr>
            <w:tcW w:type="dxa" w:w="17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98.0%</w:t>
            </w:r>
          </w:p>
        </w:tc>
      </w:tr>
      <w:tr>
        <w:tc>
          <w:tcPr>
            <w:tcW w:type="dxa" w:w="42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Short call 6595 — rolled 6 April</w:t>
            </w:r>
          </w:p>
        </w:tc>
        <w:tc>
          <w:tcPr>
            <w:tcW w:type="dxa" w:w="17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227.50</w:t>
            </w:r>
          </w:p>
        </w:tc>
        <w:tc>
          <w:tcPr>
            <w:tcW w:type="dxa" w:w="17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+37.84</w:t>
            </w:r>
          </w:p>
        </w:tc>
        <w:tc>
          <w:tcPr>
            <w:tcW w:type="dxa" w:w="17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16.6%</w:t>
            </w:r>
          </w:p>
        </w:tc>
      </w:tr>
      <w:tr>
        <w:tc>
          <w:tcPr>
            <w:tcW w:type="dxa" w:w="42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Short call 6625 — closed 9 April</w:t>
            </w:r>
          </w:p>
        </w:tc>
        <w:tc>
          <w:tcPr>
            <w:tcW w:type="dxa" w:w="17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174.46</w:t>
            </w:r>
          </w:p>
        </w:tc>
        <w:tc>
          <w:tcPr>
            <w:tcW w:type="dxa" w:w="17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(124.13)</w:t>
            </w:r>
          </w:p>
        </w:tc>
        <w:tc>
          <w:tcPr>
            <w:tcW w:type="dxa" w:w="17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(71.2%)</w:t>
            </w:r>
          </w:p>
        </w:tc>
      </w:tr>
      <w:tr>
        <w:tc>
          <w:tcPr>
            <w:tcW w:type="dxa" w:w="4260"/>
            <w:shd w:fill="E8EDF5"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000000"/>
                <w:sz w:val="18"/>
                <w:szCs w:val="18"/>
              </w:rPr>
              <w:t xml:space="preserve">Total portfolio</w:t>
            </w:r>
          </w:p>
        </w:tc>
        <w:tc>
          <w:tcPr>
            <w:tcW w:type="dxa" w:w="17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453.70</w:t>
            </w:r>
          </w:p>
        </w:tc>
        <w:tc>
          <w:tcPr>
            <w:tcW w:type="dxa" w:w="17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135.31</w:t>
            </w:r>
          </w:p>
        </w:tc>
        <w:tc>
          <w:tcPr>
            <w:tcW w:type="dxa" w:w="170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29.8%</w:t>
            </w:r>
          </w:p>
        </w:tc>
      </w:tr>
    </w:tbl>
    <w:p>
      <w:pPr>
        <w:spacing w:after="80"/>
      </w:pPr>
    </w:p>
    <w:p>
      <w:pPr>
        <w:spacing w:after="120" w:before="0" w:line="260"/>
        <w:jc w:val="left"/>
      </w:pPr>
      <w:r>
        <w:rPr>
          <w:rFonts w:ascii="Times New Roman" w:cs="Times New Roman" w:eastAsia="Times New Roman" w:hAnsi="Times New Roman"/>
          <w:b w:val="false"/>
          <w:bCs w:val="false"/>
          <w:i/>
          <w:iCs/>
          <w:color w:val="595959"/>
          <w:sz w:val="19"/>
          <w:szCs w:val="19"/>
        </w:rPr>
        <w:t xml:space="preserve">The put leg carried the result. It finished 780 points out-of-the-money and captured 98.0% of its premium. The call side, taken across both strikes, lost $86.29 against $227.50 of premium originally collected on that tail.</w:t>
      </w:r>
    </w:p>
    <w:p>
      <w:pPr>
        <w:spacing w:after="90" w:before="200"/>
      </w:pPr>
      <w:r>
        <w:rPr>
          <w:rFonts w:ascii="Times New Roman" w:cs="Times New Roman" w:eastAsia="Times New Roman" w:hAnsi="Times New Roman"/>
          <w:b/>
          <w:bCs/>
          <w:i/>
          <w:iCs/>
          <w:color w:val="1F3864"/>
          <w:sz w:val="20"/>
          <w:szCs w:val="20"/>
        </w:rPr>
        <w:t xml:space="preserve">5.3  P&amp;L path</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The position behaved as designed for the first two weeks. The index held the projected range, both legs decayed, and P&amp;L reached $154.60 on 7 April. On 8 April a ceasefire announcement moved the index up 2.5% to 6,782.81, with oil down 17% and VIX falling to 21. The short call moved 158 points in-the-money and portfolio delta reached −0.4226. P&amp;L troughed at $84.47 on 9 April, the session the call was closed, then recovered steadily on put decay as the index set successive highs through the remainder of the period.</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Theta ran at approximately $4.00 to $4.75 per day while both legs were open, falling to $0.68 per day by the final session with only the far out-of-the-money put remaining.</w:t>
      </w:r>
    </w:p>
    <w:p>
      <w:pPr>
        <w:pBdr>
          <w:bottom w:val="single" w:color="1F3864" w:sz="8" w:space="4"/>
        </w:pBdr>
        <w:spacing w:after="140" w:before="250"/>
      </w:pPr>
      <w:r>
        <w:rPr>
          <w:rFonts w:ascii="Times New Roman" w:cs="Times New Roman" w:eastAsia="Times New Roman" w:hAnsi="Times New Roman"/>
          <w:b/>
          <w:bCs/>
          <w:caps/>
          <w:color w:val="1F3864"/>
          <w:sz w:val="22"/>
          <w:szCs w:val="22"/>
        </w:rPr>
        <w:t xml:space="preserve">6.  Risk Governance Review</w:t>
      </w:r>
    </w:p>
    <w:p>
      <w:pPr>
        <w:spacing w:after="90" w:before="200"/>
      </w:pPr>
      <w:r>
        <w:rPr>
          <w:rFonts w:ascii="Times New Roman" w:cs="Times New Roman" w:eastAsia="Times New Roman" w:hAnsi="Times New Roman"/>
          <w:b/>
          <w:bCs/>
          <w:i/>
          <w:iCs/>
          <w:color w:val="1F3864"/>
          <w:sz w:val="20"/>
          <w:szCs w:val="20"/>
        </w:rPr>
        <w:t xml:space="preserve">6.1  The 9 April close was worth $259.50 and is under-credited in the retrospective</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The internal retrospective identifies the one-session delay between the 8 April delta breach and the 9 April close as its principal execution finding, estimating the delay added $30–40 to the buyback cost. That is a fair criticism. It is also substantially smaller than the value of the decision it qualifies.</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Revaluing the 6625 call at end-of-period marks gives the counterfactual directly:</w:t>
      </w:r>
    </w:p>
    <w:tbl>
      <w:tblPr>
        <w:tblW w:type="dxa" w:w="9360"/>
        <w:tblBorders>
          <w:top w:val="single" w:color="BFBFBF" w:sz="4"/>
          <w:left w:val="none"/>
          <w:bottom w:val="single" w:color="BFBFBF" w:sz="4"/>
          <w:right w:val="none"/>
          <w:insideH w:val="single" w:color="D9D9D9" w:sz="2"/>
          <w:insideV w:val="none"/>
        </w:tblBorders>
      </w:tblPr>
      <w:tblGrid>
        <w:gridCol w:w="3900"/>
        <w:gridCol w:w="2730"/>
        <w:gridCol w:w="2730"/>
      </w:tblGrid>
      <w:tr>
        <w:trPr>
          <w:tblHeader/>
        </w:trPr>
        <w:tc>
          <w:tcPr>
            <w:tcW w:type="dxa" w:w="3900"/>
            <w:shd w:fill="1F3864"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FFFFFF"/>
                <w:sz w:val="18"/>
                <w:szCs w:val="18"/>
              </w:rPr>
              <w:t xml:space="preserve"/>
            </w:r>
          </w:p>
        </w:tc>
        <w:tc>
          <w:tcPr>
            <w:tcW w:type="dxa" w:w="273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Closed 9 April (actual)</w:t>
            </w:r>
          </w:p>
        </w:tc>
        <w:tc>
          <w:tcPr>
            <w:tcW w:type="dxa" w:w="273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Held to 24 April</w:t>
            </w:r>
          </w:p>
        </w:tc>
      </w:tr>
      <w:tr>
        <w:tc>
          <w:tcPr>
            <w:tcW w:type="dxa" w:w="3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Short call 6625 — leg P&amp;L</w:t>
            </w:r>
          </w:p>
        </w:tc>
        <w:tc>
          <w:tcPr>
            <w:tcW w:type="dxa" w:w="273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(124.13)</w:t>
            </w:r>
          </w:p>
        </w:tc>
        <w:tc>
          <w:tcPr>
            <w:tcW w:type="dxa" w:w="273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(383.63)</w:t>
            </w:r>
          </w:p>
        </w:tc>
      </w:tr>
      <w:tr>
        <w:tc>
          <w:tcPr>
            <w:tcW w:type="dxa" w:w="39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Short call 6595 — realised on roll</w:t>
            </w:r>
          </w:p>
        </w:tc>
        <w:tc>
          <w:tcPr>
            <w:tcW w:type="dxa" w:w="273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+37.84</w:t>
            </w:r>
          </w:p>
        </w:tc>
        <w:tc>
          <w:tcPr>
            <w:tcW w:type="dxa" w:w="273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+37.84</w:t>
            </w:r>
          </w:p>
        </w:tc>
      </w:tr>
      <w:tr>
        <w:tc>
          <w:tcPr>
            <w:tcW w:type="dxa" w:w="39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Short put 6385 — unrealised</w:t>
            </w:r>
          </w:p>
        </w:tc>
        <w:tc>
          <w:tcPr>
            <w:tcW w:type="dxa" w:w="273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+221.60</w:t>
            </w:r>
          </w:p>
        </w:tc>
        <w:tc>
          <w:tcPr>
            <w:tcW w:type="dxa" w:w="273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+221.60</w:t>
            </w:r>
          </w:p>
        </w:tc>
      </w:tr>
      <w:tr>
        <w:tc>
          <w:tcPr>
            <w:tcW w:type="dxa" w:w="3900"/>
            <w:shd w:fill="E8EDF5"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000000"/>
                <w:sz w:val="18"/>
                <w:szCs w:val="18"/>
              </w:rPr>
              <w:t xml:space="preserve">Portfolio P&amp;L</w:t>
            </w:r>
          </w:p>
        </w:tc>
        <w:tc>
          <w:tcPr>
            <w:tcW w:type="dxa" w:w="273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135.31</w:t>
            </w:r>
          </w:p>
        </w:tc>
        <w:tc>
          <w:tcPr>
            <w:tcW w:type="dxa" w:w="2730"/>
            <w:shd w:fill="E8EDF5"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000000"/>
                <w:sz w:val="18"/>
                <w:szCs w:val="18"/>
              </w:rPr>
              <w:t xml:space="preserve">(124.19)</w:t>
            </w:r>
          </w:p>
        </w:tc>
      </w:tr>
    </w:tbl>
    <w:p>
      <w:pPr>
        <w:spacing w:after="80"/>
      </w:pP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The 6625 call would have marked at $558.09 on 24 April against $174.46 collected. Closing the leg was therefore worth $259.50 and is the difference between a positive and a negative outcome for the review period. The retrospective should record the delay as a process failure and the close itself as the decision that preserved the result — at present it does the first and not the second.</w:t>
      </w:r>
    </w:p>
    <w:p>
      <w:pPr>
        <w:spacing w:after="90" w:before="200"/>
      </w:pPr>
      <w:r>
        <w:rPr>
          <w:rFonts w:ascii="Times New Roman" w:cs="Times New Roman" w:eastAsia="Times New Roman" w:hAnsi="Times New Roman"/>
          <w:b/>
          <w:bCs/>
          <w:i/>
          <w:iCs/>
          <w:color w:val="1F3864"/>
          <w:sz w:val="20"/>
          <w:szCs w:val="20"/>
        </w:rPr>
        <w:t xml:space="preserve">6.2  The delta band was breached on five sessions, not one</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The retrospective records a single breach, on 8 April. The daily monitor shows five sessions on which absolute portfolio delta exceeded the stated 0.20 limit:</w:t>
      </w:r>
    </w:p>
    <w:tbl>
      <w:tblPr>
        <w:tblW w:type="dxa" w:w="9360"/>
        <w:tblBorders>
          <w:top w:val="single" w:color="BFBFBF" w:sz="4"/>
          <w:left w:val="none"/>
          <w:bottom w:val="single" w:color="BFBFBF" w:sz="4"/>
          <w:right w:val="none"/>
          <w:insideH w:val="single" w:color="D9D9D9" w:sz="2"/>
          <w:insideV w:val="none"/>
        </w:tblBorders>
      </w:tblPr>
      <w:tblGrid>
        <w:gridCol w:w="1500"/>
        <w:gridCol w:w="1800"/>
        <w:gridCol w:w="1900"/>
        <w:gridCol w:w="4160"/>
      </w:tblGrid>
      <w:tr>
        <w:trPr>
          <w:tblHeader/>
        </w:trPr>
        <w:tc>
          <w:tcPr>
            <w:tcW w:type="dxa" w:w="1500"/>
            <w:shd w:fill="1F3864"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FFFFFF"/>
                <w:sz w:val="18"/>
                <w:szCs w:val="18"/>
              </w:rPr>
              <w:t xml:space="preserve">Session</w:t>
            </w:r>
          </w:p>
        </w:tc>
        <w:tc>
          <w:tcPr>
            <w:tcW w:type="dxa" w:w="18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S&amp;P close</w:t>
            </w:r>
          </w:p>
        </w:tc>
        <w:tc>
          <w:tcPr>
            <w:tcW w:type="dxa" w:w="1900"/>
            <w:shd w:fill="1F3864"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bCs/>
                <w:i w:val="false"/>
                <w:iCs w:val="false"/>
                <w:color w:val="FFFFFF"/>
                <w:sz w:val="18"/>
                <w:szCs w:val="18"/>
              </w:rPr>
              <w:t xml:space="preserve">Portfolio delta</w:t>
            </w:r>
          </w:p>
        </w:tc>
        <w:tc>
          <w:tcPr>
            <w:tcW w:type="dxa" w:w="4160"/>
            <w:shd w:fill="1F3864"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FFFFFF"/>
                <w:sz w:val="18"/>
                <w:szCs w:val="18"/>
              </w:rPr>
              <w:t xml:space="preserve">Action taken</w:t>
            </w:r>
          </w:p>
        </w:tc>
      </w:tr>
      <w:tr>
        <w:tc>
          <w:tcPr>
            <w:tcW w:type="dxa" w:w="15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28 Mar</w:t>
            </w:r>
          </w:p>
        </w:tc>
        <w:tc>
          <w:tcPr>
            <w:tcW w:type="dxa" w:w="18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6,327.00</w:t>
            </w:r>
          </w:p>
        </w:tc>
        <w:tc>
          <w:tcPr>
            <w:tcW w:type="dxa" w:w="19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+0.2418</w:t>
            </w:r>
          </w:p>
        </w:tc>
        <w:tc>
          <w:tcPr>
            <w:tcW w:type="dxa" w:w="41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None — held, rationale documented</w:t>
            </w:r>
          </w:p>
        </w:tc>
      </w:tr>
      <w:tr>
        <w:tc>
          <w:tcPr>
            <w:tcW w:type="dxa" w:w="15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30 Mar</w:t>
            </w:r>
          </w:p>
        </w:tc>
        <w:tc>
          <w:tcPr>
            <w:tcW w:type="dxa" w:w="18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6,343.72</w:t>
            </w:r>
          </w:p>
        </w:tc>
        <w:tc>
          <w:tcPr>
            <w:tcW w:type="dxa" w:w="19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+0.2228</w:t>
            </w:r>
          </w:p>
        </w:tc>
        <w:tc>
          <w:tcPr>
            <w:tcW w:type="dxa" w:w="41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None — held</w:t>
            </w:r>
          </w:p>
        </w:tc>
      </w:tr>
      <w:tr>
        <w:tc>
          <w:tcPr>
            <w:tcW w:type="dxa" w:w="1500"/>
            <w:shd w:fill="FBE9E7"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8 Apr</w:t>
            </w:r>
          </w:p>
        </w:tc>
        <w:tc>
          <w:tcPr>
            <w:tcW w:type="dxa" w:w="1800"/>
            <w:shd w:fill="FBE9E7"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6,782.81</w:t>
            </w:r>
          </w:p>
        </w:tc>
        <w:tc>
          <w:tcPr>
            <w:tcW w:type="dxa" w:w="1900"/>
            <w:shd w:fill="FBE9E7"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(0.4226)</w:t>
            </w:r>
          </w:p>
        </w:tc>
        <w:tc>
          <w:tcPr>
            <w:tcW w:type="dxa" w:w="4160"/>
            <w:shd w:fill="FBE9E7"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None — deferred one session</w:t>
            </w:r>
          </w:p>
        </w:tc>
      </w:tr>
      <w:tr>
        <w:tc>
          <w:tcPr>
            <w:tcW w:type="dxa" w:w="15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9 Apr</w:t>
            </w:r>
          </w:p>
        </w:tc>
        <w:tc>
          <w:tcPr>
            <w:tcW w:type="dxa" w:w="18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6,824.66</w:t>
            </w:r>
          </w:p>
        </w:tc>
        <w:tc>
          <w:tcPr>
            <w:tcW w:type="dxa" w:w="1900"/>
            <w:shd w:fill="F2F2F2" w:color="auto" w:val="clear"/>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+0.2031</w:t>
            </w:r>
          </w:p>
        </w:tc>
        <w:tc>
          <w:tcPr>
            <w:tcW w:type="dxa" w:w="41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Call closed; residual put delta</w:t>
            </w:r>
          </w:p>
        </w:tc>
      </w:tr>
      <w:tr>
        <w:tc>
          <w:tcPr>
            <w:tcW w:type="dxa" w:w="15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10 Apr</w:t>
            </w:r>
          </w:p>
        </w:tc>
        <w:tc>
          <w:tcPr>
            <w:tcW w:type="dxa" w:w="18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6,816.89</w:t>
            </w:r>
          </w:p>
        </w:tc>
        <w:tc>
          <w:tcPr>
            <w:tcW w:type="dxa" w:w="1900"/>
            <w:tcMar>
              <w:top w:type="dxa" w:w="60"/>
              <w:left w:type="dxa" w:w="100"/>
              <w:bottom w:type="dxa" w:w="60"/>
              <w:right w:type="dxa" w:w="100"/>
            </w:tcMar>
          </w:tcPr>
          <w:p>
            <w:pPr>
              <w:spacing w:after="0" w:before="0" w:line="240"/>
              <w:jc w:val="right"/>
            </w:pPr>
            <w:r>
              <w:rPr>
                <w:rFonts w:ascii="Times New Roman" w:cs="Times New Roman" w:eastAsia="Times New Roman" w:hAnsi="Times New Roman"/>
                <w:b w:val="false"/>
                <w:bCs w:val="false"/>
                <w:i w:val="false"/>
                <w:iCs w:val="false"/>
                <w:color w:val="000000"/>
                <w:sz w:val="18"/>
                <w:szCs w:val="18"/>
              </w:rPr>
              <w:t xml:space="preserve">+0.2040</w:t>
            </w:r>
          </w:p>
        </w:tc>
        <w:tc>
          <w:tcPr>
            <w:tcW w:type="dxa" w:w="41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None — residual put delta</w:t>
            </w:r>
          </w:p>
        </w:tc>
      </w:tr>
    </w:tbl>
    <w:p>
      <w:pPr>
        <w:spacing w:after="80"/>
      </w:pP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Only the 8 April breach was material in magnitude. The two March breaches were modest, occurred early in the trade with the book in profit, and the decision to hold was reasoned and recorded at the time. The 9 and 10 April readings are residual put delta immediately after the call was closed. The point is not that any of these were errors — it is that a policy breached on five of twenty-one sessions, four of them consciously accepted, describes a band that is advisory rather than binding. Either the band should be widened to a level the desk will actually enforce, or breaches should require a documented override.</w:t>
      </w:r>
    </w:p>
    <w:p>
      <w:pPr>
        <w:spacing w:after="90" w:before="200"/>
      </w:pPr>
      <w:r>
        <w:rPr>
          <w:rFonts w:ascii="Times New Roman" w:cs="Times New Roman" w:eastAsia="Times New Roman" w:hAnsi="Times New Roman"/>
          <w:b/>
          <w:bCs/>
          <w:i/>
          <w:iCs/>
          <w:color w:val="1F3864"/>
          <w:sz w:val="20"/>
          <w:szCs w:val="20"/>
        </w:rPr>
        <w:t xml:space="preserve">6.3  The structure, not the execution, was the binding constraint</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The index closed the period at 7,165.08, above the upper break-even of 7,048.70. Had the original strangle been left unadjusted, the 6595 call alone would have carried at least 570 points of intrinsic value at period end, putting the book at approximately negative $121 or worse before any time value. The trade thesis — range-bound through expiry — was decisively wrong.</w:t>
      </w: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An undefined-risk short strangle was poorly matched to a binary-headline regime in which a single ceasefire announcement could move the index 2.5% in one session. A defined-risk structure — an iron condor, or a credit put spread if the directional risk was judged asymmetric — would have capped the call-side tail while retaining most of the theta capture. This is the correct primary lesson, and the retrospective states it. Execution was disciplined; the structure selection was not.</w:t>
      </w:r>
    </w:p>
    <w:p>
      <w:pPr>
        <w:spacing w:after="90" w:before="200"/>
      </w:pPr>
      <w:r>
        <w:rPr>
          <w:rFonts w:ascii="Times New Roman" w:cs="Times New Roman" w:eastAsia="Times New Roman" w:hAnsi="Times New Roman"/>
          <w:b/>
          <w:bCs/>
          <w:i/>
          <w:iCs/>
          <w:color w:val="1F3864"/>
          <w:sz w:val="20"/>
          <w:szCs w:val="20"/>
        </w:rPr>
        <w:t xml:space="preserve">6.4  The execution count is stated inconsistently</w:t>
      </w:r>
    </w:p>
    <w:tbl>
      <w:tblPr>
        <w:tblW w:type="dxa" w:w="9360"/>
        <w:tblBorders>
          <w:top w:val="single" w:color="BFBFBF" w:sz="4"/>
          <w:left w:val="none"/>
          <w:bottom w:val="single" w:color="BFBFBF" w:sz="4"/>
          <w:right w:val="none"/>
          <w:insideH w:val="single" w:color="D9D9D9" w:sz="2"/>
          <w:insideV w:val="none"/>
        </w:tblBorders>
      </w:tblPr>
      <w:tblGrid>
        <w:gridCol w:w="3760"/>
        <w:gridCol w:w="2800"/>
        <w:gridCol w:w="2800"/>
      </w:tblGrid>
      <w:tr>
        <w:trPr>
          <w:tblHeader/>
        </w:trPr>
        <w:tc>
          <w:tcPr>
            <w:tcW w:type="dxa" w:w="3760"/>
            <w:shd w:fill="1F3864"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FFFFFF"/>
                <w:sz w:val="18"/>
                <w:szCs w:val="18"/>
              </w:rPr>
              <w:t xml:space="preserve">Location</w:t>
            </w:r>
          </w:p>
        </w:tc>
        <w:tc>
          <w:tcPr>
            <w:tcW w:type="dxa" w:w="2800"/>
            <w:shd w:fill="1F3864"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FFFFFF"/>
                <w:sz w:val="18"/>
                <w:szCs w:val="18"/>
              </w:rPr>
              <w:t xml:space="preserve">Currently states</w:t>
            </w:r>
          </w:p>
        </w:tc>
        <w:tc>
          <w:tcPr>
            <w:tcW w:type="dxa" w:w="2800"/>
            <w:shd w:fill="1F3864"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color w:val="FFFFFF"/>
                <w:sz w:val="18"/>
                <w:szCs w:val="18"/>
              </w:rPr>
              <w:t xml:space="preserve">Blotter shows</w:t>
            </w:r>
          </w:p>
        </w:tc>
      </w:tr>
      <w:tr>
        <w:tc>
          <w:tcPr>
            <w:tcW w:type="dxa" w:w="3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Cover sheet</w:t>
            </w:r>
          </w:p>
        </w:tc>
        <w:tc>
          <w:tcPr>
            <w:tcW w:type="dxa" w:w="28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4 executions</w:t>
            </w:r>
          </w:p>
        </w:tc>
        <w:tc>
          <w:tcPr>
            <w:tcW w:type="dxa" w:w="28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5 option executions</w:t>
            </w:r>
          </w:p>
        </w:tc>
      </w:tr>
      <w:tr>
        <w:tc>
          <w:tcPr>
            <w:tcW w:type="dxa" w:w="376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Executive Summary scorecard</w:t>
            </w:r>
          </w:p>
        </w:tc>
        <w:tc>
          <w:tcPr>
            <w:tcW w:type="dxa" w:w="28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4 executions (incl. roll legs)</w:t>
            </w:r>
          </w:p>
        </w:tc>
        <w:tc>
          <w:tcPr>
            <w:tcW w:type="dxa" w:w="2800"/>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5 option executions</w:t>
            </w:r>
          </w:p>
        </w:tc>
      </w:tr>
      <w:tr>
        <w:tc>
          <w:tcPr>
            <w:tcW w:type="dxa" w:w="376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Trade blotter</w:t>
            </w:r>
          </w:p>
        </w:tc>
        <w:tc>
          <w:tcPr>
            <w:tcW w:type="dxa" w:w="28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5 numbered rows</w:t>
            </w:r>
          </w:p>
        </w:tc>
        <w:tc>
          <w:tcPr>
            <w:tcW w:type="dxa" w:w="2800"/>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color w:val="000000"/>
                <w:sz w:val="18"/>
                <w:szCs w:val="18"/>
              </w:rPr>
              <w:t xml:space="preserve">5 — correct</w:t>
            </w:r>
          </w:p>
        </w:tc>
      </w:tr>
    </w:tbl>
    <w:p>
      <w:pPr>
        <w:spacing w:after="80"/>
      </w:pPr>
    </w:p>
    <w:p>
      <w:pPr>
        <w:spacing w:after="120" w:before="0" w:line="260"/>
        <w:jc w:val="left"/>
      </w:pPr>
      <w:r>
        <w:rPr>
          <w:rFonts w:ascii="Times New Roman" w:cs="Times New Roman" w:eastAsia="Times New Roman" w:hAnsi="Times New Roman"/>
          <w:b w:val="false"/>
          <w:bCs w:val="false"/>
          <w:i w:val="false"/>
          <w:iCs w:val="false"/>
          <w:color w:val="000000"/>
          <w:sz w:val="20"/>
          <w:szCs w:val="20"/>
        </w:rPr>
        <w:t xml:space="preserve">The blotter records five option executions across three trade events. Either convention is defensible — “five executions” or “three trade events” — but “four” matches neither, and the same figure should appear on every sheet.</w:t>
      </w:r>
    </w:p>
    <w:p>
      <w:pPr>
        <w:pBdr>
          <w:bottom w:val="single" w:color="1F3864" w:sz="8" w:space="4"/>
        </w:pBdr>
        <w:spacing w:after="140" w:before="250"/>
      </w:pPr>
      <w:r>
        <w:rPr>
          <w:rFonts w:ascii="Times New Roman" w:cs="Times New Roman" w:eastAsia="Times New Roman" w:hAnsi="Times New Roman"/>
          <w:b/>
          <w:bCs/>
          <w:caps/>
          <w:color w:val="1F3864"/>
          <w:sz w:val="22"/>
          <w:szCs w:val="22"/>
        </w:rPr>
        <w:t xml:space="preserve">7.  Risks and Recommendations</w:t>
      </w:r>
    </w:p>
    <w:p>
      <w:pPr>
        <w:pStyle w:val="ListParagraph"/>
        <w:numPr>
          <w:ilvl w:val="0"/>
          <w:numId w:val="1"/>
        </w:numPr>
        <w:spacing w:after="70" w:line="250"/>
      </w:pPr>
      <w:r>
        <w:rPr>
          <w:rFonts w:ascii="Times New Roman" w:cs="Times New Roman" w:eastAsia="Times New Roman" w:hAnsi="Times New Roman"/>
          <w:sz w:val="20"/>
          <w:szCs w:val="20"/>
        </w:rPr>
        <w:t xml:space="preserve">Undefined tail risk. The structure carries unlimited loss on both tails. The realised path demonstrated the exposure rather than merely describing it: a single session moved the call 158 points in-the-money. Recommendation: cap both tails with long wings — an iron condor at comparable deltas — accepting lower net premium for a bounded worst case.</w:t>
      </w:r>
    </w:p>
    <w:p>
      <w:pPr>
        <w:pStyle w:val="ListParagraph"/>
        <w:numPr>
          <w:ilvl w:val="0"/>
          <w:numId w:val="1"/>
        </w:numPr>
        <w:spacing w:after="70" w:line="250"/>
      </w:pPr>
      <w:r>
        <w:rPr>
          <w:rFonts w:ascii="Times New Roman" w:cs="Times New Roman" w:eastAsia="Times New Roman" w:hAnsi="Times New Roman"/>
          <w:sz w:val="20"/>
          <w:szCs w:val="20"/>
        </w:rPr>
        <w:t xml:space="preserve">Short vega on both legs. The book marks down on an implied-volatility increase even with spot unchanged. In this instance falling volatility was a tailwind after the ceasefire; the same exposure works against the position on a volatility spike.</w:t>
      </w:r>
    </w:p>
    <w:p>
      <w:pPr>
        <w:pStyle w:val="ListParagraph"/>
        <w:numPr>
          <w:ilvl w:val="0"/>
          <w:numId w:val="1"/>
        </w:numPr>
        <w:spacing w:after="70" w:line="250"/>
      </w:pPr>
      <w:r>
        <w:rPr>
          <w:rFonts w:ascii="Times New Roman" w:cs="Times New Roman" w:eastAsia="Times New Roman" w:hAnsi="Times New Roman"/>
          <w:sz w:val="20"/>
          <w:szCs w:val="20"/>
        </w:rPr>
        <w:t xml:space="preserve">Negative gamma into expiry. Delta drift accelerates as spot approaches a strike and as time to expiry shortens. The stated policy tightens the band to ±0.10 in the final two weeks, but the review period ended 22 days before expiry, so that rule was never tested.</w:t>
      </w:r>
    </w:p>
    <w:p>
      <w:pPr>
        <w:pStyle w:val="ListParagraph"/>
        <w:numPr>
          <w:ilvl w:val="0"/>
          <w:numId w:val="1"/>
        </w:numPr>
        <w:spacing w:after="70" w:line="250"/>
      </w:pPr>
      <w:r>
        <w:rPr>
          <w:rFonts w:ascii="Times New Roman" w:cs="Times New Roman" w:eastAsia="Times New Roman" w:hAnsi="Times New Roman"/>
          <w:sz w:val="20"/>
          <w:szCs w:val="20"/>
        </w:rPr>
        <w:t xml:space="preserve">Delta band enforcement. Five breaches across twenty-one sessions, four accepted without adjustment. Recommendation: adopt the desk's own proposed rule — where delta exceeds twice the policy threshold with an identifiable directional catalyst, close immediately rather than wait for confirmation — and require a written override for any accepted breach.</w:t>
      </w:r>
    </w:p>
    <w:p>
      <w:pPr>
        <w:pStyle w:val="ListParagraph"/>
        <w:numPr>
          <w:ilvl w:val="0"/>
          <w:numId w:val="1"/>
        </w:numPr>
        <w:spacing w:after="70" w:line="250"/>
      </w:pPr>
      <w:r>
        <w:rPr>
          <w:rFonts w:ascii="Times New Roman" w:cs="Times New Roman" w:eastAsia="Times New Roman" w:hAnsi="Times New Roman"/>
          <w:sz w:val="20"/>
          <w:szCs w:val="20"/>
        </w:rPr>
        <w:t xml:space="preserve">Single-scenario sizing. Position size was not stress-tested against a gap move. A pre-trade scenario grid across spot and volatility shocks would have made the tail cost of the ceasefire scenario explicit before the position was opened rather than after.</w:t>
      </w:r>
    </w:p>
    <w:p>
      <w:pPr>
        <w:pStyle w:val="ListParagraph"/>
        <w:numPr>
          <w:ilvl w:val="0"/>
          <w:numId w:val="1"/>
        </w:numPr>
        <w:spacing w:after="70" w:line="250"/>
      </w:pPr>
      <w:r>
        <w:rPr>
          <w:rFonts w:ascii="Times New Roman" w:cs="Times New Roman" w:eastAsia="Times New Roman" w:hAnsi="Times New Roman"/>
          <w:sz w:val="20"/>
          <w:szCs w:val="20"/>
        </w:rPr>
        <w:t xml:space="preserve">Concentration in one expiry and one underlying. All risk sits in a single index and a single expiry cycle, so there is no diversification of either event risk or term structure.</w:t>
      </w:r>
    </w:p>
    <w:p>
      <w:pPr>
        <w:pBdr>
          <w:bottom w:val="single" w:color="1F3864" w:sz="8" w:space="4"/>
        </w:pBdr>
        <w:spacing w:after="140" w:before="250"/>
      </w:pPr>
      <w:r>
        <w:rPr>
          <w:rFonts w:ascii="Times New Roman" w:cs="Times New Roman" w:eastAsia="Times New Roman" w:hAnsi="Times New Roman"/>
          <w:b/>
          <w:bCs/>
          <w:caps/>
          <w:color w:val="1F3864"/>
          <w:sz w:val="22"/>
          <w:szCs w:val="22"/>
        </w:rPr>
        <w:t xml:space="preserve">8.  Caveats</w:t>
      </w:r>
    </w:p>
    <w:p>
      <w:pPr>
        <w:pStyle w:val="ListParagraph"/>
        <w:numPr>
          <w:ilvl w:val="0"/>
          <w:numId w:val="1"/>
        </w:numPr>
        <w:spacing w:after="70" w:line="250"/>
      </w:pPr>
      <w:r>
        <w:rPr>
          <w:rFonts w:ascii="Times New Roman" w:cs="Times New Roman" w:eastAsia="Times New Roman" w:hAnsi="Times New Roman"/>
          <w:sz w:val="20"/>
          <w:szCs w:val="20"/>
        </w:rPr>
        <w:t xml:space="preserve">The portfolio, its marks and the trading record are simulated. The exercise was prepared as a course assignment (Boston University, AD713 Derivative Securities and Markets) and for portfolio purposes.</w:t>
      </w:r>
    </w:p>
    <w:p>
      <w:pPr>
        <w:pStyle w:val="ListParagraph"/>
        <w:numPr>
          <w:ilvl w:val="0"/>
          <w:numId w:val="1"/>
        </w:numPr>
        <w:spacing w:after="70" w:line="250"/>
      </w:pPr>
      <w:r>
        <w:rPr>
          <w:rFonts w:ascii="Times New Roman" w:cs="Times New Roman" w:eastAsia="Times New Roman" w:hAnsi="Times New Roman"/>
          <w:sz w:val="20"/>
          <w:szCs w:val="20"/>
        </w:rPr>
        <w:t xml:space="preserve">Premiums and P&amp;L are stated per one-contract unit without applying the SPX $100 index multiplier. Scaling to a traded contract multiplies every figure in this review by 100.</w:t>
      </w:r>
    </w:p>
    <w:p>
      <w:pPr>
        <w:pStyle w:val="ListParagraph"/>
        <w:numPr>
          <w:ilvl w:val="0"/>
          <w:numId w:val="1"/>
        </w:numPr>
        <w:spacing w:after="70" w:line="250"/>
      </w:pPr>
      <w:r>
        <w:rPr>
          <w:rFonts w:ascii="Times New Roman" w:cs="Times New Roman" w:eastAsia="Times New Roman" w:hAnsi="Times New Roman"/>
          <w:sz w:val="20"/>
          <w:szCs w:val="20"/>
        </w:rPr>
        <w:t xml:space="preserve">Marks and implied volatilities are posted end-of-day inputs, not independently sourced. No volatility surface is fitted, and skew and term structure are not modelled.</w:t>
      </w:r>
    </w:p>
    <w:p>
      <w:pPr>
        <w:pStyle w:val="ListParagraph"/>
        <w:numPr>
          <w:ilvl w:val="0"/>
          <w:numId w:val="1"/>
        </w:numPr>
        <w:spacing w:after="70" w:line="250"/>
      </w:pPr>
      <w:r>
        <w:rPr>
          <w:rFonts w:ascii="Times New Roman" w:cs="Times New Roman" w:eastAsia="Times New Roman" w:hAnsi="Times New Roman"/>
          <w:sz w:val="20"/>
          <w:szCs w:val="20"/>
        </w:rPr>
        <w:t xml:space="preserve">No transaction costs, bid-offer spread, market impact or slippage are applied to any execution.</w:t>
      </w:r>
    </w:p>
    <w:p>
      <w:pPr>
        <w:pStyle w:val="ListParagraph"/>
        <w:numPr>
          <w:ilvl w:val="0"/>
          <w:numId w:val="1"/>
        </w:numPr>
        <w:spacing w:after="70" w:line="250"/>
      </w:pPr>
      <w:r>
        <w:rPr>
          <w:rFonts w:ascii="Times New Roman" w:cs="Times New Roman" w:eastAsia="Times New Roman" w:hAnsi="Times New Roman"/>
          <w:sz w:val="20"/>
          <w:szCs w:val="20"/>
        </w:rPr>
        <w:t xml:space="preserve">Margin requirements, margin-call mechanics and the financing cost of posted collateral are not modelled. An undefined-risk short strangle carries material margin in practice, which is omitted from the return calculation.</w:t>
      </w:r>
    </w:p>
    <w:p>
      <w:pPr>
        <w:pStyle w:val="ListParagraph"/>
        <w:numPr>
          <w:ilvl w:val="0"/>
          <w:numId w:val="1"/>
        </w:numPr>
        <w:spacing w:after="70" w:line="250"/>
      </w:pPr>
      <w:r>
        <w:rPr>
          <w:rFonts w:ascii="Times New Roman" w:cs="Times New Roman" w:eastAsia="Times New Roman" w:hAnsi="Times New Roman"/>
          <w:sz w:val="20"/>
          <w:szCs w:val="20"/>
        </w:rPr>
        <w:t xml:space="preserve">The position was not held to expiry. The short put is marked at $4.60 with 22 days remaining, so the final figure is a mark-to-market result rather than a settled outcome.</w:t>
      </w:r>
    </w:p>
    <w:p>
      <w:pPr>
        <w:pStyle w:val="ListParagraph"/>
        <w:numPr>
          <w:ilvl w:val="0"/>
          <w:numId w:val="1"/>
        </w:numPr>
        <w:spacing w:after="70" w:line="250"/>
      </w:pPr>
      <w:r>
        <w:rPr>
          <w:rFonts w:ascii="Times New Roman" w:cs="Times New Roman" w:eastAsia="Times New Roman" w:hAnsi="Times New Roman"/>
          <w:sz w:val="20"/>
          <w:szCs w:val="20"/>
        </w:rPr>
        <w:t xml:space="preserve">Return on premium collected is not a return on capital. With no margin base modelled, the 29.8% figure is not comparable to a capital-based performance measure.</w:t>
      </w:r>
    </w:p>
    <w:p>
      <w:pPr>
        <w:spacing w:after="80"/>
      </w:pPr>
    </w:p>
    <w:p>
      <w:pPr>
        <w:spacing w:after="120" w:before="0" w:line="260"/>
        <w:jc w:val="left"/>
      </w:pPr>
      <w:r>
        <w:rPr>
          <w:rFonts w:ascii="Times New Roman" w:cs="Times New Roman" w:eastAsia="Times New Roman" w:hAnsi="Times New Roman"/>
          <w:b w:val="false"/>
          <w:bCs w:val="false"/>
          <w:i/>
          <w:iCs/>
          <w:color w:val="595959"/>
          <w:sz w:val="17"/>
          <w:szCs w:val="17"/>
        </w:rPr>
        <w:t xml:space="preserve">This memorandum is prepared for portfolio and educational purposes only. Figures are illustrative, derived from a simulated options portfolio, and do not constitute investment advice, an offer, or a solicitation with respect to any security.</w:t>
      </w:r>
    </w:p>
    <w:sectPr>
      <w:headerReference w:type="default" r:id="rId7"/>
      <w:footerReference w:type="default" r:id="rId8"/>
      <w:pgSz w:w="12240" w:h="15840" w:orient="portrait"/>
      <w:pgMar w:top="10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pPr>
    <w:r>
      <w:rPr>
        <w:rFonts w:ascii="Times New Roman" w:cs="Times New Roman" w:eastAsia="Times New Roman" w:hAnsi="Times New Roman"/>
        <w:color w:val="595959"/>
        <w:sz w:val="15"/>
        <w:szCs w:val="15"/>
      </w:rPr>
      <w:t xml:space="preserve">Deal Intelligence Lab — Draft for portfolio purposes only</w:t>
    </w:r>
    <w:r>
      <w:rPr>
        <w:rFonts w:ascii="Times New Roman" w:cs="Times New Roman" w:eastAsia="Times New Roman" w:hAnsi="Times New Roman"/>
        <w:sz w:val="15"/>
        <w:szCs w:val="15"/>
      </w:rPr>
      <w:ptab w:alignment="right" w:relativeTo="margin" w:leader="none"/>
    </w:r>
    <w:r>
      <w:rPr>
        <w:rFonts w:ascii="Times New Roman" w:cs="Times New Roman" w:eastAsia="Times New Roman" w:hAnsi="Times New Roman"/>
        <w:color w:val="595959"/>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60"/>
    </w:pPr>
    <w:r>
      <w:rPr>
        <w:rFonts w:ascii="Times New Roman" w:cs="Times New Roman" w:eastAsia="Times New Roman" w:hAnsi="Times New Roman"/>
        <w:b/>
        <w:bCs/>
        <w:color w:val="595959"/>
        <w:sz w:val="16"/>
        <w:szCs w:val="16"/>
      </w:rPr>
      <w:t xml:space="preserve">STRICTLY PRIVATE AND CONFIDENTIAL</w:t>
    </w:r>
    <w:r>
      <w:rPr>
        <w:rFonts w:ascii="Times New Roman" w:cs="Times New Roman" w:eastAsia="Times New Roman" w:hAnsi="Times New Roman"/>
        <w:sz w:val="16"/>
        <w:szCs w:val="16"/>
      </w:rPr>
      <w:ptab w:alignment="right" w:relativeTo="margin" w:leader="none"/>
    </w:r>
    <w:r>
      <w:rPr>
        <w:rFonts w:ascii="Times New Roman" w:cs="Times New Roman" w:eastAsia="Times New Roman" w:hAnsi="Times New Roman"/>
        <w:i/>
        <w:iCs/>
        <w:color w:val="595959"/>
        <w:sz w:val="16"/>
        <w:szCs w:val="16"/>
      </w:rPr>
      <w:t xml:space="preserve">Strategy Performance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Performance Review — Short S&amp;P 500 Index Strangle</dc:title>
  <dc:creator>Tejasvi Gupta</dc:creator>
  <dc:description>Short strangle trade review and risk governance assessment</dc:description>
  <cp:lastModifiedBy>Un-named</cp:lastModifiedBy>
  <cp:revision>1</cp:revision>
  <dcterms:created xsi:type="dcterms:W3CDTF">2026-07-26T00:14:57.551Z</dcterms:created>
  <dcterms:modified xsi:type="dcterms:W3CDTF">2026-07-26T00:14:57.551Z</dcterms:modified>
</cp:coreProperties>
</file>

<file path=docProps/custom.xml><?xml version="1.0" encoding="utf-8"?>
<Properties xmlns="http://schemas.openxmlformats.org/officeDocument/2006/custom-properties" xmlns:vt="http://schemas.openxmlformats.org/officeDocument/2006/docPropsVTypes"/>
</file>