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Georgia" w:cs="Georgia" w:eastAsia="Georgia" w:hAnsi="Georgia"/>
          <w:b/>
          <w:bCs/>
          <w:color w:val="1B2A4A"/>
          <w:sz w:val="30"/>
          <w:szCs w:val="30"/>
        </w:rPr>
        <w:t xml:space="preserve">INVESTMENT COMMITTEE MEMORANDUM</w:t>
      </w:r>
    </w:p>
    <w:p>
      <w:pPr>
        <w:spacing w:after="200"/>
      </w:pPr>
      <w:r>
        <w:rPr>
          <w:rFonts w:ascii="Georgia" w:cs="Georgia" w:eastAsia="Georgia" w:hAnsi="Georgia"/>
          <w:i/>
          <w:iCs/>
          <w:color w:val="0A0A0A"/>
          <w:sz w:val="22"/>
          <w:szCs w:val="22"/>
        </w:rPr>
        <w:t xml:space="preserve">Project Ledger: Proposed Take-Private Acquisition of BlackLine, Inc.</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shd w:fill="1B2A4A" w:val="clear"/>
            <w:tcMar>
              <w:top w:type="dxa" w:w="60"/>
              <w:left w:type="dxa" w:w="100"/>
              <w:bottom w:type="dxa" w:w="60"/>
              <w:right w:type="dxa" w:w="100"/>
            </w:tcMar>
            <w:vAlign w:val="center"/>
          </w:tcPr>
          <w:p>
            <w:pPr>
              <w:jc w:val="left"/>
            </w:pPr>
            <w:r>
              <w:rPr>
                <w:rFonts w:ascii="Garamond" w:cs="Garamond" w:eastAsia="Garamond" w:hAnsi="Garamond"/>
                <w:b/>
                <w:bCs/>
                <w:color w:val="FFFFFF"/>
                <w:sz w:val="17"/>
                <w:szCs w:val="17"/>
              </w:rPr>
              <w:t xml:space="preserve"/>
            </w:r>
          </w:p>
        </w:tc>
        <w:tc>
          <w:tcPr>
            <w:tcW w:type="dxa" w:w="7680"/>
            <w:shd w:fill="1B2A4A" w:val="clear"/>
            <w:tcMar>
              <w:top w:type="dxa" w:w="60"/>
              <w:left w:type="dxa" w:w="100"/>
              <w:bottom w:type="dxa" w:w="60"/>
              <w:right w:type="dxa" w:w="100"/>
            </w:tcMar>
            <w:vAlign w:val="center"/>
          </w:tcPr>
          <w:p>
            <w:pPr>
              <w:jc w:val="center"/>
            </w:pPr>
            <w:r>
              <w:rPr>
                <w:rFonts w:ascii="Garamond" w:cs="Garamond" w:eastAsia="Garamond" w:hAnsi="Garamond"/>
                <w:b/>
                <w:bCs/>
                <w:color w:val="FFFFFF"/>
                <w:sz w:val="17"/>
                <w:szCs w:val="17"/>
              </w:rPr>
              <w:t xml:space="preserve"/>
            </w:r>
          </w:p>
        </w:tc>
      </w:tr>
      <w:tr>
        <w:tc>
          <w:tcPr>
            <w:tcW w:type="dxa" w:w="2400"/>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Prepared for</w:t>
            </w:r>
          </w:p>
        </w:tc>
        <w:tc>
          <w:tcPr>
            <w:tcW w:type="dxa" w:w="7680"/>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Investment Committee</w:t>
            </w:r>
          </w:p>
        </w:tc>
      </w:tr>
      <w:tr>
        <w:tc>
          <w:tcPr>
            <w:tcW w:type="dxa" w:w="2400"/>
            <w:shd w:fill="F0F0F0" w:val="clear"/>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Prepared by</w:t>
            </w:r>
          </w:p>
        </w:tc>
        <w:tc>
          <w:tcPr>
            <w:tcW w:type="dxa" w:w="7680"/>
            <w:shd w:fill="F0F0F0" w:val="clear"/>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Deal Team — Portfolio Analysis</w:t>
            </w:r>
          </w:p>
        </w:tc>
      </w:tr>
      <w:tr>
        <w:tc>
          <w:tcPr>
            <w:tcW w:type="dxa" w:w="2400"/>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Date</w:t>
            </w:r>
          </w:p>
        </w:tc>
        <w:tc>
          <w:tcPr>
            <w:tcW w:type="dxa" w:w="7680"/>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25 July 2026</w:t>
            </w:r>
          </w:p>
        </w:tc>
      </w:tr>
      <w:tr>
        <w:tc>
          <w:tcPr>
            <w:tcW w:type="dxa" w:w="2400"/>
            <w:shd w:fill="F0F0F0" w:val="clear"/>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Recommendation</w:t>
            </w:r>
          </w:p>
        </w:tc>
        <w:tc>
          <w:tcPr>
            <w:tcW w:type="dxa" w:w="7680"/>
            <w:shd w:fill="F0F0F0" w:val="clear"/>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PROCEED — subject to confirmatory diligence</w:t>
            </w:r>
          </w:p>
        </w:tc>
      </w:tr>
      <w:tr>
        <w:tc>
          <w:tcPr>
            <w:tcW w:type="dxa" w:w="2400"/>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Requested action</w:t>
            </w:r>
          </w:p>
        </w:tc>
        <w:tc>
          <w:tcPr>
            <w:tcW w:type="dxa" w:w="7680"/>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Authorize submission of a non-binding indication of interest at $135.00 per share</w:t>
            </w:r>
          </w:p>
        </w:tc>
      </w:tr>
    </w:tbl>
    <w:p>
      <w:pPr>
        <w:spacing w:after="260"/>
      </w:pPr>
    </w:p>
    <w:p>
      <w:pPr>
        <w:pStyle w:val="Heading1"/>
        <w:pBdr>
          <w:bottom w:val="single" w:color="1B2A4A" w:sz="4" w:space="2"/>
        </w:pBdr>
        <w:spacing w:after="140" w:before="320"/>
      </w:pPr>
      <w:r>
        <w:rPr>
          <w:rFonts w:ascii="Georgia" w:cs="Georgia" w:eastAsia="Georgia" w:hAnsi="Georgia"/>
          <w:b/>
          <w:bCs/>
          <w:color w:val="1B2A4A"/>
          <w:sz w:val="22"/>
          <w:szCs w:val="22"/>
        </w:rPr>
        <w:t xml:space="preserve">1. RECOMMENDATION</w:t>
      </w:r>
    </w:p>
    <w:p>
      <w:pPr>
        <w:spacing w:after="140" w:line="276"/>
        <w:jc w:val="both"/>
      </w:pPr>
      <w:r>
        <w:rPr>
          <w:rFonts w:ascii="Garamond" w:cs="Garamond" w:eastAsia="Garamond" w:hAnsi="Garamond"/>
          <w:sz w:val="19"/>
          <w:szCs w:val="19"/>
        </w:rPr>
        <w:t xml:space="preserve">The deal team recommends the Fund proceed with a proposed take-private acquisition of BlackLine, Inc. (“BlackLine” or the “Company”), a NASDAQ-listed provider of financial close and accounting automation software, at an implied enterprise value of $2,282.5mm (12.3x FY2026E EBITDA). At a 5.0x EBITDA capital structure and a $1,446.0mm sponsor equity commitment, the base case underwrites to a 21.6% gross IRR and 2.66x MOIC over a five-year hold — 160 basis points above the Fund’s 20.0% hurdle rate.</w:t>
      </w:r>
    </w:p>
    <w:p>
      <w:pPr>
        <w:spacing w:after="140" w:line="276"/>
        <w:jc w:val="both"/>
      </w:pPr>
      <w:r>
        <w:rPr>
          <w:rFonts w:ascii="Garamond" w:cs="Garamond" w:eastAsia="Garamond" w:hAnsi="Garamond"/>
          <w:b/>
          <w:bCs/>
          <w:sz w:val="19"/>
          <w:szCs w:val="19"/>
        </w:rPr>
        <w:t xml:space="preserve">The investment thesis rests on operating improvement and deleveraging, not on paying a low entry multiple or counting on the market to re-rate the business at exit. </w:t>
      </w:r>
    </w:p>
    <w:p>
      <w:pPr>
        <w:spacing w:after="140" w:line="276"/>
        <w:jc w:val="both"/>
      </w:pPr>
      <w:r>
        <w:rPr>
          <w:rFonts w:ascii="Garamond" w:cs="Garamond" w:eastAsia="Garamond" w:hAnsi="Garamond"/>
          <w:sz w:val="19"/>
          <w:szCs w:val="19"/>
        </w:rPr>
        <w:t xml:space="preserve">Revenue growth and EBITDA margin expansion together drive 78.7% of equity value creation; deleveraging contributes a further 24.0%. The exit multiple is held flat to entry, and the model earns zero return from multiple expansion. We view this as the correct base case for a mature, single-product SaaS asset, and as a conservative starting point relative to sponsor underwriting norms in the sector.</w:t>
      </w:r>
    </w:p>
    <w:p>
      <w:pPr>
        <w:spacing w:after="140" w:line="276"/>
        <w:jc w:val="both"/>
      </w:pPr>
      <w:r>
        <w:rPr>
          <w:rFonts w:ascii="Garamond" w:cs="Garamond" w:eastAsia="Garamond" w:hAnsi="Garamond"/>
          <w:sz w:val="19"/>
          <w:szCs w:val="19"/>
        </w:rPr>
        <w:t xml:space="preserve">The Committee should be clear-eyed on two constraints before authorizing an indication of interest: first-year interest coverage of 2.1x leaves limited headroom against a growth disappointment, and the deal’s return cushion tolerates only 0.6 turns of exit multiple contraction before falling below hurdle. Both are addressed in Section 5.</w:t>
      </w:r>
    </w:p>
    <w:p>
      <w:pPr>
        <w:pStyle w:val="Heading1"/>
        <w:pBdr>
          <w:bottom w:val="single" w:color="1B2A4A" w:sz="4" w:space="2"/>
        </w:pBdr>
        <w:spacing w:after="140" w:before="320"/>
      </w:pPr>
      <w:r>
        <w:rPr>
          <w:rFonts w:ascii="Georgia" w:cs="Georgia" w:eastAsia="Georgia" w:hAnsi="Georgia"/>
          <w:b/>
          <w:bCs/>
          <w:color w:val="1B2A4A"/>
          <w:sz w:val="22"/>
          <w:szCs w:val="22"/>
        </w:rPr>
        <w:t xml:space="preserve">2. TRANSACTION OVERVIEW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shd w:fill="1B2A4A" w:val="clear"/>
            <w:tcMar>
              <w:top w:type="dxa" w:w="60"/>
              <w:left w:type="dxa" w:w="100"/>
              <w:bottom w:type="dxa" w:w="60"/>
              <w:right w:type="dxa" w:w="100"/>
            </w:tcMar>
            <w:vAlign w:val="center"/>
          </w:tcPr>
          <w:p>
            <w:pPr>
              <w:jc w:val="left"/>
            </w:pPr>
            <w:r>
              <w:rPr>
                <w:rFonts w:ascii="Garamond" w:cs="Garamond" w:eastAsia="Garamond" w:hAnsi="Garamond"/>
                <w:b/>
                <w:bCs/>
                <w:color w:val="FFFFFF"/>
                <w:sz w:val="17"/>
                <w:szCs w:val="17"/>
              </w:rPr>
              <w:t xml:space="preserve">Term</w:t>
            </w:r>
          </w:p>
        </w:tc>
        <w:tc>
          <w:tcPr>
            <w:tcW w:type="dxa" w:w="6880"/>
            <w:shd w:fill="1B2A4A" w:val="clear"/>
            <w:tcMar>
              <w:top w:type="dxa" w:w="60"/>
              <w:left w:type="dxa" w:w="100"/>
              <w:bottom w:type="dxa" w:w="60"/>
              <w:right w:type="dxa" w:w="100"/>
            </w:tcMar>
            <w:vAlign w:val="center"/>
          </w:tcPr>
          <w:p>
            <w:pPr>
              <w:jc w:val="center"/>
            </w:pPr>
            <w:r>
              <w:rPr>
                <w:rFonts w:ascii="Garamond" w:cs="Garamond" w:eastAsia="Garamond" w:hAnsi="Garamond"/>
                <w:b/>
                <w:bCs/>
                <w:color w:val="FFFFFF"/>
                <w:sz w:val="17"/>
                <w:szCs w:val="17"/>
              </w:rPr>
              <w:t xml:space="preserve">Detail</w:t>
            </w:r>
          </w:p>
        </w:tc>
      </w:tr>
      <w:tr>
        <w:tc>
          <w:tcPr>
            <w:tcW w:type="dxa" w:w="3200"/>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Target</w:t>
            </w:r>
          </w:p>
        </w:tc>
        <w:tc>
          <w:tcPr>
            <w:tcW w:type="dxa" w:w="6880"/>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BlackLine, Inc. (NASDAQ: BL)</w:t>
            </w:r>
          </w:p>
        </w:tc>
      </w:tr>
      <w:tr>
        <w:tc>
          <w:tcPr>
            <w:tcW w:type="dxa" w:w="3200"/>
            <w:shd w:fill="F0F0F0" w:val="clear"/>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Transaction type</w:t>
            </w:r>
          </w:p>
        </w:tc>
        <w:tc>
          <w:tcPr>
            <w:tcW w:type="dxa" w:w="6880"/>
            <w:shd w:fill="F0F0F0" w:val="clear"/>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Sponsor-led take-private</w:t>
            </w:r>
          </w:p>
        </w:tc>
      </w:tr>
      <w:tr>
        <w:tc>
          <w:tcPr>
            <w:tcW w:type="dxa" w:w="3200"/>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Purchase enterprise value</w:t>
            </w:r>
          </w:p>
        </w:tc>
        <w:tc>
          <w:tcPr>
            <w:tcW w:type="dxa" w:w="6880"/>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$2,282.5mm</w:t>
            </w:r>
          </w:p>
        </w:tc>
      </w:tr>
      <w:tr>
        <w:tc>
          <w:tcPr>
            <w:tcW w:type="dxa" w:w="3200"/>
            <w:shd w:fill="F0F0F0" w:val="clear"/>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Entry multiple</w:t>
            </w:r>
          </w:p>
        </w:tc>
        <w:tc>
          <w:tcPr>
            <w:tcW w:type="dxa" w:w="6880"/>
            <w:shd w:fill="F0F0F0" w:val="clear"/>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12.3x FY2026E EBITDA (3.19x revenue)</w:t>
            </w:r>
          </w:p>
        </w:tc>
      </w:tr>
      <w:tr>
        <w:tc>
          <w:tcPr>
            <w:tcW w:type="dxa" w:w="3200"/>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Entry EBITDA margin</w:t>
            </w:r>
          </w:p>
        </w:tc>
        <w:tc>
          <w:tcPr>
            <w:tcW w:type="dxa" w:w="6880"/>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25.8%</w:t>
            </w:r>
          </w:p>
        </w:tc>
      </w:tr>
      <w:tr>
        <w:tc>
          <w:tcPr>
            <w:tcW w:type="dxa" w:w="3200"/>
            <w:shd w:fill="F0F0F0" w:val="clear"/>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Leverage at close</w:t>
            </w:r>
          </w:p>
        </w:tc>
        <w:tc>
          <w:tcPr>
            <w:tcW w:type="dxa" w:w="6880"/>
            <w:shd w:fill="F0F0F0" w:val="clear"/>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5.0x EBITDA ($925.7mm new debt)</w:t>
            </w:r>
          </w:p>
        </w:tc>
      </w:tr>
      <w:tr>
        <w:tc>
          <w:tcPr>
            <w:tcW w:type="dxa" w:w="3200"/>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Sponsor equity</w:t>
            </w:r>
          </w:p>
        </w:tc>
        <w:tc>
          <w:tcPr>
            <w:tcW w:type="dxa" w:w="6880"/>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$1,446.0mm (61.0% of total uses)</w:t>
            </w:r>
          </w:p>
        </w:tc>
      </w:tr>
      <w:tr>
        <w:tc>
          <w:tcPr>
            <w:tcW w:type="dxa" w:w="3200"/>
            <w:shd w:fill="F0F0F0" w:val="clear"/>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Cash interest rate</w:t>
            </w:r>
          </w:p>
        </w:tc>
        <w:tc>
          <w:tcPr>
            <w:tcW w:type="dxa" w:w="6880"/>
            <w:shd w:fill="F0F0F0" w:val="clear"/>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9.5% (SOFR + spread)</w:t>
            </w:r>
          </w:p>
        </w:tc>
      </w:tr>
      <w:tr>
        <w:tc>
          <w:tcPr>
            <w:tcW w:type="dxa" w:w="3200"/>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Minimum cash balance</w:t>
            </w:r>
          </w:p>
        </w:tc>
        <w:tc>
          <w:tcPr>
            <w:tcW w:type="dxa" w:w="6880"/>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$25.0mm, maintained throughout the hold</w:t>
            </w:r>
          </w:p>
        </w:tc>
      </w:tr>
      <w:tr>
        <w:tc>
          <w:tcPr>
            <w:tcW w:type="dxa" w:w="3200"/>
            <w:shd w:fill="F0F0F0" w:val="clear"/>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Hold period</w:t>
            </w:r>
          </w:p>
        </w:tc>
        <w:tc>
          <w:tcPr>
            <w:tcW w:type="dxa" w:w="6880"/>
            <w:shd w:fill="F0F0F0" w:val="clear"/>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5 years</w:t>
            </w:r>
          </w:p>
        </w:tc>
      </w:tr>
      <w:tr>
        <w:tc>
          <w:tcPr>
            <w:tcW w:type="dxa" w:w="3200"/>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Exit assumption</w:t>
            </w:r>
          </w:p>
        </w:tc>
        <w:tc>
          <w:tcPr>
            <w:tcW w:type="dxa" w:w="6880"/>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12.3x EBITDA, held flat to entry</w:t>
            </w:r>
          </w:p>
        </w:tc>
      </w:tr>
    </w:tbl>
    <w:p>
      <w:pPr>
        <w:spacing w:after="160"/>
      </w:pPr>
    </w:p>
    <w:p>
      <w:pPr>
        <w:spacing w:after="140" w:line="276"/>
        <w:jc w:val="both"/>
      </w:pPr>
      <w:r>
        <w:rPr>
          <w:rFonts w:ascii="Garamond" w:cs="Garamond" w:eastAsia="Garamond" w:hAnsi="Garamond"/>
          <w:sz w:val="19"/>
          <w:szCs w:val="19"/>
        </w:rPr>
        <w:t xml:space="preserve">The Company will be acquired for cash, funded through a combination of newly raised term debt and sponsor equity. No rollover equity from existing management is assumed in the base case; this is a diligence item, not a modeling limitation, and is addressed in Section 6.</w:t>
      </w:r>
    </w:p>
    <w:p>
      <w:pPr>
        <w:pStyle w:val="Heading1"/>
        <w:pBdr>
          <w:bottom w:val="single" w:color="1B2A4A" w:sz="4" w:space="2"/>
        </w:pBdr>
        <w:spacing w:after="140" w:before="320"/>
      </w:pPr>
      <w:r>
        <w:rPr>
          <w:rFonts w:ascii="Georgia" w:cs="Georgia" w:eastAsia="Georgia" w:hAnsi="Georgia"/>
          <w:b/>
          <w:bCs/>
          <w:color w:val="1B2A4A"/>
          <w:sz w:val="22"/>
          <w:szCs w:val="22"/>
        </w:rPr>
        <w:t xml:space="preserve">3. INVESTMENT THESIS</w:t>
      </w:r>
    </w:p>
    <w:p>
      <w:pPr>
        <w:spacing w:after="90" w:before="220"/>
      </w:pPr>
      <w:r>
        <w:rPr>
          <w:rFonts w:ascii="Georgia" w:cs="Georgia" w:eastAsia="Georgia" w:hAnsi="Georgia"/>
          <w:b/>
          <w:bCs/>
          <w:i/>
          <w:iCs/>
          <w:color w:val="1B2A4A"/>
          <w:sz w:val="20"/>
          <w:szCs w:val="20"/>
        </w:rPr>
        <w:t xml:space="preserve">3.1  Durable, expanding margins in a mission-critical software category</w:t>
      </w:r>
    </w:p>
    <w:p>
      <w:pPr>
        <w:spacing w:after="140" w:line="276"/>
        <w:jc w:val="both"/>
      </w:pPr>
      <w:r>
        <w:rPr>
          <w:rFonts w:ascii="Garamond" w:cs="Garamond" w:eastAsia="Garamond" w:hAnsi="Garamond"/>
          <w:sz w:val="19"/>
          <w:szCs w:val="19"/>
        </w:rPr>
        <w:t xml:space="preserve">BlackLine’s financial close and accounting automation software addresses a compliance-driven, non-discretionary spend category. The base case assumes EBITDA margin expands from 25.8% at entry to 32.0% by exit — 620 basis points of expansion driven by operating leverage as the revenue base scales, rather than by aggressive cost-out assumptions.</w:t>
      </w:r>
    </w:p>
    <w:p>
      <w:pPr>
        <w:spacing w:after="90" w:before="220"/>
      </w:pPr>
      <w:r>
        <w:rPr>
          <w:rFonts w:ascii="Georgia" w:cs="Georgia" w:eastAsia="Georgia" w:hAnsi="Georgia"/>
          <w:b/>
          <w:bCs/>
          <w:i/>
          <w:iCs/>
          <w:color w:val="1B2A4A"/>
          <w:sz w:val="20"/>
          <w:szCs w:val="20"/>
        </w:rPr>
        <w:t xml:space="preserve">3.2  Deleveraging is the dominant, most controllable return driver</w:t>
      </w:r>
    </w:p>
    <w:p>
      <w:pPr>
        <w:spacing w:after="140" w:line="276"/>
        <w:jc w:val="both"/>
      </w:pPr>
      <w:r>
        <w:rPr>
          <w:rFonts w:ascii="Garamond" w:cs="Garamond" w:eastAsia="Garamond" w:hAnsi="Garamond"/>
          <w:sz w:val="19"/>
          <w:szCs w:val="19"/>
        </w:rPr>
        <w:t xml:space="preserve">Total debt declines from $925.7mm at close to $350.0mm at exit, a 62.2% reduction. This is driven by free cash flow generation and a cash sweep structure that retains a $25.0mm minimum liquidity balance rather than sweeping to zero — a deliberately conservative construction relative to typical sponsor practice. The debt paydown alone contributes 24.0% of total equity value creation, independent of any operating outperformance.</w:t>
      </w:r>
    </w:p>
    <w:p>
      <w:pPr>
        <w:spacing w:after="90" w:before="220"/>
      </w:pPr>
      <w:r>
        <w:rPr>
          <w:rFonts w:ascii="Georgia" w:cs="Georgia" w:eastAsia="Georgia" w:hAnsi="Georgia"/>
          <w:b/>
          <w:bCs/>
          <w:i/>
          <w:iCs/>
          <w:color w:val="1B2A4A"/>
          <w:sz w:val="20"/>
          <w:szCs w:val="20"/>
        </w:rPr>
        <w:t xml:space="preserve">3.3  Returns do not depend on multiple expansion or exit market timing</w:t>
      </w:r>
    </w:p>
    <w:p>
      <w:pPr>
        <w:spacing w:after="140" w:line="276"/>
        <w:jc w:val="both"/>
      </w:pPr>
      <w:r>
        <w:rPr>
          <w:rFonts w:ascii="Garamond" w:cs="Garamond" w:eastAsia="Garamond" w:hAnsi="Garamond"/>
          <w:sz w:val="19"/>
          <w:szCs w:val="19"/>
        </w:rPr>
        <w:t xml:space="preserve">The base case holds the exit multiple flat to entry at 12.3x. This is a meaningfully more conservative construction than the median sponsor underwriting case in software, which typically assumes some multiple expansion from operating improvement or from exiting into a strategic or public-market buyer at a premium. Because this deal clears hurdle without that assumption, the case is structurally less exposed to a repricing of software multiples over the hold period than a comparable transaction underwritten with multiple expansion baked in.</w:t>
      </w:r>
    </w:p>
    <w:p>
      <w:pPr>
        <w:spacing w:after="90" w:before="220"/>
      </w:pPr>
      <w:r>
        <w:rPr>
          <w:rFonts w:ascii="Georgia" w:cs="Georgia" w:eastAsia="Georgia" w:hAnsi="Georgia"/>
          <w:b/>
          <w:bCs/>
          <w:i/>
          <w:iCs/>
          <w:color w:val="1B2A4A"/>
          <w:sz w:val="20"/>
          <w:szCs w:val="20"/>
        </w:rPr>
        <w:t xml:space="preserve">3.4  Revenue growth compounds at a defensible, not aggressive, rate</w:t>
      </w:r>
    </w:p>
    <w:p>
      <w:pPr>
        <w:spacing w:after="140" w:line="276"/>
        <w:jc w:val="both"/>
      </w:pPr>
      <w:r>
        <w:rPr>
          <w:rFonts w:ascii="Garamond" w:cs="Garamond" w:eastAsia="Garamond" w:hAnsi="Garamond"/>
          <w:sz w:val="19"/>
          <w:szCs w:val="19"/>
        </w:rPr>
        <w:t xml:space="preserve">Revenue is modeled to compound at 8.1% annually, decelerating from 8.0–9.0% in the early years to 7.0% by exit. This sits below BlackLine’s recent historical growth rate and does not assume any acceleration from new product lines, pricing actions, or M&amp;A — all of which represent potential upside not captured in the base case.</w:t>
      </w:r>
    </w:p>
    <w:p>
      <w:pPr>
        <w:pStyle w:val="Heading1"/>
        <w:pBdr>
          <w:bottom w:val="single" w:color="1B2A4A" w:sz="4" w:space="2"/>
        </w:pBdr>
        <w:spacing w:after="140" w:before="320"/>
      </w:pPr>
      <w:r>
        <w:rPr>
          <w:rFonts w:ascii="Georgia" w:cs="Georgia" w:eastAsia="Georgia" w:hAnsi="Georgia"/>
          <w:b/>
          <w:bCs/>
          <w:color w:val="1B2A4A"/>
          <w:sz w:val="22"/>
          <w:szCs w:val="22"/>
        </w:rPr>
        <w:t xml:space="preserve">4. FINANCIAL SUMMARY</w:t>
      </w:r>
    </w:p>
    <w:p>
      <w:pPr>
        <w:spacing w:after="90" w:before="220"/>
      </w:pPr>
      <w:r>
        <w:rPr>
          <w:rFonts w:ascii="Georgia" w:cs="Georgia" w:eastAsia="Georgia" w:hAnsi="Georgia"/>
          <w:b/>
          <w:bCs/>
          <w:i/>
          <w:iCs/>
          <w:color w:val="1B2A4A"/>
          <w:sz w:val="20"/>
          <w:szCs w:val="20"/>
        </w:rPr>
        <w:t xml:space="preserve">4.1  Sources and uses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0"/>
        <w:gridCol w:w="2540"/>
        <w:gridCol w:w="2540"/>
      </w:tblGrid>
      <w:tr>
        <w:trPr>
          <w:tblHeader/>
        </w:trPr>
        <w:tc>
          <w:tcPr>
            <w:tcW w:type="dxa" w:w="5000"/>
            <w:shd w:fill="1B2A4A" w:val="clear"/>
            <w:tcMar>
              <w:top w:type="dxa" w:w="60"/>
              <w:left w:type="dxa" w:w="100"/>
              <w:bottom w:type="dxa" w:w="60"/>
              <w:right w:type="dxa" w:w="100"/>
            </w:tcMar>
            <w:vAlign w:val="center"/>
          </w:tcPr>
          <w:p>
            <w:pPr>
              <w:jc w:val="left"/>
            </w:pPr>
            <w:r>
              <w:rPr>
                <w:rFonts w:ascii="Garamond" w:cs="Garamond" w:eastAsia="Garamond" w:hAnsi="Garamond"/>
                <w:b/>
                <w:bCs/>
                <w:color w:val="FFFFFF"/>
                <w:sz w:val="17"/>
                <w:szCs w:val="17"/>
              </w:rPr>
              <w:t xml:space="preserve"/>
            </w:r>
          </w:p>
        </w:tc>
        <w:tc>
          <w:tcPr>
            <w:tcW w:type="dxa" w:w="2540"/>
            <w:shd w:fill="1B2A4A" w:val="clear"/>
            <w:tcMar>
              <w:top w:type="dxa" w:w="60"/>
              <w:left w:type="dxa" w:w="100"/>
              <w:bottom w:type="dxa" w:w="60"/>
              <w:right w:type="dxa" w:w="100"/>
            </w:tcMar>
            <w:vAlign w:val="center"/>
          </w:tcPr>
          <w:p>
            <w:pPr>
              <w:jc w:val="center"/>
            </w:pPr>
            <w:r>
              <w:rPr>
                <w:rFonts w:ascii="Garamond" w:cs="Garamond" w:eastAsia="Garamond" w:hAnsi="Garamond"/>
                <w:b/>
                <w:bCs/>
                <w:color w:val="FFFFFF"/>
                <w:sz w:val="17"/>
                <w:szCs w:val="17"/>
              </w:rPr>
              <w:t xml:space="preserve">$mm</w:t>
            </w:r>
          </w:p>
        </w:tc>
        <w:tc>
          <w:tcPr>
            <w:tcW w:type="dxa" w:w="2540"/>
            <w:shd w:fill="1B2A4A" w:val="clear"/>
            <w:tcMar>
              <w:top w:type="dxa" w:w="60"/>
              <w:left w:type="dxa" w:w="100"/>
              <w:bottom w:type="dxa" w:w="60"/>
              <w:right w:type="dxa" w:w="100"/>
            </w:tcMar>
            <w:vAlign w:val="center"/>
          </w:tcPr>
          <w:p>
            <w:pPr>
              <w:jc w:val="center"/>
            </w:pPr>
            <w:r>
              <w:rPr>
                <w:rFonts w:ascii="Garamond" w:cs="Garamond" w:eastAsia="Garamond" w:hAnsi="Garamond"/>
                <w:b/>
                <w:bCs/>
                <w:color w:val="FFFFFF"/>
                <w:sz w:val="17"/>
                <w:szCs w:val="17"/>
              </w:rPr>
              <w:t xml:space="preserve">% of total</w:t>
            </w:r>
          </w:p>
        </w:tc>
      </w:tr>
      <w:tr>
        <w:tc>
          <w:tcPr>
            <w:tcW w:type="dxa" w:w="5000"/>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Purchase enterprise value</w:t>
            </w:r>
          </w:p>
        </w:tc>
        <w:tc>
          <w:tcPr>
            <w:tcW w:type="dxa" w:w="2540"/>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2,282.5</w:t>
            </w:r>
          </w:p>
        </w:tc>
        <w:tc>
          <w:tcPr>
            <w:tcW w:type="dxa" w:w="2540"/>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96.3%</w:t>
            </w:r>
          </w:p>
        </w:tc>
      </w:tr>
      <w:tr>
        <w:tc>
          <w:tcPr>
            <w:tcW w:type="dxa" w:w="5000"/>
            <w:shd w:fill="F0F0F0" w:val="clear"/>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Transaction fees (2.0% of EV)</w:t>
            </w:r>
          </w:p>
        </w:tc>
        <w:tc>
          <w:tcPr>
            <w:tcW w:type="dxa" w:w="2540"/>
            <w:shd w:fill="F0F0F0" w:val="clear"/>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45.7</w:t>
            </w:r>
          </w:p>
        </w:tc>
        <w:tc>
          <w:tcPr>
            <w:tcW w:type="dxa" w:w="2540"/>
            <w:shd w:fill="F0F0F0" w:val="clear"/>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1.9%</w:t>
            </w:r>
          </w:p>
        </w:tc>
      </w:tr>
      <w:tr>
        <w:tc>
          <w:tcPr>
            <w:tcW w:type="dxa" w:w="5000"/>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Financing fees (2.0% of debt)</w:t>
            </w:r>
          </w:p>
        </w:tc>
        <w:tc>
          <w:tcPr>
            <w:tcW w:type="dxa" w:w="2540"/>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18.5</w:t>
            </w:r>
          </w:p>
        </w:tc>
        <w:tc>
          <w:tcPr>
            <w:tcW w:type="dxa" w:w="2540"/>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0.8%</w:t>
            </w:r>
          </w:p>
        </w:tc>
      </w:tr>
      <w:tr>
        <w:tc>
          <w:tcPr>
            <w:tcW w:type="dxa" w:w="5000"/>
            <w:shd w:fill="F0F0F0" w:val="clear"/>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Cash to balance sheet</w:t>
            </w:r>
          </w:p>
        </w:tc>
        <w:tc>
          <w:tcPr>
            <w:tcW w:type="dxa" w:w="2540"/>
            <w:shd w:fill="F0F0F0" w:val="clear"/>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25.0</w:t>
            </w:r>
          </w:p>
        </w:tc>
        <w:tc>
          <w:tcPr>
            <w:tcW w:type="dxa" w:w="2540"/>
            <w:shd w:fill="F0F0F0" w:val="clear"/>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1.1%</w:t>
            </w:r>
          </w:p>
        </w:tc>
      </w:tr>
      <w:tr>
        <w:tc>
          <w:tcPr>
            <w:tcW w:type="dxa" w:w="5000"/>
            <w:shd w:fill="E6E6E6" w:val="clear"/>
            <w:tcMar>
              <w:top w:type="dxa" w:w="60"/>
              <w:left w:type="dxa" w:w="100"/>
              <w:bottom w:type="dxa" w:w="60"/>
              <w:right w:type="dxa" w:w="100"/>
            </w:tcMar>
            <w:vAlign w:val="center"/>
          </w:tcPr>
          <w:p>
            <w:pPr>
              <w:jc w:val="left"/>
            </w:pPr>
            <w:r>
              <w:rPr>
                <w:rFonts w:ascii="Garamond" w:cs="Garamond" w:eastAsia="Garamond" w:hAnsi="Garamond"/>
                <w:b/>
                <w:bCs/>
                <w:color w:val="000000"/>
                <w:sz w:val="18"/>
                <w:szCs w:val="18"/>
              </w:rPr>
              <w:t xml:space="preserve">Total uses</w:t>
            </w:r>
          </w:p>
        </w:tc>
        <w:tc>
          <w:tcPr>
            <w:tcW w:type="dxa" w:w="2540"/>
            <w:shd w:fill="E6E6E6" w:val="clear"/>
            <w:tcMar>
              <w:top w:type="dxa" w:w="60"/>
              <w:left w:type="dxa" w:w="100"/>
              <w:bottom w:type="dxa" w:w="60"/>
              <w:right w:type="dxa" w:w="100"/>
            </w:tcMar>
            <w:vAlign w:val="center"/>
          </w:tcPr>
          <w:p>
            <w:pPr>
              <w:jc w:val="center"/>
            </w:pPr>
            <w:r>
              <w:rPr>
                <w:rFonts w:ascii="Garamond" w:cs="Garamond" w:eastAsia="Garamond" w:hAnsi="Garamond"/>
                <w:b/>
                <w:bCs/>
                <w:color w:val="000000"/>
                <w:sz w:val="18"/>
                <w:szCs w:val="18"/>
              </w:rPr>
              <w:t xml:space="preserve">2,371.7</w:t>
            </w:r>
          </w:p>
        </w:tc>
        <w:tc>
          <w:tcPr>
            <w:tcW w:type="dxa" w:w="2540"/>
            <w:shd w:fill="E6E6E6" w:val="clear"/>
            <w:tcMar>
              <w:top w:type="dxa" w:w="60"/>
              <w:left w:type="dxa" w:w="100"/>
              <w:bottom w:type="dxa" w:w="60"/>
              <w:right w:type="dxa" w:w="100"/>
            </w:tcMar>
            <w:vAlign w:val="center"/>
          </w:tcPr>
          <w:p>
            <w:pPr>
              <w:jc w:val="center"/>
            </w:pPr>
            <w:r>
              <w:rPr>
                <w:rFonts w:ascii="Garamond" w:cs="Garamond" w:eastAsia="Garamond" w:hAnsi="Garamond"/>
                <w:b/>
                <w:bCs/>
                <w:color w:val="000000"/>
                <w:sz w:val="18"/>
                <w:szCs w:val="18"/>
              </w:rPr>
              <w:t xml:space="preserve">100.0%</w:t>
            </w:r>
          </w:p>
        </w:tc>
      </w:tr>
    </w:tbl>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0"/>
        <w:gridCol w:w="2540"/>
        <w:gridCol w:w="2540"/>
      </w:tblGrid>
      <w:tr>
        <w:trPr>
          <w:tblHeader/>
        </w:trPr>
        <w:tc>
          <w:tcPr>
            <w:tcW w:type="dxa" w:w="5000"/>
            <w:shd w:fill="1B2A4A" w:val="clear"/>
            <w:tcMar>
              <w:top w:type="dxa" w:w="60"/>
              <w:left w:type="dxa" w:w="100"/>
              <w:bottom w:type="dxa" w:w="60"/>
              <w:right w:type="dxa" w:w="100"/>
            </w:tcMar>
            <w:vAlign w:val="center"/>
          </w:tcPr>
          <w:p>
            <w:pPr>
              <w:jc w:val="left"/>
            </w:pPr>
            <w:r>
              <w:rPr>
                <w:rFonts w:ascii="Garamond" w:cs="Garamond" w:eastAsia="Garamond" w:hAnsi="Garamond"/>
                <w:b/>
                <w:bCs/>
                <w:color w:val="FFFFFF"/>
                <w:sz w:val="17"/>
                <w:szCs w:val="17"/>
              </w:rPr>
              <w:t xml:space="preserve"/>
            </w:r>
          </w:p>
        </w:tc>
        <w:tc>
          <w:tcPr>
            <w:tcW w:type="dxa" w:w="2540"/>
            <w:shd w:fill="1B2A4A" w:val="clear"/>
            <w:tcMar>
              <w:top w:type="dxa" w:w="60"/>
              <w:left w:type="dxa" w:w="100"/>
              <w:bottom w:type="dxa" w:w="60"/>
              <w:right w:type="dxa" w:w="100"/>
            </w:tcMar>
            <w:vAlign w:val="center"/>
          </w:tcPr>
          <w:p>
            <w:pPr>
              <w:jc w:val="center"/>
            </w:pPr>
            <w:r>
              <w:rPr>
                <w:rFonts w:ascii="Garamond" w:cs="Garamond" w:eastAsia="Garamond" w:hAnsi="Garamond"/>
                <w:b/>
                <w:bCs/>
                <w:color w:val="FFFFFF"/>
                <w:sz w:val="17"/>
                <w:szCs w:val="17"/>
              </w:rPr>
              <w:t xml:space="preserve">$mm</w:t>
            </w:r>
          </w:p>
        </w:tc>
        <w:tc>
          <w:tcPr>
            <w:tcW w:type="dxa" w:w="2540"/>
            <w:shd w:fill="1B2A4A" w:val="clear"/>
            <w:tcMar>
              <w:top w:type="dxa" w:w="60"/>
              <w:left w:type="dxa" w:w="100"/>
              <w:bottom w:type="dxa" w:w="60"/>
              <w:right w:type="dxa" w:w="100"/>
            </w:tcMar>
            <w:vAlign w:val="center"/>
          </w:tcPr>
          <w:p>
            <w:pPr>
              <w:jc w:val="center"/>
            </w:pPr>
            <w:r>
              <w:rPr>
                <w:rFonts w:ascii="Garamond" w:cs="Garamond" w:eastAsia="Garamond" w:hAnsi="Garamond"/>
                <w:b/>
                <w:bCs/>
                <w:color w:val="FFFFFF"/>
                <w:sz w:val="17"/>
                <w:szCs w:val="17"/>
              </w:rPr>
              <w:t xml:space="preserve">% of total</w:t>
            </w:r>
          </w:p>
        </w:tc>
      </w:tr>
      <w:tr>
        <w:tc>
          <w:tcPr>
            <w:tcW w:type="dxa" w:w="5000"/>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New debt raised (5.0x EBITDA)</w:t>
            </w:r>
          </w:p>
        </w:tc>
        <w:tc>
          <w:tcPr>
            <w:tcW w:type="dxa" w:w="2540"/>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925.7</w:t>
            </w:r>
          </w:p>
        </w:tc>
        <w:tc>
          <w:tcPr>
            <w:tcW w:type="dxa" w:w="2540"/>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39.0%</w:t>
            </w:r>
          </w:p>
        </w:tc>
      </w:tr>
      <w:tr>
        <w:tc>
          <w:tcPr>
            <w:tcW w:type="dxa" w:w="5000"/>
            <w:shd w:fill="F0F0F0" w:val="clear"/>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Sponsor equity</w:t>
            </w:r>
          </w:p>
        </w:tc>
        <w:tc>
          <w:tcPr>
            <w:tcW w:type="dxa" w:w="2540"/>
            <w:shd w:fill="F0F0F0" w:val="clear"/>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1,446.0</w:t>
            </w:r>
          </w:p>
        </w:tc>
        <w:tc>
          <w:tcPr>
            <w:tcW w:type="dxa" w:w="2540"/>
            <w:shd w:fill="F0F0F0" w:val="clear"/>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61.0%</w:t>
            </w:r>
          </w:p>
        </w:tc>
      </w:tr>
      <w:tr>
        <w:tc>
          <w:tcPr>
            <w:tcW w:type="dxa" w:w="5000"/>
            <w:shd w:fill="E6E6E6" w:val="clear"/>
            <w:tcMar>
              <w:top w:type="dxa" w:w="60"/>
              <w:left w:type="dxa" w:w="100"/>
              <w:bottom w:type="dxa" w:w="60"/>
              <w:right w:type="dxa" w:w="100"/>
            </w:tcMar>
            <w:vAlign w:val="center"/>
          </w:tcPr>
          <w:p>
            <w:pPr>
              <w:jc w:val="left"/>
            </w:pPr>
            <w:r>
              <w:rPr>
                <w:rFonts w:ascii="Garamond" w:cs="Garamond" w:eastAsia="Garamond" w:hAnsi="Garamond"/>
                <w:b/>
                <w:bCs/>
                <w:color w:val="000000"/>
                <w:sz w:val="18"/>
                <w:szCs w:val="18"/>
              </w:rPr>
              <w:t xml:space="preserve">Total sources</w:t>
            </w:r>
          </w:p>
        </w:tc>
        <w:tc>
          <w:tcPr>
            <w:tcW w:type="dxa" w:w="2540"/>
            <w:shd w:fill="E6E6E6" w:val="clear"/>
            <w:tcMar>
              <w:top w:type="dxa" w:w="60"/>
              <w:left w:type="dxa" w:w="100"/>
              <w:bottom w:type="dxa" w:w="60"/>
              <w:right w:type="dxa" w:w="100"/>
            </w:tcMar>
            <w:vAlign w:val="center"/>
          </w:tcPr>
          <w:p>
            <w:pPr>
              <w:jc w:val="center"/>
            </w:pPr>
            <w:r>
              <w:rPr>
                <w:rFonts w:ascii="Garamond" w:cs="Garamond" w:eastAsia="Garamond" w:hAnsi="Garamond"/>
                <w:b/>
                <w:bCs/>
                <w:color w:val="000000"/>
                <w:sz w:val="18"/>
                <w:szCs w:val="18"/>
              </w:rPr>
              <w:t xml:space="preserve">2,371.7</w:t>
            </w:r>
          </w:p>
        </w:tc>
        <w:tc>
          <w:tcPr>
            <w:tcW w:type="dxa" w:w="2540"/>
            <w:shd w:fill="E6E6E6" w:val="clear"/>
            <w:tcMar>
              <w:top w:type="dxa" w:w="60"/>
              <w:left w:type="dxa" w:w="100"/>
              <w:bottom w:type="dxa" w:w="60"/>
              <w:right w:type="dxa" w:w="100"/>
            </w:tcMar>
            <w:vAlign w:val="center"/>
          </w:tcPr>
          <w:p>
            <w:pPr>
              <w:jc w:val="center"/>
            </w:pPr>
            <w:r>
              <w:rPr>
                <w:rFonts w:ascii="Garamond" w:cs="Garamond" w:eastAsia="Garamond" w:hAnsi="Garamond"/>
                <w:b/>
                <w:bCs/>
                <w:color w:val="000000"/>
                <w:sz w:val="18"/>
                <w:szCs w:val="18"/>
              </w:rPr>
              <w:t xml:space="preserve">100.0%</w:t>
            </w:r>
          </w:p>
        </w:tc>
      </w:tr>
    </w:tbl>
    <w:p>
      <w:pPr>
        <w:spacing w:after="90" w:before="220"/>
      </w:pPr>
      <w:r>
        <w:rPr>
          <w:rFonts w:ascii="Georgia" w:cs="Georgia" w:eastAsia="Georgia" w:hAnsi="Georgia"/>
          <w:b/>
          <w:bCs/>
          <w:i/>
          <w:iCs/>
          <w:color w:val="1B2A4A"/>
          <w:sz w:val="20"/>
          <w:szCs w:val="20"/>
        </w:rPr>
        <w:t xml:space="preserve">4.2  Operating case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315"/>
        <w:gridCol w:w="1315"/>
        <w:gridCol w:w="1315"/>
        <w:gridCol w:w="1315"/>
        <w:gridCol w:w="1315"/>
        <w:gridCol w:w="1305"/>
      </w:tblGrid>
      <w:tr>
        <w:trPr>
          <w:tblHeader/>
        </w:trPr>
        <w:tc>
          <w:tcPr>
            <w:tcW w:type="dxa" w:w="2200"/>
            <w:shd w:fill="1B2A4A" w:val="clear"/>
            <w:tcMar>
              <w:top w:type="dxa" w:w="60"/>
              <w:left w:type="dxa" w:w="100"/>
              <w:bottom w:type="dxa" w:w="60"/>
              <w:right w:type="dxa" w:w="100"/>
            </w:tcMar>
            <w:vAlign w:val="center"/>
          </w:tcPr>
          <w:p>
            <w:pPr>
              <w:jc w:val="left"/>
            </w:pPr>
            <w:r>
              <w:rPr>
                <w:rFonts w:ascii="Garamond" w:cs="Garamond" w:eastAsia="Garamond" w:hAnsi="Garamond"/>
                <w:b/>
                <w:bCs/>
                <w:color w:val="FFFFFF"/>
                <w:sz w:val="17"/>
                <w:szCs w:val="17"/>
              </w:rPr>
              <w:t xml:space="preserve"/>
            </w:r>
          </w:p>
        </w:tc>
        <w:tc>
          <w:tcPr>
            <w:tcW w:type="dxa" w:w="1315"/>
            <w:shd w:fill="1B2A4A" w:val="clear"/>
            <w:tcMar>
              <w:top w:type="dxa" w:w="60"/>
              <w:left w:type="dxa" w:w="100"/>
              <w:bottom w:type="dxa" w:w="60"/>
              <w:right w:type="dxa" w:w="100"/>
            </w:tcMar>
            <w:vAlign w:val="center"/>
          </w:tcPr>
          <w:p>
            <w:pPr>
              <w:jc w:val="center"/>
            </w:pPr>
            <w:r>
              <w:rPr>
                <w:rFonts w:ascii="Garamond" w:cs="Garamond" w:eastAsia="Garamond" w:hAnsi="Garamond"/>
                <w:b/>
                <w:bCs/>
                <w:color w:val="FFFFFF"/>
                <w:sz w:val="17"/>
                <w:szCs w:val="17"/>
              </w:rPr>
              <w:t xml:space="preserve">2026E</w:t>
            </w:r>
          </w:p>
        </w:tc>
        <w:tc>
          <w:tcPr>
            <w:tcW w:type="dxa" w:w="1315"/>
            <w:shd w:fill="1B2A4A" w:val="clear"/>
            <w:tcMar>
              <w:top w:type="dxa" w:w="60"/>
              <w:left w:type="dxa" w:w="100"/>
              <w:bottom w:type="dxa" w:w="60"/>
              <w:right w:type="dxa" w:w="100"/>
            </w:tcMar>
            <w:vAlign w:val="center"/>
          </w:tcPr>
          <w:p>
            <w:pPr>
              <w:jc w:val="center"/>
            </w:pPr>
            <w:r>
              <w:rPr>
                <w:rFonts w:ascii="Garamond" w:cs="Garamond" w:eastAsia="Garamond" w:hAnsi="Garamond"/>
                <w:b/>
                <w:bCs/>
                <w:color w:val="FFFFFF"/>
                <w:sz w:val="17"/>
                <w:szCs w:val="17"/>
              </w:rPr>
              <w:t xml:space="preserve">2027E</w:t>
            </w:r>
          </w:p>
        </w:tc>
        <w:tc>
          <w:tcPr>
            <w:tcW w:type="dxa" w:w="1315"/>
            <w:shd w:fill="1B2A4A" w:val="clear"/>
            <w:tcMar>
              <w:top w:type="dxa" w:w="60"/>
              <w:left w:type="dxa" w:w="100"/>
              <w:bottom w:type="dxa" w:w="60"/>
              <w:right w:type="dxa" w:w="100"/>
            </w:tcMar>
            <w:vAlign w:val="center"/>
          </w:tcPr>
          <w:p>
            <w:pPr>
              <w:jc w:val="center"/>
            </w:pPr>
            <w:r>
              <w:rPr>
                <w:rFonts w:ascii="Garamond" w:cs="Garamond" w:eastAsia="Garamond" w:hAnsi="Garamond"/>
                <w:b/>
                <w:bCs/>
                <w:color w:val="FFFFFF"/>
                <w:sz w:val="17"/>
                <w:szCs w:val="17"/>
              </w:rPr>
              <w:t xml:space="preserve">2028E</w:t>
            </w:r>
          </w:p>
        </w:tc>
        <w:tc>
          <w:tcPr>
            <w:tcW w:type="dxa" w:w="1315"/>
            <w:shd w:fill="1B2A4A" w:val="clear"/>
            <w:tcMar>
              <w:top w:type="dxa" w:w="60"/>
              <w:left w:type="dxa" w:w="100"/>
              <w:bottom w:type="dxa" w:w="60"/>
              <w:right w:type="dxa" w:w="100"/>
            </w:tcMar>
            <w:vAlign w:val="center"/>
          </w:tcPr>
          <w:p>
            <w:pPr>
              <w:jc w:val="center"/>
            </w:pPr>
            <w:r>
              <w:rPr>
                <w:rFonts w:ascii="Garamond" w:cs="Garamond" w:eastAsia="Garamond" w:hAnsi="Garamond"/>
                <w:b/>
                <w:bCs/>
                <w:color w:val="FFFFFF"/>
                <w:sz w:val="17"/>
                <w:szCs w:val="17"/>
              </w:rPr>
              <w:t xml:space="preserve">2029E</w:t>
            </w:r>
          </w:p>
        </w:tc>
        <w:tc>
          <w:tcPr>
            <w:tcW w:type="dxa" w:w="1315"/>
            <w:shd w:fill="1B2A4A" w:val="clear"/>
            <w:tcMar>
              <w:top w:type="dxa" w:w="60"/>
              <w:left w:type="dxa" w:w="100"/>
              <w:bottom w:type="dxa" w:w="60"/>
              <w:right w:type="dxa" w:w="100"/>
            </w:tcMar>
            <w:vAlign w:val="center"/>
          </w:tcPr>
          <w:p>
            <w:pPr>
              <w:jc w:val="center"/>
            </w:pPr>
            <w:r>
              <w:rPr>
                <w:rFonts w:ascii="Garamond" w:cs="Garamond" w:eastAsia="Garamond" w:hAnsi="Garamond"/>
                <w:b/>
                <w:bCs/>
                <w:color w:val="FFFFFF"/>
                <w:sz w:val="17"/>
                <w:szCs w:val="17"/>
              </w:rPr>
              <w:t xml:space="preserve">2030E</w:t>
            </w:r>
          </w:p>
        </w:tc>
        <w:tc>
          <w:tcPr>
            <w:tcW w:type="dxa" w:w="1305"/>
            <w:shd w:fill="1B2A4A" w:val="clear"/>
            <w:tcMar>
              <w:top w:type="dxa" w:w="60"/>
              <w:left w:type="dxa" w:w="100"/>
              <w:bottom w:type="dxa" w:w="60"/>
              <w:right w:type="dxa" w:w="100"/>
            </w:tcMar>
            <w:vAlign w:val="center"/>
          </w:tcPr>
          <w:p>
            <w:pPr>
              <w:jc w:val="center"/>
            </w:pPr>
            <w:r>
              <w:rPr>
                <w:rFonts w:ascii="Garamond" w:cs="Garamond" w:eastAsia="Garamond" w:hAnsi="Garamond"/>
                <w:b/>
                <w:bCs/>
                <w:color w:val="FFFFFF"/>
                <w:sz w:val="17"/>
                <w:szCs w:val="17"/>
              </w:rPr>
              <w:t xml:space="preserve">2031E</w:t>
            </w:r>
          </w:p>
        </w:tc>
      </w:tr>
      <w:tr>
        <w:tc>
          <w:tcPr>
            <w:tcW w:type="dxa" w:w="2200"/>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Revenue ($mm)</w:t>
            </w:r>
          </w:p>
        </w:tc>
        <w:tc>
          <w:tcPr>
            <w:tcW w:type="dxa" w:w="1315"/>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716.7</w:t>
            </w:r>
          </w:p>
        </w:tc>
        <w:tc>
          <w:tcPr>
            <w:tcW w:type="dxa" w:w="1315"/>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774.0</w:t>
            </w:r>
          </w:p>
        </w:tc>
        <w:tc>
          <w:tcPr>
            <w:tcW w:type="dxa" w:w="1315"/>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839.8</w:t>
            </w:r>
          </w:p>
        </w:tc>
        <w:tc>
          <w:tcPr>
            <w:tcW w:type="dxa" w:w="1315"/>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915.4</w:t>
            </w:r>
          </w:p>
        </w:tc>
        <w:tc>
          <w:tcPr>
            <w:tcW w:type="dxa" w:w="1315"/>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988.6</w:t>
            </w:r>
          </w:p>
        </w:tc>
        <w:tc>
          <w:tcPr>
            <w:tcW w:type="dxa" w:w="1305"/>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1,057.8</w:t>
            </w:r>
          </w:p>
        </w:tc>
      </w:tr>
      <w:tr>
        <w:tc>
          <w:tcPr>
            <w:tcW w:type="dxa" w:w="2200"/>
            <w:shd w:fill="F0F0F0" w:val="clear"/>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Growth</w:t>
            </w:r>
          </w:p>
        </w:tc>
        <w:tc>
          <w:tcPr>
            <w:tcW w:type="dxa" w:w="1315"/>
            <w:shd w:fill="F0F0F0" w:val="clear"/>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w:t>
            </w:r>
          </w:p>
        </w:tc>
        <w:tc>
          <w:tcPr>
            <w:tcW w:type="dxa" w:w="1315"/>
            <w:shd w:fill="F0F0F0" w:val="clear"/>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8.0%</w:t>
            </w:r>
          </w:p>
        </w:tc>
        <w:tc>
          <w:tcPr>
            <w:tcW w:type="dxa" w:w="1315"/>
            <w:shd w:fill="F0F0F0" w:val="clear"/>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8.5%</w:t>
            </w:r>
          </w:p>
        </w:tc>
        <w:tc>
          <w:tcPr>
            <w:tcW w:type="dxa" w:w="1315"/>
            <w:shd w:fill="F0F0F0" w:val="clear"/>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9.0%</w:t>
            </w:r>
          </w:p>
        </w:tc>
        <w:tc>
          <w:tcPr>
            <w:tcW w:type="dxa" w:w="1315"/>
            <w:shd w:fill="F0F0F0" w:val="clear"/>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8.0%</w:t>
            </w:r>
          </w:p>
        </w:tc>
        <w:tc>
          <w:tcPr>
            <w:tcW w:type="dxa" w:w="1305"/>
            <w:shd w:fill="F0F0F0" w:val="clear"/>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7.0%</w:t>
            </w:r>
          </w:p>
        </w:tc>
      </w:tr>
      <w:tr>
        <w:tc>
          <w:tcPr>
            <w:tcW w:type="dxa" w:w="2200"/>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EBITDA margin</w:t>
            </w:r>
          </w:p>
        </w:tc>
        <w:tc>
          <w:tcPr>
            <w:tcW w:type="dxa" w:w="1315"/>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25.8%</w:t>
            </w:r>
          </w:p>
        </w:tc>
        <w:tc>
          <w:tcPr>
            <w:tcW w:type="dxa" w:w="1315"/>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27.0%</w:t>
            </w:r>
          </w:p>
        </w:tc>
        <w:tc>
          <w:tcPr>
            <w:tcW w:type="dxa" w:w="1315"/>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28.5%</w:t>
            </w:r>
          </w:p>
        </w:tc>
        <w:tc>
          <w:tcPr>
            <w:tcW w:type="dxa" w:w="1315"/>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30.0%</w:t>
            </w:r>
          </w:p>
        </w:tc>
        <w:tc>
          <w:tcPr>
            <w:tcW w:type="dxa" w:w="1315"/>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31.0%</w:t>
            </w:r>
          </w:p>
        </w:tc>
        <w:tc>
          <w:tcPr>
            <w:tcW w:type="dxa" w:w="1305"/>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32.0%</w:t>
            </w:r>
          </w:p>
        </w:tc>
      </w:tr>
      <w:tr>
        <w:tc>
          <w:tcPr>
            <w:tcW w:type="dxa" w:w="2200"/>
            <w:shd w:fill="F0F0F0" w:val="clear"/>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EBITDA ($mm)</w:t>
            </w:r>
          </w:p>
        </w:tc>
        <w:tc>
          <w:tcPr>
            <w:tcW w:type="dxa" w:w="1315"/>
            <w:shd w:fill="F0F0F0" w:val="clear"/>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185.1</w:t>
            </w:r>
          </w:p>
        </w:tc>
        <w:tc>
          <w:tcPr>
            <w:tcW w:type="dxa" w:w="1315"/>
            <w:shd w:fill="F0F0F0" w:val="clear"/>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209.0</w:t>
            </w:r>
          </w:p>
        </w:tc>
        <w:tc>
          <w:tcPr>
            <w:tcW w:type="dxa" w:w="1315"/>
            <w:shd w:fill="F0F0F0" w:val="clear"/>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239.3</w:t>
            </w:r>
          </w:p>
        </w:tc>
        <w:tc>
          <w:tcPr>
            <w:tcW w:type="dxa" w:w="1315"/>
            <w:shd w:fill="F0F0F0" w:val="clear"/>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274.6</w:t>
            </w:r>
          </w:p>
        </w:tc>
        <w:tc>
          <w:tcPr>
            <w:tcW w:type="dxa" w:w="1315"/>
            <w:shd w:fill="F0F0F0" w:val="clear"/>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306.5</w:t>
            </w:r>
          </w:p>
        </w:tc>
        <w:tc>
          <w:tcPr>
            <w:tcW w:type="dxa" w:w="1305"/>
            <w:shd w:fill="F0F0F0" w:val="clear"/>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338.5</w:t>
            </w:r>
          </w:p>
        </w:tc>
      </w:tr>
    </w:tbl>
    <w:p>
      <w:pPr>
        <w:spacing w:after="90" w:before="220"/>
      </w:pPr>
      <w:r>
        <w:rPr>
          <w:rFonts w:ascii="Georgia" w:cs="Georgia" w:eastAsia="Georgia" w:hAnsi="Georgia"/>
          <w:b/>
          <w:bCs/>
          <w:i/>
          <w:iCs/>
          <w:color w:val="1B2A4A"/>
          <w:sz w:val="20"/>
          <w:szCs w:val="20"/>
        </w:rPr>
        <w:t xml:space="preserve">4.3  Credit profile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2380"/>
        <w:gridCol w:w="2380"/>
        <w:gridCol w:w="1920"/>
      </w:tblGrid>
      <w:tr>
        <w:trPr>
          <w:tblHeader/>
        </w:trPr>
        <w:tc>
          <w:tcPr>
            <w:tcW w:type="dxa" w:w="3400"/>
            <w:shd w:fill="1B2A4A" w:val="clear"/>
            <w:tcMar>
              <w:top w:type="dxa" w:w="60"/>
              <w:left w:type="dxa" w:w="100"/>
              <w:bottom w:type="dxa" w:w="60"/>
              <w:right w:type="dxa" w:w="100"/>
            </w:tcMar>
            <w:vAlign w:val="center"/>
          </w:tcPr>
          <w:p>
            <w:pPr>
              <w:jc w:val="left"/>
            </w:pPr>
            <w:r>
              <w:rPr>
                <w:rFonts w:ascii="Garamond" w:cs="Garamond" w:eastAsia="Garamond" w:hAnsi="Garamond"/>
                <w:b/>
                <w:bCs/>
                <w:color w:val="FFFFFF"/>
                <w:sz w:val="17"/>
                <w:szCs w:val="17"/>
              </w:rPr>
              <w:t xml:space="preserve"/>
            </w:r>
          </w:p>
        </w:tc>
        <w:tc>
          <w:tcPr>
            <w:tcW w:type="dxa" w:w="2380"/>
            <w:shd w:fill="1B2A4A" w:val="clear"/>
            <w:tcMar>
              <w:top w:type="dxa" w:w="60"/>
              <w:left w:type="dxa" w:w="100"/>
              <w:bottom w:type="dxa" w:w="60"/>
              <w:right w:type="dxa" w:w="100"/>
            </w:tcMar>
            <w:vAlign w:val="center"/>
          </w:tcPr>
          <w:p>
            <w:pPr>
              <w:jc w:val="center"/>
            </w:pPr>
            <w:r>
              <w:rPr>
                <w:rFonts w:ascii="Garamond" w:cs="Garamond" w:eastAsia="Garamond" w:hAnsi="Garamond"/>
                <w:b/>
                <w:bCs/>
                <w:color w:val="FFFFFF"/>
                <w:sz w:val="17"/>
                <w:szCs w:val="17"/>
              </w:rPr>
              <w:t xml:space="preserve">2026E</w:t>
            </w:r>
          </w:p>
        </w:tc>
        <w:tc>
          <w:tcPr>
            <w:tcW w:type="dxa" w:w="2380"/>
            <w:shd w:fill="1B2A4A" w:val="clear"/>
            <w:tcMar>
              <w:top w:type="dxa" w:w="60"/>
              <w:left w:type="dxa" w:w="100"/>
              <w:bottom w:type="dxa" w:w="60"/>
              <w:right w:type="dxa" w:w="100"/>
            </w:tcMar>
            <w:vAlign w:val="center"/>
          </w:tcPr>
          <w:p>
            <w:pPr>
              <w:jc w:val="center"/>
            </w:pPr>
            <w:r>
              <w:rPr>
                <w:rFonts w:ascii="Garamond" w:cs="Garamond" w:eastAsia="Garamond" w:hAnsi="Garamond"/>
                <w:b/>
                <w:bCs/>
                <w:color w:val="FFFFFF"/>
                <w:sz w:val="17"/>
                <w:szCs w:val="17"/>
              </w:rPr>
              <w:t xml:space="preserve">2028E</w:t>
            </w:r>
          </w:p>
        </w:tc>
        <w:tc>
          <w:tcPr>
            <w:tcW w:type="dxa" w:w="1920"/>
            <w:shd w:fill="1B2A4A" w:val="clear"/>
            <w:tcMar>
              <w:top w:type="dxa" w:w="60"/>
              <w:left w:type="dxa" w:w="100"/>
              <w:bottom w:type="dxa" w:w="60"/>
              <w:right w:type="dxa" w:w="100"/>
            </w:tcMar>
            <w:vAlign w:val="center"/>
          </w:tcPr>
          <w:p>
            <w:pPr>
              <w:jc w:val="center"/>
            </w:pPr>
            <w:r>
              <w:rPr>
                <w:rFonts w:ascii="Garamond" w:cs="Garamond" w:eastAsia="Garamond" w:hAnsi="Garamond"/>
                <w:b/>
                <w:bCs/>
                <w:color w:val="FFFFFF"/>
                <w:sz w:val="17"/>
                <w:szCs w:val="17"/>
              </w:rPr>
              <w:t xml:space="preserve">2031E (exit)</w:t>
            </w:r>
          </w:p>
        </w:tc>
      </w:tr>
      <w:tr>
        <w:tc>
          <w:tcPr>
            <w:tcW w:type="dxa" w:w="3400"/>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Total debt / EBITDA</w:t>
            </w:r>
          </w:p>
        </w:tc>
        <w:tc>
          <w:tcPr>
            <w:tcW w:type="dxa" w:w="2380"/>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4.8x</w:t>
            </w:r>
          </w:p>
        </w:tc>
        <w:tc>
          <w:tcPr>
            <w:tcW w:type="dxa" w:w="2380"/>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3.2x</w:t>
            </w:r>
          </w:p>
        </w:tc>
        <w:tc>
          <w:tcPr>
            <w:tcW w:type="dxa" w:w="1920"/>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1.0x</w:t>
            </w:r>
          </w:p>
        </w:tc>
      </w:tr>
      <w:tr>
        <w:tc>
          <w:tcPr>
            <w:tcW w:type="dxa" w:w="3400"/>
            <w:shd w:fill="F0F0F0" w:val="clear"/>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Interest coverage</w:t>
            </w:r>
          </w:p>
        </w:tc>
        <w:tc>
          <w:tcPr>
            <w:tcW w:type="dxa" w:w="2380"/>
            <w:shd w:fill="F0F0F0" w:val="clear"/>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2.1x</w:t>
            </w:r>
          </w:p>
        </w:tc>
        <w:tc>
          <w:tcPr>
            <w:tcW w:type="dxa" w:w="2380"/>
            <w:shd w:fill="F0F0F0" w:val="clear"/>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3.0x</w:t>
            </w:r>
          </w:p>
        </w:tc>
        <w:tc>
          <w:tcPr>
            <w:tcW w:type="dxa" w:w="1920"/>
            <w:shd w:fill="F0F0F0" w:val="clear"/>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6.9x</w:t>
            </w:r>
          </w:p>
        </w:tc>
      </w:tr>
    </w:tbl>
    <w:p>
      <w:pPr>
        <w:spacing w:after="100"/>
      </w:pPr>
    </w:p>
    <w:p>
      <w:pPr>
        <w:spacing w:after="140" w:line="276"/>
        <w:jc w:val="both"/>
      </w:pPr>
      <w:r>
        <w:rPr>
          <w:rFonts w:ascii="Garamond" w:cs="Garamond" w:eastAsia="Garamond" w:hAnsi="Garamond"/>
          <w:sz w:val="19"/>
          <w:szCs w:val="19"/>
        </w:rPr>
        <w:t xml:space="preserve">Interest coverage troughs at 2.1x in the first year post-close, the tightest point in the capital structure, and improves steadily thereafter as EBITDA grows and debt amortizes. Cumulative interest tax shield over the hold is $108.7mm.</w:t>
      </w:r>
    </w:p>
    <w:p>
      <w:pPr>
        <w:spacing w:after="90" w:before="220"/>
      </w:pPr>
      <w:r>
        <w:rPr>
          <w:rFonts w:ascii="Georgia" w:cs="Georgia" w:eastAsia="Georgia" w:hAnsi="Georgia"/>
          <w:b/>
          <w:bCs/>
          <w:i/>
          <w:iCs/>
          <w:color w:val="1B2A4A"/>
          <w:sz w:val="20"/>
          <w:szCs w:val="20"/>
        </w:rPr>
        <w:t xml:space="preserve">4.4  Returns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shd w:fill="1B2A4A" w:val="clear"/>
            <w:tcMar>
              <w:top w:type="dxa" w:w="60"/>
              <w:left w:type="dxa" w:w="100"/>
              <w:bottom w:type="dxa" w:w="60"/>
              <w:right w:type="dxa" w:w="100"/>
            </w:tcMar>
            <w:vAlign w:val="center"/>
          </w:tcPr>
          <w:p>
            <w:pPr>
              <w:jc w:val="left"/>
            </w:pPr>
            <w:r>
              <w:rPr>
                <w:rFonts w:ascii="Garamond" w:cs="Garamond" w:eastAsia="Garamond" w:hAnsi="Garamond"/>
                <w:b/>
                <w:bCs/>
                <w:color w:val="FFFFFF"/>
                <w:sz w:val="17"/>
                <w:szCs w:val="17"/>
              </w:rPr>
              <w:t xml:space="preserve">Metric</w:t>
            </w:r>
          </w:p>
        </w:tc>
        <w:tc>
          <w:tcPr>
            <w:tcW w:type="dxa" w:w="5040"/>
            <w:shd w:fill="1B2A4A" w:val="clear"/>
            <w:tcMar>
              <w:top w:type="dxa" w:w="60"/>
              <w:left w:type="dxa" w:w="100"/>
              <w:bottom w:type="dxa" w:w="60"/>
              <w:right w:type="dxa" w:w="100"/>
            </w:tcMar>
            <w:vAlign w:val="center"/>
          </w:tcPr>
          <w:p>
            <w:pPr>
              <w:jc w:val="center"/>
            </w:pPr>
            <w:r>
              <w:rPr>
                <w:rFonts w:ascii="Garamond" w:cs="Garamond" w:eastAsia="Garamond" w:hAnsi="Garamond"/>
                <w:b/>
                <w:bCs/>
                <w:color w:val="FFFFFF"/>
                <w:sz w:val="17"/>
                <w:szCs w:val="17"/>
              </w:rPr>
              <w:t xml:space="preserve">Value</w:t>
            </w:r>
          </w:p>
        </w:tc>
      </w:tr>
      <w:tr>
        <w:tc>
          <w:tcPr>
            <w:tcW w:type="dxa" w:w="5040"/>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Entry enterprise value</w:t>
            </w:r>
          </w:p>
        </w:tc>
        <w:tc>
          <w:tcPr>
            <w:tcW w:type="dxa" w:w="5040"/>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$2,282.5mm</w:t>
            </w:r>
          </w:p>
        </w:tc>
      </w:tr>
      <w:tr>
        <w:tc>
          <w:tcPr>
            <w:tcW w:type="dxa" w:w="5040"/>
            <w:shd w:fill="F0F0F0" w:val="clear"/>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Exit enterprise value (2031E)</w:t>
            </w:r>
          </w:p>
        </w:tc>
        <w:tc>
          <w:tcPr>
            <w:tcW w:type="dxa" w:w="5040"/>
            <w:shd w:fill="F0F0F0" w:val="clear"/>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$4,173.0mm</w:t>
            </w:r>
          </w:p>
        </w:tc>
      </w:tr>
      <w:tr>
        <w:tc>
          <w:tcPr>
            <w:tcW w:type="dxa" w:w="5040"/>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Less: net debt at exit</w:t>
            </w:r>
          </w:p>
        </w:tc>
        <w:tc>
          <w:tcPr>
            <w:tcW w:type="dxa" w:w="5040"/>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$325.0mm</w:t>
            </w:r>
          </w:p>
        </w:tc>
      </w:tr>
      <w:tr>
        <w:tc>
          <w:tcPr>
            <w:tcW w:type="dxa" w:w="5040"/>
            <w:shd w:fill="F0F0F0" w:val="clear"/>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Exit equity value</w:t>
            </w:r>
          </w:p>
        </w:tc>
        <w:tc>
          <w:tcPr>
            <w:tcW w:type="dxa" w:w="5040"/>
            <w:shd w:fill="F0F0F0" w:val="clear"/>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$3,848.0mm</w:t>
            </w:r>
          </w:p>
        </w:tc>
      </w:tr>
      <w:tr>
        <w:tc>
          <w:tcPr>
            <w:tcW w:type="dxa" w:w="5040"/>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Gross IRR</w:t>
            </w:r>
          </w:p>
        </w:tc>
        <w:tc>
          <w:tcPr>
            <w:tcW w:type="dxa" w:w="5040"/>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21.6%</w:t>
            </w:r>
          </w:p>
        </w:tc>
      </w:tr>
      <w:tr>
        <w:tc>
          <w:tcPr>
            <w:tcW w:type="dxa" w:w="5040"/>
            <w:shd w:fill="F0F0F0" w:val="clear"/>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MOIC</w:t>
            </w:r>
          </w:p>
        </w:tc>
        <w:tc>
          <w:tcPr>
            <w:tcW w:type="dxa" w:w="5040"/>
            <w:shd w:fill="F0F0F0" w:val="clear"/>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2.66x</w:t>
            </w:r>
          </w:p>
        </w:tc>
      </w:tr>
      <w:tr>
        <w:tc>
          <w:tcPr>
            <w:tcW w:type="dxa" w:w="5040"/>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Fund hurdle rate</w:t>
            </w:r>
          </w:p>
        </w:tc>
        <w:tc>
          <w:tcPr>
            <w:tcW w:type="dxa" w:w="5040"/>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20.0%</w:t>
            </w:r>
          </w:p>
        </w:tc>
      </w:tr>
      <w:tr>
        <w:tc>
          <w:tcPr>
            <w:tcW w:type="dxa" w:w="5040"/>
            <w:shd w:fill="F0F0F0" w:val="clear"/>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Cushion to hurdle</w:t>
            </w:r>
          </w:p>
        </w:tc>
        <w:tc>
          <w:tcPr>
            <w:tcW w:type="dxa" w:w="5040"/>
            <w:shd w:fill="F0F0F0" w:val="clear"/>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+160 bps</w:t>
            </w:r>
          </w:p>
        </w:tc>
      </w:tr>
    </w:tbl>
    <w:p>
      <w:pPr>
        <w:spacing w:after="90" w:before="220"/>
      </w:pPr>
      <w:r>
        <w:rPr>
          <w:rFonts w:ascii="Georgia" w:cs="Georgia" w:eastAsia="Georgia" w:hAnsi="Georgia"/>
          <w:b/>
          <w:bCs/>
          <w:i/>
          <w:iCs/>
          <w:color w:val="1B2A4A"/>
          <w:sz w:val="20"/>
          <w:szCs w:val="20"/>
        </w:rPr>
        <w:t xml:space="preserve">4.5  Equity value creation bridge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0"/>
        <w:gridCol w:w="2540"/>
        <w:gridCol w:w="2540"/>
      </w:tblGrid>
      <w:tr>
        <w:trPr>
          <w:tblHeader/>
        </w:trPr>
        <w:tc>
          <w:tcPr>
            <w:tcW w:type="dxa" w:w="5000"/>
            <w:shd w:fill="1B2A4A" w:val="clear"/>
            <w:tcMar>
              <w:top w:type="dxa" w:w="60"/>
              <w:left w:type="dxa" w:w="100"/>
              <w:bottom w:type="dxa" w:w="60"/>
              <w:right w:type="dxa" w:w="100"/>
            </w:tcMar>
            <w:vAlign w:val="center"/>
          </w:tcPr>
          <w:p>
            <w:pPr>
              <w:jc w:val="left"/>
            </w:pPr>
            <w:r>
              <w:rPr>
                <w:rFonts w:ascii="Garamond" w:cs="Garamond" w:eastAsia="Garamond" w:hAnsi="Garamond"/>
                <w:b/>
                <w:bCs/>
                <w:color w:val="FFFFFF"/>
                <w:sz w:val="17"/>
                <w:szCs w:val="17"/>
              </w:rPr>
              <w:t xml:space="preserve">Lever</w:t>
            </w:r>
          </w:p>
        </w:tc>
        <w:tc>
          <w:tcPr>
            <w:tcW w:type="dxa" w:w="2540"/>
            <w:shd w:fill="1B2A4A" w:val="clear"/>
            <w:tcMar>
              <w:top w:type="dxa" w:w="60"/>
              <w:left w:type="dxa" w:w="100"/>
              <w:bottom w:type="dxa" w:w="60"/>
              <w:right w:type="dxa" w:w="100"/>
            </w:tcMar>
            <w:vAlign w:val="center"/>
          </w:tcPr>
          <w:p>
            <w:pPr>
              <w:jc w:val="center"/>
            </w:pPr>
            <w:r>
              <w:rPr>
                <w:rFonts w:ascii="Garamond" w:cs="Garamond" w:eastAsia="Garamond" w:hAnsi="Garamond"/>
                <w:b/>
                <w:bCs/>
                <w:color w:val="FFFFFF"/>
                <w:sz w:val="17"/>
                <w:szCs w:val="17"/>
              </w:rPr>
              <w:t xml:space="preserve">$mm</w:t>
            </w:r>
          </w:p>
        </w:tc>
        <w:tc>
          <w:tcPr>
            <w:tcW w:type="dxa" w:w="2540"/>
            <w:shd w:fill="1B2A4A" w:val="clear"/>
            <w:tcMar>
              <w:top w:type="dxa" w:w="60"/>
              <w:left w:type="dxa" w:w="100"/>
              <w:bottom w:type="dxa" w:w="60"/>
              <w:right w:type="dxa" w:w="100"/>
            </w:tcMar>
            <w:vAlign w:val="center"/>
          </w:tcPr>
          <w:p>
            <w:pPr>
              <w:jc w:val="center"/>
            </w:pPr>
            <w:r>
              <w:rPr>
                <w:rFonts w:ascii="Garamond" w:cs="Garamond" w:eastAsia="Garamond" w:hAnsi="Garamond"/>
                <w:b/>
                <w:bCs/>
                <w:color w:val="FFFFFF"/>
                <w:sz w:val="17"/>
                <w:szCs w:val="17"/>
              </w:rPr>
              <w:t xml:space="preserve">% of gain</w:t>
            </w:r>
          </w:p>
        </w:tc>
      </w:tr>
      <w:tr>
        <w:tc>
          <w:tcPr>
            <w:tcW w:type="dxa" w:w="5000"/>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Revenue growth</w:t>
            </w:r>
          </w:p>
        </w:tc>
        <w:tc>
          <w:tcPr>
            <w:tcW w:type="dxa" w:w="2540"/>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1,086.5</w:t>
            </w:r>
          </w:p>
        </w:tc>
        <w:tc>
          <w:tcPr>
            <w:tcW w:type="dxa" w:w="2540"/>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45.2%</w:t>
            </w:r>
          </w:p>
        </w:tc>
      </w:tr>
      <w:tr>
        <w:tc>
          <w:tcPr>
            <w:tcW w:type="dxa" w:w="5000"/>
            <w:shd w:fill="F0F0F0" w:val="clear"/>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Margin expansion</w:t>
            </w:r>
          </w:p>
        </w:tc>
        <w:tc>
          <w:tcPr>
            <w:tcW w:type="dxa" w:w="2540"/>
            <w:shd w:fill="F0F0F0" w:val="clear"/>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804.0</w:t>
            </w:r>
          </w:p>
        </w:tc>
        <w:tc>
          <w:tcPr>
            <w:tcW w:type="dxa" w:w="2540"/>
            <w:shd w:fill="F0F0F0" w:val="clear"/>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33.5%</w:t>
            </w:r>
          </w:p>
        </w:tc>
      </w:tr>
      <w:tr>
        <w:tc>
          <w:tcPr>
            <w:tcW w:type="dxa" w:w="5000"/>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Deleveraging</w:t>
            </w:r>
          </w:p>
        </w:tc>
        <w:tc>
          <w:tcPr>
            <w:tcW w:type="dxa" w:w="2540"/>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575.7</w:t>
            </w:r>
          </w:p>
        </w:tc>
        <w:tc>
          <w:tcPr>
            <w:tcW w:type="dxa" w:w="2540"/>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24.0%</w:t>
            </w:r>
          </w:p>
        </w:tc>
      </w:tr>
      <w:tr>
        <w:tc>
          <w:tcPr>
            <w:tcW w:type="dxa" w:w="5000"/>
            <w:shd w:fill="F0F0F0" w:val="clear"/>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Multiple expansion</w:t>
            </w:r>
          </w:p>
        </w:tc>
        <w:tc>
          <w:tcPr>
            <w:tcW w:type="dxa" w:w="2540"/>
            <w:shd w:fill="F0F0F0" w:val="clear"/>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0.0</w:t>
            </w:r>
          </w:p>
        </w:tc>
        <w:tc>
          <w:tcPr>
            <w:tcW w:type="dxa" w:w="2540"/>
            <w:shd w:fill="F0F0F0" w:val="clear"/>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0.0%</w:t>
            </w:r>
          </w:p>
        </w:tc>
      </w:tr>
      <w:tr>
        <w:tc>
          <w:tcPr>
            <w:tcW w:type="dxa" w:w="5000"/>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Transaction and financing fees</w:t>
            </w:r>
          </w:p>
        </w:tc>
        <w:tc>
          <w:tcPr>
            <w:tcW w:type="dxa" w:w="2540"/>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(64.2)</w:t>
            </w:r>
          </w:p>
        </w:tc>
        <w:tc>
          <w:tcPr>
            <w:tcW w:type="dxa" w:w="2540"/>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(2.7%)</w:t>
            </w:r>
          </w:p>
        </w:tc>
      </w:tr>
      <w:tr>
        <w:tc>
          <w:tcPr>
            <w:tcW w:type="dxa" w:w="5000"/>
            <w:shd w:fill="F0F0F0" w:val="clear"/>
            <w:tcMar>
              <w:top w:type="dxa" w:w="60"/>
              <w:left w:type="dxa" w:w="100"/>
              <w:bottom w:type="dxa" w:w="60"/>
              <w:right w:type="dxa" w:w="100"/>
            </w:tcMar>
            <w:vAlign w:val="center"/>
          </w:tcPr>
          <w:p>
            <w:pPr>
              <w:jc w:val="left"/>
            </w:pPr>
            <w:r>
              <w:rPr>
                <w:rFonts w:ascii="Garamond" w:cs="Garamond" w:eastAsia="Garamond" w:hAnsi="Garamond"/>
                <w:b/>
                <w:bCs/>
                <w:color w:val="000000"/>
                <w:sz w:val="18"/>
                <w:szCs w:val="18"/>
              </w:rPr>
              <w:t xml:space="preserve">Total equity gain</w:t>
            </w:r>
          </w:p>
        </w:tc>
        <w:tc>
          <w:tcPr>
            <w:tcW w:type="dxa" w:w="2540"/>
            <w:shd w:fill="F0F0F0" w:val="clear"/>
            <w:tcMar>
              <w:top w:type="dxa" w:w="60"/>
              <w:left w:type="dxa" w:w="100"/>
              <w:bottom w:type="dxa" w:w="60"/>
              <w:right w:type="dxa" w:w="100"/>
            </w:tcMar>
            <w:vAlign w:val="center"/>
          </w:tcPr>
          <w:p>
            <w:pPr>
              <w:jc w:val="center"/>
            </w:pPr>
            <w:r>
              <w:rPr>
                <w:rFonts w:ascii="Garamond" w:cs="Garamond" w:eastAsia="Garamond" w:hAnsi="Garamond"/>
                <w:b/>
                <w:bCs/>
                <w:color w:val="000000"/>
                <w:sz w:val="18"/>
                <w:szCs w:val="18"/>
              </w:rPr>
              <w:t xml:space="preserve">2,402.0</w:t>
            </w:r>
          </w:p>
        </w:tc>
        <w:tc>
          <w:tcPr>
            <w:tcW w:type="dxa" w:w="2540"/>
            <w:shd w:fill="F0F0F0" w:val="clear"/>
            <w:tcMar>
              <w:top w:type="dxa" w:w="60"/>
              <w:left w:type="dxa" w:w="100"/>
              <w:bottom w:type="dxa" w:w="60"/>
              <w:right w:type="dxa" w:w="100"/>
            </w:tcMar>
            <w:vAlign w:val="center"/>
          </w:tcPr>
          <w:p>
            <w:pPr>
              <w:jc w:val="center"/>
            </w:pPr>
            <w:r>
              <w:rPr>
                <w:rFonts w:ascii="Garamond" w:cs="Garamond" w:eastAsia="Garamond" w:hAnsi="Garamond"/>
                <w:b/>
                <w:bCs/>
                <w:color w:val="000000"/>
                <w:sz w:val="18"/>
                <w:szCs w:val="18"/>
              </w:rPr>
              <w:t xml:space="preserve">100.0%</w:t>
            </w:r>
          </w:p>
        </w:tc>
      </w:tr>
    </w:tbl>
    <w:p>
      <w:pPr>
        <w:pStyle w:val="Heading1"/>
        <w:pBdr>
          <w:bottom w:val="single" w:color="1B2A4A" w:sz="4" w:space="2"/>
        </w:pBdr>
        <w:spacing w:after="140" w:before="320"/>
      </w:pPr>
      <w:r>
        <w:rPr>
          <w:rFonts w:ascii="Georgia" w:cs="Georgia" w:eastAsia="Georgia" w:hAnsi="Georgia"/>
          <w:b/>
          <w:bCs/>
          <w:color w:val="1B2A4A"/>
          <w:sz w:val="22"/>
          <w:szCs w:val="22"/>
        </w:rPr>
        <w:t xml:space="preserve">5. SENSITIVITY ANALYSIS</w:t>
      </w:r>
    </w:p>
    <w:p>
      <w:pPr>
        <w:spacing w:after="140" w:line="276"/>
        <w:jc w:val="both"/>
      </w:pPr>
      <w:r>
        <w:rPr>
          <w:rFonts w:ascii="Garamond" w:cs="Garamond" w:eastAsia="Garamond" w:hAnsi="Garamond"/>
          <w:sz w:val="19"/>
          <w:szCs w:val="19"/>
        </w:rPr>
        <w:t xml:space="preserve">Returns were tested across a two-way grid of exit EV/EBITDA multiple and exit EBITDA margin, the two assumptions to which the base case is most exposed.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80"/>
        <w:gridCol w:w="1560"/>
        <w:gridCol w:w="1560"/>
        <w:gridCol w:w="1560"/>
        <w:gridCol w:w="1560"/>
        <w:gridCol w:w="1560"/>
      </w:tblGrid>
      <w:tr>
        <w:trPr>
          <w:tblHeader/>
        </w:trPr>
        <w:tc>
          <w:tcPr>
            <w:tcW w:type="dxa" w:w="2280"/>
            <w:shd w:fill="1B2A4A" w:val="clear"/>
            <w:tcMar>
              <w:top w:type="dxa" w:w="60"/>
              <w:left w:type="dxa" w:w="100"/>
              <w:bottom w:type="dxa" w:w="60"/>
              <w:right w:type="dxa" w:w="100"/>
            </w:tcMar>
            <w:vAlign w:val="center"/>
          </w:tcPr>
          <w:p>
            <w:pPr>
              <w:jc w:val="left"/>
            </w:pPr>
            <w:r>
              <w:rPr>
                <w:rFonts w:ascii="Garamond" w:cs="Garamond" w:eastAsia="Garamond" w:hAnsi="Garamond"/>
                <w:b/>
                <w:bCs/>
                <w:color w:val="FFFFFF"/>
                <w:sz w:val="17"/>
                <w:szCs w:val="17"/>
              </w:rPr>
              <w:t xml:space="preserve">Exit multiple ↓ / Exit margin →</w:t>
            </w:r>
          </w:p>
        </w:tc>
        <w:tc>
          <w:tcPr>
            <w:tcW w:type="dxa" w:w="1560"/>
            <w:shd w:fill="1B2A4A" w:val="clear"/>
            <w:tcMar>
              <w:top w:type="dxa" w:w="60"/>
              <w:left w:type="dxa" w:w="100"/>
              <w:bottom w:type="dxa" w:w="60"/>
              <w:right w:type="dxa" w:w="100"/>
            </w:tcMar>
            <w:vAlign w:val="center"/>
          </w:tcPr>
          <w:p>
            <w:pPr>
              <w:jc w:val="center"/>
            </w:pPr>
            <w:r>
              <w:rPr>
                <w:rFonts w:ascii="Garamond" w:cs="Garamond" w:eastAsia="Garamond" w:hAnsi="Garamond"/>
                <w:b/>
                <w:bCs/>
                <w:color w:val="FFFFFF"/>
                <w:sz w:val="17"/>
                <w:szCs w:val="17"/>
              </w:rPr>
              <w:t xml:space="preserve">28%</w:t>
            </w:r>
          </w:p>
        </w:tc>
        <w:tc>
          <w:tcPr>
            <w:tcW w:type="dxa" w:w="1560"/>
            <w:shd w:fill="1B2A4A" w:val="clear"/>
            <w:tcMar>
              <w:top w:type="dxa" w:w="60"/>
              <w:left w:type="dxa" w:w="100"/>
              <w:bottom w:type="dxa" w:w="60"/>
              <w:right w:type="dxa" w:w="100"/>
            </w:tcMar>
            <w:vAlign w:val="center"/>
          </w:tcPr>
          <w:p>
            <w:pPr>
              <w:jc w:val="center"/>
            </w:pPr>
            <w:r>
              <w:rPr>
                <w:rFonts w:ascii="Garamond" w:cs="Garamond" w:eastAsia="Garamond" w:hAnsi="Garamond"/>
                <w:b/>
                <w:bCs/>
                <w:color w:val="FFFFFF"/>
                <w:sz w:val="17"/>
                <w:szCs w:val="17"/>
              </w:rPr>
              <w:t xml:space="preserve">30%</w:t>
            </w:r>
          </w:p>
        </w:tc>
        <w:tc>
          <w:tcPr>
            <w:tcW w:type="dxa" w:w="1560"/>
            <w:shd w:fill="1B2A4A" w:val="clear"/>
            <w:tcMar>
              <w:top w:type="dxa" w:w="60"/>
              <w:left w:type="dxa" w:w="100"/>
              <w:bottom w:type="dxa" w:w="60"/>
              <w:right w:type="dxa" w:w="100"/>
            </w:tcMar>
            <w:vAlign w:val="center"/>
          </w:tcPr>
          <w:p>
            <w:pPr>
              <w:jc w:val="center"/>
            </w:pPr>
            <w:r>
              <w:rPr>
                <w:rFonts w:ascii="Garamond" w:cs="Garamond" w:eastAsia="Garamond" w:hAnsi="Garamond"/>
                <w:b/>
                <w:bCs/>
                <w:color w:val="FFFFFF"/>
                <w:sz w:val="17"/>
                <w:szCs w:val="17"/>
              </w:rPr>
              <w:t xml:space="preserve">32%</w:t>
            </w:r>
          </w:p>
        </w:tc>
        <w:tc>
          <w:tcPr>
            <w:tcW w:type="dxa" w:w="1560"/>
            <w:shd w:fill="1B2A4A" w:val="clear"/>
            <w:tcMar>
              <w:top w:type="dxa" w:w="60"/>
              <w:left w:type="dxa" w:w="100"/>
              <w:bottom w:type="dxa" w:w="60"/>
              <w:right w:type="dxa" w:w="100"/>
            </w:tcMar>
            <w:vAlign w:val="center"/>
          </w:tcPr>
          <w:p>
            <w:pPr>
              <w:jc w:val="center"/>
            </w:pPr>
            <w:r>
              <w:rPr>
                <w:rFonts w:ascii="Garamond" w:cs="Garamond" w:eastAsia="Garamond" w:hAnsi="Garamond"/>
                <w:b/>
                <w:bCs/>
                <w:color w:val="FFFFFF"/>
                <w:sz w:val="17"/>
                <w:szCs w:val="17"/>
              </w:rPr>
              <w:t xml:space="preserve">34%</w:t>
            </w:r>
          </w:p>
        </w:tc>
        <w:tc>
          <w:tcPr>
            <w:tcW w:type="dxa" w:w="1560"/>
            <w:shd w:fill="1B2A4A" w:val="clear"/>
            <w:tcMar>
              <w:top w:type="dxa" w:w="60"/>
              <w:left w:type="dxa" w:w="100"/>
              <w:bottom w:type="dxa" w:w="60"/>
              <w:right w:type="dxa" w:w="100"/>
            </w:tcMar>
            <w:vAlign w:val="center"/>
          </w:tcPr>
          <w:p>
            <w:pPr>
              <w:jc w:val="center"/>
            </w:pPr>
            <w:r>
              <w:rPr>
                <w:rFonts w:ascii="Garamond" w:cs="Garamond" w:eastAsia="Garamond" w:hAnsi="Garamond"/>
                <w:b/>
                <w:bCs/>
                <w:color w:val="FFFFFF"/>
                <w:sz w:val="17"/>
                <w:szCs w:val="17"/>
              </w:rPr>
              <w:t xml:space="preserve">36%</w:t>
            </w:r>
          </w:p>
        </w:tc>
      </w:tr>
      <w:tr>
        <w:tc>
          <w:tcPr>
            <w:tcW w:type="dxa" w:w="2280"/>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10.0x</w:t>
            </w:r>
          </w:p>
        </w:tc>
        <w:tc>
          <w:tcPr>
            <w:tcW w:type="dxa" w:w="1560"/>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12.8%</w:t>
            </w:r>
          </w:p>
        </w:tc>
        <w:tc>
          <w:tcPr>
            <w:tcW w:type="dxa" w:w="1560"/>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14.5%</w:t>
            </w:r>
          </w:p>
        </w:tc>
        <w:tc>
          <w:tcPr>
            <w:tcW w:type="dxa" w:w="1560"/>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16.2%</w:t>
            </w:r>
          </w:p>
        </w:tc>
        <w:tc>
          <w:tcPr>
            <w:tcW w:type="dxa" w:w="1560"/>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17.7%</w:t>
            </w:r>
          </w:p>
        </w:tc>
        <w:tc>
          <w:tcPr>
            <w:tcW w:type="dxa" w:w="1560"/>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19.2%</w:t>
            </w:r>
          </w:p>
        </w:tc>
      </w:tr>
      <w:tr>
        <w:tc>
          <w:tcPr>
            <w:tcW w:type="dxa" w:w="2280"/>
            <w:shd w:fill="F0F0F0" w:val="clear"/>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11.0x</w:t>
            </w:r>
          </w:p>
        </w:tc>
        <w:tc>
          <w:tcPr>
            <w:tcW w:type="dxa" w:w="1560"/>
            <w:shd w:fill="F0F0F0" w:val="clear"/>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15.2%</w:t>
            </w:r>
          </w:p>
        </w:tc>
        <w:tc>
          <w:tcPr>
            <w:tcW w:type="dxa" w:w="1560"/>
            <w:shd w:fill="F0F0F0" w:val="clear"/>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17.0%</w:t>
            </w:r>
          </w:p>
        </w:tc>
        <w:tc>
          <w:tcPr>
            <w:tcW w:type="dxa" w:w="1560"/>
            <w:shd w:fill="F0F0F0" w:val="clear"/>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18.6%</w:t>
            </w:r>
          </w:p>
        </w:tc>
        <w:tc>
          <w:tcPr>
            <w:tcW w:type="dxa" w:w="1560"/>
            <w:shd w:fill="F0F0F0" w:val="clear"/>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20.2%</w:t>
            </w:r>
          </w:p>
        </w:tc>
        <w:tc>
          <w:tcPr>
            <w:tcW w:type="dxa" w:w="1560"/>
            <w:shd w:fill="F0F0F0" w:val="clear"/>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21.7%</w:t>
            </w:r>
          </w:p>
        </w:tc>
      </w:tr>
      <w:tr>
        <w:tc>
          <w:tcPr>
            <w:tcW w:type="dxa" w:w="2280"/>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12.0x</w:t>
            </w:r>
          </w:p>
        </w:tc>
        <w:tc>
          <w:tcPr>
            <w:tcW w:type="dxa" w:w="1560"/>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17.4%</w:t>
            </w:r>
          </w:p>
        </w:tc>
        <w:tc>
          <w:tcPr>
            <w:tcW w:type="dxa" w:w="1560"/>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19.2%</w:t>
            </w:r>
          </w:p>
        </w:tc>
        <w:tc>
          <w:tcPr>
            <w:tcW w:type="dxa" w:w="1560"/>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20.9%</w:t>
            </w:r>
          </w:p>
        </w:tc>
        <w:tc>
          <w:tcPr>
            <w:tcW w:type="dxa" w:w="1560"/>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22.5%</w:t>
            </w:r>
          </w:p>
        </w:tc>
        <w:tc>
          <w:tcPr>
            <w:tcW w:type="dxa" w:w="1560"/>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24.0%</w:t>
            </w:r>
          </w:p>
        </w:tc>
      </w:tr>
      <w:tr>
        <w:tc>
          <w:tcPr>
            <w:tcW w:type="dxa" w:w="2280"/>
            <w:shd w:fill="F0F0F0" w:val="clear"/>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13.0x</w:t>
            </w:r>
          </w:p>
        </w:tc>
        <w:tc>
          <w:tcPr>
            <w:tcW w:type="dxa" w:w="1560"/>
            <w:shd w:fill="F0F0F0" w:val="clear"/>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19.5%</w:t>
            </w:r>
          </w:p>
        </w:tc>
        <w:tc>
          <w:tcPr>
            <w:tcW w:type="dxa" w:w="1560"/>
            <w:shd w:fill="F0F0F0" w:val="clear"/>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21.3%</w:t>
            </w:r>
          </w:p>
        </w:tc>
        <w:tc>
          <w:tcPr>
            <w:tcW w:type="dxa" w:w="1560"/>
            <w:shd w:fill="F0F0F0" w:val="clear"/>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23.0%</w:t>
            </w:r>
          </w:p>
        </w:tc>
        <w:tc>
          <w:tcPr>
            <w:tcW w:type="dxa" w:w="1560"/>
            <w:shd w:fill="F0F0F0" w:val="clear"/>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24.6%</w:t>
            </w:r>
          </w:p>
        </w:tc>
        <w:tc>
          <w:tcPr>
            <w:tcW w:type="dxa" w:w="1560"/>
            <w:shd w:fill="F0F0F0" w:val="clear"/>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26.2%</w:t>
            </w:r>
          </w:p>
        </w:tc>
      </w:tr>
      <w:tr>
        <w:tc>
          <w:tcPr>
            <w:tcW w:type="dxa" w:w="2280"/>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14.0x</w:t>
            </w:r>
          </w:p>
        </w:tc>
        <w:tc>
          <w:tcPr>
            <w:tcW w:type="dxa" w:w="1560"/>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21.5%</w:t>
            </w:r>
          </w:p>
        </w:tc>
        <w:tc>
          <w:tcPr>
            <w:tcW w:type="dxa" w:w="1560"/>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23.3%</w:t>
            </w:r>
          </w:p>
        </w:tc>
        <w:tc>
          <w:tcPr>
            <w:tcW w:type="dxa" w:w="1560"/>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25.0%</w:t>
            </w:r>
          </w:p>
        </w:tc>
        <w:tc>
          <w:tcPr>
            <w:tcW w:type="dxa" w:w="1560"/>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26.6%</w:t>
            </w:r>
          </w:p>
        </w:tc>
        <w:tc>
          <w:tcPr>
            <w:tcW w:type="dxa" w:w="1560"/>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28.2%</w:t>
            </w:r>
          </w:p>
        </w:tc>
      </w:tr>
    </w:tbl>
    <w:p>
      <w:pPr>
        <w:spacing w:after="120"/>
      </w:pPr>
    </w:p>
    <w:p>
      <w:pPr>
        <w:spacing w:after="140" w:line="276"/>
        <w:jc w:val="both"/>
      </w:pPr>
      <w:r>
        <w:rPr>
          <w:rFonts w:ascii="Garamond" w:cs="Garamond" w:eastAsia="Garamond" w:hAnsi="Garamond"/>
          <w:sz w:val="19"/>
          <w:szCs w:val="19"/>
        </w:rPr>
        <w:t xml:space="preserve">IRR across the grid ranges from 12.8% to 28.2%. At the base-case exit margin of 32%, the deal clears the 20% hurdle at any exit multiple above approximately 11.7x — meaning the transaction tolerates roughly 0.6 turns of multiple contraction from the 12.3x entry point before falling below the return threshold. Exit multiple is the more powerful driver of the two: a one-turn move shifts IRR by 210–230 basis points, versus approximately 170 basis points for a 200 basis point change in exit margin.</w:t>
      </w:r>
    </w:p>
    <w:p>
      <w:pPr>
        <w:spacing w:after="140" w:line="276"/>
        <w:jc w:val="both"/>
      </w:pPr>
      <w:r>
        <w:rPr>
          <w:rFonts w:ascii="Garamond" w:cs="Garamond" w:eastAsia="Garamond" w:hAnsi="Garamond"/>
          <w:b/>
          <w:bCs/>
          <w:i/>
          <w:iCs/>
          <w:sz w:val="19"/>
          <w:szCs w:val="19"/>
        </w:rPr>
        <w:t xml:space="preserve">Multiple contraction risk, not margin execution risk, is the binding sensitivity in this transaction. </w:t>
      </w:r>
    </w:p>
    <w:p>
      <w:pPr>
        <w:spacing w:after="140" w:line="276"/>
        <w:jc w:val="both"/>
      </w:pPr>
      <w:r>
        <w:rPr>
          <w:rFonts w:ascii="Garamond" w:cs="Garamond" w:eastAsia="Garamond" w:hAnsi="Garamond"/>
          <w:sz w:val="19"/>
          <w:szCs w:val="19"/>
        </w:rPr>
        <w:t xml:space="preserve">This should inform how the deal team frames diligence priorities: confirming the durability of BlackLine’s current trading multiple in a take-private context is more decision-relevant than further stress-testing the operating case.</w:t>
      </w:r>
    </w:p>
    <w:p>
      <w:pPr>
        <w:pStyle w:val="Heading1"/>
        <w:pBdr>
          <w:bottom w:val="single" w:color="1B2A4A" w:sz="4" w:space="2"/>
        </w:pBdr>
        <w:spacing w:after="140" w:before="320"/>
      </w:pPr>
      <w:r>
        <w:rPr>
          <w:rFonts w:ascii="Georgia" w:cs="Georgia" w:eastAsia="Georgia" w:hAnsi="Georgia"/>
          <w:b/>
          <w:bCs/>
          <w:color w:val="1B2A4A"/>
          <w:sz w:val="22"/>
          <w:szCs w:val="22"/>
        </w:rPr>
        <w:t xml:space="preserve">6. KEY RISKS AND MITIGANTS</w:t>
      </w:r>
    </w:p>
    <w:p>
      <w:pPr>
        <w:spacing w:after="90" w:before="220"/>
      </w:pPr>
      <w:r>
        <w:rPr>
          <w:rFonts w:ascii="Georgia" w:cs="Georgia" w:eastAsia="Georgia" w:hAnsi="Georgia"/>
          <w:b/>
          <w:bCs/>
          <w:i/>
          <w:iCs/>
          <w:color w:val="1B2A4A"/>
          <w:sz w:val="20"/>
          <w:szCs w:val="20"/>
        </w:rPr>
        <w:t xml:space="preserve">6.1  First-year interest coverage of 2.1x is the tightest point in the capital structure</w:t>
      </w:r>
    </w:p>
    <w:p>
      <w:pPr>
        <w:spacing w:after="140" w:line="276"/>
        <w:jc w:val="both"/>
      </w:pPr>
      <w:r>
        <w:rPr>
          <w:rFonts w:ascii="Garamond" w:cs="Garamond" w:eastAsia="Garamond" w:hAnsi="Garamond"/>
          <w:sz w:val="19"/>
          <w:szCs w:val="19"/>
        </w:rPr>
        <w:t xml:space="preserve">A revenue growth shortfall or margin miss in FY2027 compresses an already-thin covenant cushion before the deleveraging thesis has had time to work.</w:t>
      </w:r>
    </w:p>
    <w:p>
      <w:pPr>
        <w:spacing w:after="140" w:line="276"/>
        <w:jc w:val="both"/>
      </w:pPr>
      <w:r>
        <w:rPr>
          <w:rFonts w:ascii="Garamond" w:cs="Garamond" w:eastAsia="Garamond" w:hAnsi="Garamond"/>
          <w:sz w:val="19"/>
          <w:szCs w:val="19"/>
        </w:rPr>
        <w:t xml:space="preserve">Mitigant: the model already holds a $25.0mm minimum cash balance rather than sweeping to zero, and the 5.0x entry leverage sits at or below typical software LBO structures. We recommend the deal team stress a scenario with FY2027 growth at 4–5% (versus the 8.0% base case) as part of confirmatory diligence, to confirm the covenant package retains adequate headroom under a realistic downside.</w:t>
      </w:r>
    </w:p>
    <w:p>
      <w:pPr>
        <w:spacing w:after="90" w:before="220"/>
      </w:pPr>
      <w:r>
        <w:rPr>
          <w:rFonts w:ascii="Georgia" w:cs="Georgia" w:eastAsia="Georgia" w:hAnsi="Georgia"/>
          <w:b/>
          <w:bCs/>
          <w:i/>
          <w:iCs/>
          <w:color w:val="1B2A4A"/>
          <w:sz w:val="20"/>
          <w:szCs w:val="20"/>
        </w:rPr>
        <w:t xml:space="preserve">6.2  The return case tolerates only 0.6 turns of exit multiple contraction</w:t>
      </w:r>
    </w:p>
    <w:p>
      <w:pPr>
        <w:spacing w:after="140" w:line="276"/>
        <w:jc w:val="both"/>
      </w:pPr>
      <w:r>
        <w:rPr>
          <w:rFonts w:ascii="Garamond" w:cs="Garamond" w:eastAsia="Garamond" w:hAnsi="Garamond"/>
          <w:sz w:val="19"/>
          <w:szCs w:val="19"/>
        </w:rPr>
        <w:t xml:space="preserve">As shown in Section 5, this is the single largest driver of return variability.</w:t>
      </w:r>
    </w:p>
    <w:p>
      <w:pPr>
        <w:spacing w:after="140" w:line="276"/>
        <w:jc w:val="both"/>
      </w:pPr>
      <w:r>
        <w:rPr>
          <w:rFonts w:ascii="Garamond" w:cs="Garamond" w:eastAsia="Garamond" w:hAnsi="Garamond"/>
          <w:sz w:val="19"/>
          <w:szCs w:val="19"/>
        </w:rPr>
        <w:t xml:space="preserve">Mitigant: the base case does not assume multiple expansion is required for BlackLine to clear hurdle at exit, unlike deals underwritten on the assumption of a re-rating. We view this as a mitigant to the thesis overall, but not a mitigant to this specific sensitivity — the Committee should treat the entry multiple as the primary negotiating lever available to improve the return cushion.</w:t>
      </w:r>
    </w:p>
    <w:p>
      <w:pPr>
        <w:spacing w:after="90" w:before="220"/>
      </w:pPr>
      <w:r>
        <w:rPr>
          <w:rFonts w:ascii="Georgia" w:cs="Georgia" w:eastAsia="Georgia" w:hAnsi="Georgia"/>
          <w:b/>
          <w:bCs/>
          <w:i/>
          <w:iCs/>
          <w:color w:val="1B2A4A"/>
          <w:sz w:val="20"/>
          <w:szCs w:val="20"/>
        </w:rPr>
        <w:t xml:space="preserve">6.3  No offer premium or per-share pricing has yet been modeled</w:t>
      </w:r>
    </w:p>
    <w:p>
      <w:pPr>
        <w:spacing w:after="140" w:line="276"/>
        <w:jc w:val="both"/>
      </w:pPr>
      <w:r>
        <w:rPr>
          <w:rFonts w:ascii="Garamond" w:cs="Garamond" w:eastAsia="Garamond" w:hAnsi="Garamond"/>
          <w:sz w:val="19"/>
          <w:szCs w:val="19"/>
        </w:rPr>
        <w:t xml:space="preserve">The current build derives purchase enterprise value from an EV/Revenue entry multiple rather than from an offer price per share and a premium to the unaffected trading price.</w:t>
      </w:r>
    </w:p>
    <w:p>
      <w:pPr>
        <w:spacing w:after="140" w:line="276"/>
        <w:jc w:val="both"/>
      </w:pPr>
      <w:r>
        <w:rPr>
          <w:rFonts w:ascii="Garamond" w:cs="Garamond" w:eastAsia="Garamond" w:hAnsi="Garamond"/>
          <w:sz w:val="19"/>
          <w:szCs w:val="19"/>
        </w:rPr>
        <w:t xml:space="preserve">Mitigant: this is a modeling completeness item, not a thesis risk. The deal team is finalizing an implied offer price and premium build reconciled to BlackLine’s net debt and diluted share count, to be included as an addendum prior to IOI submission.</w:t>
      </w:r>
    </w:p>
    <w:p>
      <w:pPr>
        <w:spacing w:after="90" w:before="220"/>
      </w:pPr>
      <w:r>
        <w:rPr>
          <w:rFonts w:ascii="Georgia" w:cs="Georgia" w:eastAsia="Georgia" w:hAnsi="Georgia"/>
          <w:b/>
          <w:bCs/>
          <w:i/>
          <w:iCs/>
          <w:color w:val="1B2A4A"/>
          <w:sz w:val="20"/>
          <w:szCs w:val="20"/>
        </w:rPr>
        <w:t xml:space="preserve">6.4  Single debt tranche and no downside operating case</w:t>
      </w:r>
    </w:p>
    <w:p>
      <w:pPr>
        <w:spacing w:after="140" w:line="276"/>
        <w:jc w:val="both"/>
      </w:pPr>
      <w:r>
        <w:rPr>
          <w:rFonts w:ascii="Garamond" w:cs="Garamond" w:eastAsia="Garamond" w:hAnsi="Garamond"/>
          <w:sz w:val="19"/>
          <w:szCs w:val="19"/>
        </w:rPr>
        <w:t xml:space="preserve">The capital structure is modeled as a single blended-rate tranche rather than a revolver / Term Loan A / Term Loan B structure, and the model runs one operating case rather than a separately built recession scenario with distinct growth, margin, and working capital assumptions.</w:t>
      </w:r>
    </w:p>
    <w:p>
      <w:pPr>
        <w:spacing w:after="140" w:line="276"/>
        <w:jc w:val="both"/>
      </w:pPr>
      <w:r>
        <w:rPr>
          <w:rFonts w:ascii="Garamond" w:cs="Garamond" w:eastAsia="Garamond" w:hAnsi="Garamond"/>
          <w:sz w:val="19"/>
          <w:szCs w:val="19"/>
        </w:rPr>
        <w:t xml:space="preserve">Mitigant: the sensitivity grid in Section 5 provides a reasonable proxy for downside outcomes. A full tranche-level financing structure and a discrete downside case are recommended workstreams ahead of a binding bid, not prerequisites for the Committee to authorize a non-binding IOI at this stage.</w:t>
      </w:r>
    </w:p>
    <w:p>
      <w:pPr>
        <w:pStyle w:val="Heading1"/>
        <w:pBdr>
          <w:bottom w:val="single" w:color="1B2A4A" w:sz="4" w:space="2"/>
        </w:pBdr>
        <w:spacing w:after="140" w:before="320"/>
      </w:pPr>
      <w:r>
        <w:rPr>
          <w:rFonts w:ascii="Georgia" w:cs="Georgia" w:eastAsia="Georgia" w:hAnsi="Georgia"/>
          <w:b/>
          <w:bCs/>
          <w:color w:val="1B2A4A"/>
          <w:sz w:val="22"/>
          <w:szCs w:val="22"/>
        </w:rPr>
        <w:t xml:space="preserve">7. RECOMMENDATION AND REQUESTED ACTION</w:t>
      </w:r>
    </w:p>
    <w:p>
      <w:pPr>
        <w:spacing w:after="140" w:line="276"/>
        <w:jc w:val="both"/>
      </w:pPr>
      <w:r>
        <w:rPr>
          <w:rFonts w:ascii="Garamond" w:cs="Garamond" w:eastAsia="Garamond" w:hAnsi="Garamond"/>
          <w:sz w:val="19"/>
          <w:szCs w:val="19"/>
        </w:rPr>
        <w:t xml:space="preserve">The deal team recommends the Committee authorize submission of a non-binding indication of interest at $135.00 per share (subject to confirmation against the offer price and premium build in progress), and approve the deal team to proceed to confirmatory diligence.</w:t>
      </w:r>
    </w:p>
    <w:p>
      <w:pPr>
        <w:spacing w:after="140" w:line="276"/>
        <w:jc w:val="both"/>
      </w:pPr>
      <w:r>
        <w:rPr>
          <w:rFonts w:ascii="Garamond" w:cs="Garamond" w:eastAsia="Garamond" w:hAnsi="Garamond"/>
          <w:sz w:val="19"/>
          <w:szCs w:val="19"/>
        </w:rPr>
        <w:t xml:space="preserve">The transaction clears the Fund’s hurdle rate with a 160 basis point cushion in the base case, on a thesis built primarily on operating improvement and deleveraging rather than financial engineering or multiple expansion. The principal risks — first-year covenant headroom and exit multiple sensitivity — are identified, quantified, and, in our view, manageable within the structure proposed.</w:t>
      </w:r>
    </w:p>
    <w:p>
      <w:pPr>
        <w:spacing w:after="300"/>
      </w:pPr>
    </w:p>
    <w:p>
      <w:pPr>
        <w:pBdr>
          <w:top w:val="single" w:color="BFBFBF" w:sz="4" w:space="4"/>
        </w:pBdr>
        <w:spacing w:before="200"/>
      </w:pPr>
      <w:r>
        <w:rPr>
          <w:rFonts w:ascii="Garamond" w:cs="Garamond" w:eastAsia="Garamond" w:hAnsi="Garamond"/>
          <w:i/>
          <w:iCs/>
          <w:color w:val="595959"/>
          <w:sz w:val="15"/>
          <w:szCs w:val="15"/>
        </w:rPr>
        <w:t xml:space="preserve">This memorandum is prepared for portfolio and educational purposes only. Figures are illustrative, derived from a hypothetical transaction model, and do not constitute investment advice, an offer, or a solicitation with respect to any security.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10080"/>
      </w:tabs>
    </w:pPr>
    <w:r>
      <w:rPr>
        <w:rFonts w:ascii="Garamond" w:cs="Garamond" w:eastAsia="Garamond" w:hAnsi="Garamond"/>
        <w:color w:val="595959"/>
        <w:sz w:val="14"/>
        <w:szCs w:val="14"/>
      </w:rPr>
      <w:t xml:space="preserve">Project Ledger — Draft for portfolio purposes only</w:t>
    </w:r>
    <w:r>
      <w:rPr>
        <w:rFonts w:ascii="Garamond" w:cs="Garamond" w:eastAsia="Garamond" w:hAnsi="Garamond"/>
        <w:color w:val="595959"/>
        <w:sz w:val="14"/>
        <w:szCs w:val="14"/>
      </w:rPr>
      <w:t xml:space="preserve">Page </w:t>
    </w:r>
    <w:r>
      <w:rPr>
        <w:rFonts w:ascii="Garamond" w:cs="Garamond" w:eastAsia="Garamond" w:hAnsi="Garamond"/>
        <w:color w:val="595959"/>
        <w:sz w:val="14"/>
        <w:szCs w:val="14"/>
      </w:rPr>
      <w:fldChar w:fldCharType="begin"/>
      <w:instrText xml:space="preserve">PAGE</w:instrText>
      <w:fldChar w:fldCharType="separate"/>
      <w:fldChar w:fldCharType="end"/>
    </w:r>
    <w:r>
      <w:rPr>
        <w:rFonts w:ascii="Garamond" w:cs="Garamond" w:eastAsia="Garamond" w:hAnsi="Garamond"/>
        <w:color w:val="595959"/>
        <w:sz w:val="14"/>
        <w:szCs w:val="14"/>
      </w:rPr>
      <w:t xml:space="preserve"> of </w:t>
    </w:r>
    <w:r>
      <w:rPr>
        <w:rFonts w:ascii="Garamond" w:cs="Garamond" w:eastAsia="Garamond" w:hAnsi="Garamond"/>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10080"/>
      </w:tabs>
    </w:pPr>
    <w:r>
      <w:rPr>
        <w:rFonts w:ascii="Garamond" w:cs="Garamond" w:eastAsia="Garamond" w:hAnsi="Garamond"/>
        <w:color w:val="595959"/>
        <w:sz w:val="14"/>
        <w:szCs w:val="14"/>
      </w:rPr>
      <w:t xml:space="preserve">STRICTLY PRIVATE AND CONFIDENTIAL</w:t>
    </w:r>
    <w:r>
      <w:rPr>
        <w:rFonts w:ascii="Garamond" w:cs="Garamond" w:eastAsia="Garamond" w:hAnsi="Garamond"/>
        <w:color w:val="595959"/>
        <w:sz w:val="14"/>
        <w:szCs w:val="14"/>
      </w:rPr>
      <w:t xml:space="preserve">	Investment Committee Memorandum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2026-07-25T23:09:56.477Z</dcterms:created>
  <dcterms:modified xsi:type="dcterms:W3CDTF">2026-07-25T23:09:56.478Z</dcterms:modified>
</cp:coreProperties>
</file>

<file path=docProps/custom.xml><?xml version="1.0" encoding="utf-8"?>
<Properties xmlns="http://schemas.openxmlformats.org/officeDocument/2006/custom-properties" xmlns:vt="http://schemas.openxmlformats.org/officeDocument/2006/docPropsVTypes"/>
</file>