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Georgia" w:cs="Georgia" w:eastAsia="Georgia" w:hAnsi="Georgia"/>
          <w:b/>
          <w:bCs/>
          <w:color w:val="1B2A4A"/>
          <w:sz w:val="30"/>
          <w:szCs w:val="30"/>
        </w:rPr>
        <w:t xml:space="preserve">BOARD MEMORANDUM</w:t>
      </w:r>
    </w:p>
    <w:p>
      <w:pPr>
        <w:spacing w:after="200"/>
      </w:pPr>
      <w:r>
        <w:rPr>
          <w:rFonts w:ascii="Georgia" w:cs="Georgia" w:eastAsia="Georgia" w:hAnsi="Georgia"/>
          <w:i/>
          <w:iCs/>
          <w:color w:val="0A0A0A"/>
          <w:sz w:val="22"/>
          <w:szCs w:val="22"/>
        </w:rPr>
        <w:t xml:space="preserve">Proposed All-Stock Acquisition of Anysphere, Inc. (“Cursor”)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shd w:fill="1B2A4A" w:val="clear"/>
            <w:tcMar>
              <w:top w:type="dxa" w:w="60"/>
              <w:left w:type="dxa" w:w="100"/>
              <w:bottom w:type="dxa" w:w="60"/>
              <w:right w:type="dxa" w:w="100"/>
            </w:tcMar>
            <w:vAlign w:val="center"/>
          </w:tcPr>
          <w:p>
            <w:pPr>
              <w:jc w:val="left"/>
            </w:pPr>
            <w:r>
              <w:rPr>
                <w:rFonts w:ascii="Garamond" w:cs="Garamond" w:eastAsia="Garamond" w:hAnsi="Garamond"/>
                <w:b/>
                <w:bCs/>
                <w:color w:val="FFFFFF"/>
                <w:sz w:val="17"/>
                <w:szCs w:val="17"/>
              </w:rPr>
              <w:t xml:space="preserve"/>
            </w:r>
          </w:p>
        </w:tc>
        <w:tc>
          <w:tcPr>
            <w:tcW w:type="dxa" w:w="7680"/>
            <w:shd w:fill="1B2A4A" w:val="clear"/>
            <w:tcMar>
              <w:top w:type="dxa" w:w="60"/>
              <w:left w:type="dxa" w:w="100"/>
              <w:bottom w:type="dxa" w:w="60"/>
              <w:right w:type="dxa" w:w="100"/>
            </w:tcMar>
            <w:vAlign w:val="center"/>
          </w:tcPr>
          <w:p>
            <w:pPr>
              <w:jc w:val="center"/>
            </w:pPr>
            <w:r>
              <w:rPr>
                <w:rFonts w:ascii="Garamond" w:cs="Garamond" w:eastAsia="Garamond" w:hAnsi="Garamond"/>
                <w:b/>
                <w:bCs/>
                <w:color w:val="FFFFFF"/>
                <w:sz w:val="17"/>
                <w:szCs w:val="17"/>
              </w:rPr>
              <w:t xml:space="preserve"/>
            </w:r>
          </w:p>
        </w:tc>
      </w:tr>
      <w:tr>
        <w:tc>
          <w:tcPr>
            <w:tcW w:type="dxa" w:w="2400"/>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Prepared for</w:t>
            </w:r>
          </w:p>
        </w:tc>
        <w:tc>
          <w:tcPr>
            <w:tcW w:type="dxa" w:w="768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Board of Directors</w:t>
            </w:r>
          </w:p>
        </w:tc>
      </w:tr>
      <w:tr>
        <w:tc>
          <w:tcPr>
            <w:tcW w:type="dxa" w:w="2400"/>
            <w:shd w:fill="F0F0F0" w:val="clear"/>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Prepared by</w:t>
            </w:r>
          </w:p>
        </w:tc>
        <w:tc>
          <w:tcPr>
            <w:tcW w:type="dxa" w:w="768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Corporate Development</w:t>
            </w:r>
          </w:p>
        </w:tc>
      </w:tr>
      <w:tr>
        <w:tc>
          <w:tcPr>
            <w:tcW w:type="dxa" w:w="2400"/>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Date</w:t>
            </w:r>
          </w:p>
        </w:tc>
        <w:tc>
          <w:tcPr>
            <w:tcW w:type="dxa" w:w="768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25 July 2026</w:t>
            </w:r>
          </w:p>
        </w:tc>
      </w:tr>
      <w:tr>
        <w:tc>
          <w:tcPr>
            <w:tcW w:type="dxa" w:w="2400"/>
            <w:shd w:fill="F0F0F0" w:val="clear"/>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Deal status</w:t>
            </w:r>
          </w:p>
        </w:tc>
        <w:tc>
          <w:tcPr>
            <w:tcW w:type="dxa" w:w="768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Announced 16 June 2026 — pending close, expected Q3 2026</w:t>
            </w:r>
          </w:p>
        </w:tc>
      </w:tr>
      <w:tr>
        <w:tc>
          <w:tcPr>
            <w:tcW w:type="dxa" w:w="2400"/>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Recommendation</w:t>
            </w:r>
          </w:p>
        </w:tc>
        <w:tc>
          <w:tcPr>
            <w:tcW w:type="dxa" w:w="768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SUPPORT — subject to retention and neutrality diligence</w:t>
            </w:r>
          </w:p>
        </w:tc>
      </w:tr>
    </w:tbl>
    <w:p>
      <w:pPr>
        <w:spacing w:after="260"/>
      </w:pPr>
    </w:p>
    <w:p>
      <w:pPr>
        <w:pStyle w:val="Heading1"/>
        <w:pBdr>
          <w:bottom w:val="single" w:color="1B2A4A" w:sz="4" w:space="2"/>
        </w:pBdr>
        <w:spacing w:after="140" w:before="320"/>
      </w:pPr>
      <w:r>
        <w:rPr>
          <w:rFonts w:ascii="Georgia" w:cs="Georgia" w:eastAsia="Georgia" w:hAnsi="Georgia"/>
          <w:b/>
          <w:bCs/>
          <w:color w:val="1B2A4A"/>
          <w:sz w:val="22"/>
          <w:szCs w:val="22"/>
        </w:rPr>
        <w:t xml:space="preserve">1. RECOMMENDATION</w:t>
      </w:r>
    </w:p>
    <w:p>
      <w:pPr>
        <w:spacing w:after="140" w:line="276"/>
        <w:jc w:val="both"/>
      </w:pPr>
      <w:r>
        <w:rPr>
          <w:rFonts w:ascii="Garamond" w:cs="Garamond" w:eastAsia="Garamond" w:hAnsi="Garamond"/>
          <w:sz w:val="19"/>
          <w:szCs w:val="19"/>
        </w:rPr>
        <w:t xml:space="preserve">Corporate Development recommends the Board support closing the proposed acquisition of Anysphere, Inc., developer of the Cursor AI coding platform, for $60.0bn in SpaceX Class A stock. The transaction dilutes existing shareholders by 2.37%, against a strategic gap — the absence of a competitive, model-agnostic AI coding product — that we view as a growing liability to SpaceX’s software and AI ambitions.</w:t>
      </w:r>
    </w:p>
    <w:p>
      <w:pPr>
        <w:spacing w:after="140" w:line="276"/>
        <w:jc w:val="both"/>
      </w:pPr>
      <w:r>
        <w:rPr>
          <w:rFonts w:ascii="Garamond" w:cs="Garamond" w:eastAsia="Garamond" w:hAnsi="Garamond"/>
          <w:b/>
          <w:bCs/>
          <w:sz w:val="19"/>
          <w:szCs w:val="19"/>
        </w:rPr>
        <w:t xml:space="preserve">The price is not supported by Cursor’s current financial profile on a standalone basis. </w:t>
      </w:r>
    </w:p>
    <w:p>
      <w:pPr>
        <w:spacing w:after="140" w:line="276"/>
        <w:jc w:val="both"/>
      </w:pPr>
      <w:r>
        <w:rPr>
          <w:rFonts w:ascii="Garamond" w:cs="Garamond" w:eastAsia="Garamond" w:hAnsi="Garamond"/>
          <w:sz w:val="19"/>
          <w:szCs w:val="19"/>
        </w:rPr>
        <w:t xml:space="preserve">At management’s base-case ARR estimate of $2.0bn, the deal implies a 30.0x revenue multiple, against a 12.0x multiple derived from public developer-tools comparables — a 60.1% premium to that comparable set. A probability-weighted fair value framework across low, base and high ARR scenarios supports $53.0bn, itself 11.7% below the agreed price. We do not believe the price is justified by Cursor’s financials today; it is justified, if at all, by strategic urgency and by the growth trajectory implied in the high case.</w:t>
      </w:r>
    </w:p>
    <w:p>
      <w:pPr>
        <w:spacing w:after="140" w:line="276"/>
        <w:jc w:val="both"/>
      </w:pPr>
      <w:r>
        <w:rPr>
          <w:rFonts w:ascii="Garamond" w:cs="Garamond" w:eastAsia="Garamond" w:hAnsi="Garamond"/>
          <w:sz w:val="19"/>
          <w:szCs w:val="19"/>
        </w:rPr>
        <w:t xml:space="preserve">Two items should be resolved before the Board finalizes its position, addressed in Section 5: the absence of any disclosed earnout or retention package for Cursor’s founders and researchers, and the open question of whether Cursor remains model-agnostic or is steered toward an xAI-preferred roadmap post-close.</w:t>
      </w:r>
    </w:p>
    <w:p>
      <w:pPr>
        <w:pStyle w:val="Heading1"/>
        <w:pBdr>
          <w:bottom w:val="single" w:color="1B2A4A" w:sz="4" w:space="2"/>
        </w:pBdr>
        <w:spacing w:after="140" w:before="320"/>
      </w:pPr>
      <w:r>
        <w:rPr>
          <w:rFonts w:ascii="Georgia" w:cs="Georgia" w:eastAsia="Georgia" w:hAnsi="Georgia"/>
          <w:b/>
          <w:bCs/>
          <w:color w:val="1B2A4A"/>
          <w:sz w:val="22"/>
          <w:szCs w:val="22"/>
        </w:rPr>
        <w:t xml:space="preserve">2. TRANSACTION OVERVIEW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shd w:fill="1B2A4A" w:val="clear"/>
            <w:tcMar>
              <w:top w:type="dxa" w:w="60"/>
              <w:left w:type="dxa" w:w="100"/>
              <w:bottom w:type="dxa" w:w="60"/>
              <w:right w:type="dxa" w:w="100"/>
            </w:tcMar>
            <w:vAlign w:val="center"/>
          </w:tcPr>
          <w:p>
            <w:pPr>
              <w:jc w:val="left"/>
            </w:pPr>
            <w:r>
              <w:rPr>
                <w:rFonts w:ascii="Garamond" w:cs="Garamond" w:eastAsia="Garamond" w:hAnsi="Garamond"/>
                <w:b/>
                <w:bCs/>
                <w:color w:val="FFFFFF"/>
                <w:sz w:val="17"/>
                <w:szCs w:val="17"/>
              </w:rPr>
              <w:t xml:space="preserve">Term</w:t>
            </w:r>
          </w:p>
        </w:tc>
        <w:tc>
          <w:tcPr>
            <w:tcW w:type="dxa" w:w="6480"/>
            <w:shd w:fill="1B2A4A" w:val="clear"/>
            <w:tcMar>
              <w:top w:type="dxa" w:w="60"/>
              <w:left w:type="dxa" w:w="100"/>
              <w:bottom w:type="dxa" w:w="60"/>
              <w:right w:type="dxa" w:w="100"/>
            </w:tcMar>
            <w:vAlign w:val="center"/>
          </w:tcPr>
          <w:p>
            <w:pPr>
              <w:jc w:val="center"/>
            </w:pPr>
            <w:r>
              <w:rPr>
                <w:rFonts w:ascii="Garamond" w:cs="Garamond" w:eastAsia="Garamond" w:hAnsi="Garamond"/>
                <w:b/>
                <w:bCs/>
                <w:color w:val="FFFFFF"/>
                <w:sz w:val="17"/>
                <w:szCs w:val="17"/>
              </w:rPr>
              <w:t xml:space="preserve">Detail</w:t>
            </w:r>
          </w:p>
        </w:tc>
      </w:tr>
      <w:tr>
        <w:tc>
          <w:tcPr>
            <w:tcW w:type="dxa" w:w="3600"/>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Acquirer</w:t>
            </w:r>
          </w:p>
        </w:tc>
        <w:tc>
          <w:tcPr>
            <w:tcW w:type="dxa" w:w="648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SpaceX (Nasdaq: SPCX)</w:t>
            </w:r>
          </w:p>
        </w:tc>
      </w:tr>
      <w:tr>
        <w:tc>
          <w:tcPr>
            <w:tcW w:type="dxa" w:w="3600"/>
            <w:shd w:fill="F0F0F0" w:val="clear"/>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Target</w:t>
            </w:r>
          </w:p>
        </w:tc>
        <w:tc>
          <w:tcPr>
            <w:tcW w:type="dxa" w:w="648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Anysphere, Inc. (product: Cursor)</w:t>
            </w:r>
          </w:p>
        </w:tc>
      </w:tr>
      <w:tr>
        <w:tc>
          <w:tcPr>
            <w:tcW w:type="dxa" w:w="3600"/>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Announced</w:t>
            </w:r>
          </w:p>
        </w:tc>
        <w:tc>
          <w:tcPr>
            <w:tcW w:type="dxa" w:w="648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16 June 2026</w:t>
            </w:r>
          </w:p>
        </w:tc>
      </w:tr>
      <w:tr>
        <w:tc>
          <w:tcPr>
            <w:tcW w:type="dxa" w:w="3600"/>
            <w:shd w:fill="F0F0F0" w:val="clear"/>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Headline transaction value</w:t>
            </w:r>
          </w:p>
        </w:tc>
        <w:tc>
          <w:tcPr>
            <w:tcW w:type="dxa" w:w="648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$60.0bn</w:t>
            </w:r>
          </w:p>
        </w:tc>
      </w:tr>
      <w:tr>
        <w:tc>
          <w:tcPr>
            <w:tcW w:type="dxa" w:w="3600"/>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Consideration</w:t>
            </w:r>
          </w:p>
        </w:tc>
        <w:tc>
          <w:tcPr>
            <w:tcW w:type="dxa" w:w="648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100% SPCX Class A common stock</w:t>
            </w:r>
          </w:p>
        </w:tc>
      </w:tr>
      <w:tr>
        <w:tc>
          <w:tcPr>
            <w:tcW w:type="dxa" w:w="3600"/>
            <w:shd w:fill="F0F0F0" w:val="clear"/>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Exchange ratio mechanism</w:t>
            </w:r>
          </w:p>
        </w:tc>
        <w:tc>
          <w:tcPr>
            <w:tcW w:type="dxa" w:w="648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Floating value — fixed dollar value, share count set on 7-trading-day VWAP before close</w:t>
            </w:r>
          </w:p>
        </w:tc>
      </w:tr>
      <w:tr>
        <w:tc>
          <w:tcPr>
            <w:tcW w:type="dxa" w:w="3600"/>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Collar</w:t>
            </w:r>
          </w:p>
        </w:tc>
        <w:tc>
          <w:tcPr>
            <w:tcW w:type="dxa" w:w="648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None disclosed</w:t>
            </w:r>
          </w:p>
        </w:tc>
      </w:tr>
      <w:tr>
        <w:tc>
          <w:tcPr>
            <w:tcW w:type="dxa" w:w="3600"/>
            <w:shd w:fill="F0F0F0" w:val="clear"/>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Expected close</w:t>
            </w:r>
          </w:p>
        </w:tc>
        <w:tc>
          <w:tcPr>
            <w:tcW w:type="dxa" w:w="648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Q3 2026</w:t>
            </w:r>
          </w:p>
        </w:tc>
      </w:tr>
      <w:tr>
        <w:tc>
          <w:tcPr>
            <w:tcW w:type="dxa" w:w="3600"/>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Required approvals</w:t>
            </w:r>
          </w:p>
        </w:tc>
        <w:tc>
          <w:tcPr>
            <w:tcW w:type="dxa" w:w="648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TBD per definitive filing</w:t>
            </w:r>
          </w:p>
        </w:tc>
      </w:tr>
      <w:tr>
        <w:tc>
          <w:tcPr>
            <w:tcW w:type="dxa" w:w="3600"/>
            <w:shd w:fill="F0F0F0" w:val="clear"/>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Breakup fee</w:t>
            </w:r>
          </w:p>
        </w:tc>
        <w:tc>
          <w:tcPr>
            <w:tcW w:type="dxa" w:w="648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$1.5bn</w:t>
            </w:r>
          </w:p>
        </w:tc>
      </w:tr>
      <w:tr>
        <w:tc>
          <w:tcPr>
            <w:tcW w:type="dxa" w:w="3600"/>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Compute commitment (walk-away)</w:t>
            </w:r>
          </w:p>
        </w:tc>
        <w:tc>
          <w:tcPr>
            <w:tcW w:type="dxa" w:w="648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$8.5bn</w:t>
            </w:r>
          </w:p>
        </w:tc>
      </w:tr>
      <w:tr>
        <w:tc>
          <w:tcPr>
            <w:tcW w:type="dxa" w:w="3600"/>
            <w:shd w:fill="F0F0F0" w:val="clear"/>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Total walk-away economics</w:t>
            </w:r>
          </w:p>
        </w:tc>
        <w:tc>
          <w:tcPr>
            <w:tcW w:type="dxa" w:w="648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$10.0bn (16.7% of deal value)</w:t>
            </w:r>
          </w:p>
        </w:tc>
      </w:tr>
      <w:tr>
        <w:tc>
          <w:tcPr>
            <w:tcW w:type="dxa" w:w="3600"/>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Earnout / retention package</w:t>
            </w:r>
          </w:p>
        </w:tc>
        <w:tc>
          <w:tcPr>
            <w:tcW w:type="dxa" w:w="648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Not disclosed</w:t>
            </w:r>
          </w:p>
        </w:tc>
      </w:tr>
    </w:tbl>
    <w:p>
      <w:pPr>
        <w:pStyle w:val="Heading1"/>
        <w:pBdr>
          <w:bottom w:val="single" w:color="1B2A4A" w:sz="4" w:space="2"/>
        </w:pBdr>
        <w:spacing w:after="140" w:before="320"/>
      </w:pPr>
      <w:r>
        <w:rPr>
          <w:rFonts w:ascii="Georgia" w:cs="Georgia" w:eastAsia="Georgia" w:hAnsi="Georgia"/>
          <w:b/>
          <w:bCs/>
          <w:color w:val="1B2A4A"/>
          <w:sz w:val="22"/>
          <w:szCs w:val="22"/>
        </w:rPr>
        <w:t xml:space="preserve">3. STRATEGIC RATIONALE</w:t>
      </w:r>
    </w:p>
    <w:p>
      <w:pPr>
        <w:spacing w:after="90" w:before="220"/>
      </w:pPr>
      <w:r>
        <w:rPr>
          <w:rFonts w:ascii="Georgia" w:cs="Georgia" w:eastAsia="Georgia" w:hAnsi="Georgia"/>
          <w:b/>
          <w:bCs/>
          <w:i/>
          <w:iCs/>
          <w:color w:val="1B2A4A"/>
          <w:sz w:val="20"/>
          <w:szCs w:val="20"/>
        </w:rPr>
        <w:t xml:space="preserve">3.1  SpaceX has a coding-product gap that Cursor directly closes</w:t>
      </w:r>
    </w:p>
    <w:p>
      <w:pPr>
        <w:spacing w:after="140" w:line="276"/>
        <w:jc w:val="both"/>
      </w:pPr>
      <w:r>
        <w:rPr>
          <w:rFonts w:ascii="Garamond" w:cs="Garamond" w:eastAsia="Garamond" w:hAnsi="Garamond"/>
          <w:sz w:val="19"/>
          <w:szCs w:val="19"/>
        </w:rPr>
        <w:t xml:space="preserve">Following the integration of xAI, SpaceX lacks a competitive, developer-facing AI coding product comparable to Cursor’s market position. Cursor brings an established developer workflow, distribution, and product surface that would otherwise take years to build organically.</w:t>
      </w:r>
    </w:p>
    <w:p>
      <w:pPr>
        <w:spacing w:after="90" w:before="220"/>
      </w:pPr>
      <w:r>
        <w:rPr>
          <w:rFonts w:ascii="Georgia" w:cs="Georgia" w:eastAsia="Georgia" w:hAnsi="Georgia"/>
          <w:b/>
          <w:bCs/>
          <w:i/>
          <w:iCs/>
          <w:color w:val="1B2A4A"/>
          <w:sz w:val="20"/>
          <w:szCs w:val="20"/>
        </w:rPr>
        <w:t xml:space="preserve">3.2  The acquisition is a talent and workflow acquisition as much as a product acquisition</w:t>
      </w:r>
    </w:p>
    <w:p>
      <w:pPr>
        <w:spacing w:after="140" w:line="276"/>
        <w:jc w:val="both"/>
      </w:pPr>
      <w:r>
        <w:rPr>
          <w:rFonts w:ascii="Garamond" w:cs="Garamond" w:eastAsia="Garamond" w:hAnsi="Garamond"/>
          <w:sz w:val="19"/>
          <w:szCs w:val="19"/>
        </w:rPr>
        <w:t xml:space="preserve">Anysphere’s value sits substantially in its engineering team and product velocity, not in disclosed financials. This is the central risk in Section 5: no earnout or retention structure has been disclosed, and talent-driven acquisitions without retention mechanics carry elevated attrition risk in the first 12–24 months post-close.</w:t>
      </w:r>
    </w:p>
    <w:p>
      <w:pPr>
        <w:spacing w:after="90" w:before="220"/>
      </w:pPr>
      <w:r>
        <w:rPr>
          <w:rFonts w:ascii="Georgia" w:cs="Georgia" w:eastAsia="Georgia" w:hAnsi="Georgia"/>
          <w:b/>
          <w:bCs/>
          <w:i/>
          <w:iCs/>
          <w:color w:val="1B2A4A"/>
          <w:sz w:val="20"/>
          <w:szCs w:val="20"/>
        </w:rPr>
        <w:t xml:space="preserve">3.3  Model neutrality is a live strategic and commercial question</w:t>
      </w:r>
    </w:p>
    <w:p>
      <w:pPr>
        <w:spacing w:after="140" w:line="276"/>
        <w:jc w:val="both"/>
      </w:pPr>
      <w:r>
        <w:rPr>
          <w:rFonts w:ascii="Garamond" w:cs="Garamond" w:eastAsia="Garamond" w:hAnsi="Garamond"/>
          <w:sz w:val="19"/>
          <w:szCs w:val="19"/>
        </w:rPr>
        <w:t xml:space="preserve">Cursor today is model-agnostic, integrating third-party models from Anthropic, OpenAI and others. Whether SpaceX preserves that neutrality or steers the roadmap toward xAI’s models is unresolved and, in our view, the single most consequential integration decision the Board should weigh in on directly, given its direct bearing on enterprise customer retention.</w:t>
      </w:r>
    </w:p>
    <w:p>
      <w:pPr>
        <w:pStyle w:val="Heading1"/>
        <w:pBdr>
          <w:bottom w:val="single" w:color="1B2A4A" w:sz="4" w:space="2"/>
        </w:pBdr>
        <w:spacing w:after="140" w:before="320"/>
      </w:pPr>
      <w:r>
        <w:rPr>
          <w:rFonts w:ascii="Georgia" w:cs="Georgia" w:eastAsia="Georgia" w:hAnsi="Georgia"/>
          <w:b/>
          <w:bCs/>
          <w:color w:val="1B2A4A"/>
          <w:sz w:val="22"/>
          <w:szCs w:val="22"/>
        </w:rPr>
        <w:t xml:space="preserve">4. VALUATION</w:t>
      </w:r>
    </w:p>
    <w:p>
      <w:pPr>
        <w:spacing w:after="90" w:before="220"/>
      </w:pPr>
      <w:r>
        <w:rPr>
          <w:rFonts w:ascii="Georgia" w:cs="Georgia" w:eastAsia="Georgia" w:hAnsi="Georgia"/>
          <w:b/>
          <w:bCs/>
          <w:i/>
          <w:iCs/>
          <w:color w:val="1B2A4A"/>
          <w:sz w:val="20"/>
          <w:szCs w:val="20"/>
        </w:rPr>
        <w:t xml:space="preserve">4.1  Financing history and premium build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2700"/>
        <w:gridCol w:w="2380"/>
      </w:tblGrid>
      <w:tr>
        <w:trPr>
          <w:tblHeader/>
        </w:trPr>
        <w:tc>
          <w:tcPr>
            <w:tcW w:type="dxa" w:w="3200"/>
            <w:shd w:fill="1B2A4A" w:val="clear"/>
            <w:tcMar>
              <w:top w:type="dxa" w:w="60"/>
              <w:left w:type="dxa" w:w="100"/>
              <w:bottom w:type="dxa" w:w="60"/>
              <w:right w:type="dxa" w:w="100"/>
            </w:tcMar>
            <w:vAlign w:val="center"/>
          </w:tcPr>
          <w:p>
            <w:pPr>
              <w:jc w:val="left"/>
            </w:pPr>
            <w:r>
              <w:rPr>
                <w:rFonts w:ascii="Garamond" w:cs="Garamond" w:eastAsia="Garamond" w:hAnsi="Garamond"/>
                <w:b/>
                <w:bCs/>
                <w:color w:val="FFFFFF"/>
                <w:sz w:val="17"/>
                <w:szCs w:val="17"/>
              </w:rPr>
              <w:t xml:space="preserve">Milestone</w:t>
            </w:r>
          </w:p>
        </w:tc>
        <w:tc>
          <w:tcPr>
            <w:tcW w:type="dxa" w:w="1800"/>
            <w:shd w:fill="1B2A4A" w:val="clear"/>
            <w:tcMar>
              <w:top w:type="dxa" w:w="60"/>
              <w:left w:type="dxa" w:w="100"/>
              <w:bottom w:type="dxa" w:w="60"/>
              <w:right w:type="dxa" w:w="100"/>
            </w:tcMar>
            <w:vAlign w:val="center"/>
          </w:tcPr>
          <w:p>
            <w:pPr>
              <w:jc w:val="center"/>
            </w:pPr>
            <w:r>
              <w:rPr>
                <w:rFonts w:ascii="Garamond" w:cs="Garamond" w:eastAsia="Garamond" w:hAnsi="Garamond"/>
                <w:b/>
                <w:bCs/>
                <w:color w:val="FFFFFF"/>
                <w:sz w:val="17"/>
                <w:szCs w:val="17"/>
              </w:rPr>
              <w:t xml:space="preserve">Date</w:t>
            </w:r>
          </w:p>
        </w:tc>
        <w:tc>
          <w:tcPr>
            <w:tcW w:type="dxa" w:w="2700"/>
            <w:shd w:fill="1B2A4A" w:val="clear"/>
            <w:tcMar>
              <w:top w:type="dxa" w:w="60"/>
              <w:left w:type="dxa" w:w="100"/>
              <w:bottom w:type="dxa" w:w="60"/>
              <w:right w:type="dxa" w:w="100"/>
            </w:tcMar>
            <w:vAlign w:val="center"/>
          </w:tcPr>
          <w:p>
            <w:pPr>
              <w:jc w:val="center"/>
            </w:pPr>
            <w:r>
              <w:rPr>
                <w:rFonts w:ascii="Garamond" w:cs="Garamond" w:eastAsia="Garamond" w:hAnsi="Garamond"/>
                <w:b/>
                <w:bCs/>
                <w:color w:val="FFFFFF"/>
                <w:sz w:val="17"/>
                <w:szCs w:val="17"/>
              </w:rPr>
              <w:t xml:space="preserve">Post-money</w:t>
            </w:r>
          </w:p>
        </w:tc>
        <w:tc>
          <w:tcPr>
            <w:tcW w:type="dxa" w:w="2380"/>
            <w:shd w:fill="1B2A4A" w:val="clear"/>
            <w:tcMar>
              <w:top w:type="dxa" w:w="60"/>
              <w:left w:type="dxa" w:w="100"/>
              <w:bottom w:type="dxa" w:w="60"/>
              <w:right w:type="dxa" w:w="100"/>
            </w:tcMar>
            <w:vAlign w:val="center"/>
          </w:tcPr>
          <w:p>
            <w:pPr>
              <w:jc w:val="center"/>
            </w:pPr>
            <w:r>
              <w:rPr>
                <w:rFonts w:ascii="Garamond" w:cs="Garamond" w:eastAsia="Garamond" w:hAnsi="Garamond"/>
                <w:b/>
                <w:bCs/>
                <w:color w:val="FFFFFF"/>
                <w:sz w:val="17"/>
                <w:szCs w:val="17"/>
              </w:rPr>
              <w:t xml:space="preserve">Raised</w:t>
            </w:r>
          </w:p>
        </w:tc>
      </w:tr>
      <w:tr>
        <w:tc>
          <w:tcPr>
            <w:tcW w:type="dxa" w:w="3200"/>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Series C</w:t>
            </w:r>
          </w:p>
        </w:tc>
        <w:tc>
          <w:tcPr>
            <w:tcW w:type="dxa" w:w="180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Jun 2025</w:t>
            </w:r>
          </w:p>
        </w:tc>
        <w:tc>
          <w:tcPr>
            <w:tcW w:type="dxa" w:w="270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$9.9bn</w:t>
            </w:r>
          </w:p>
        </w:tc>
        <w:tc>
          <w:tcPr>
            <w:tcW w:type="dxa" w:w="238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$0.9bn</w:t>
            </w:r>
          </w:p>
        </w:tc>
      </w:tr>
      <w:tr>
        <w:tc>
          <w:tcPr>
            <w:tcW w:type="dxa" w:w="3200"/>
            <w:shd w:fill="F0F0F0" w:val="clear"/>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Late-2025 round</w:t>
            </w:r>
          </w:p>
        </w:tc>
        <w:tc>
          <w:tcPr>
            <w:tcW w:type="dxa" w:w="180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Nov 2025</w:t>
            </w:r>
          </w:p>
        </w:tc>
        <w:tc>
          <w:tcPr>
            <w:tcW w:type="dxa" w:w="270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$29.3bn</w:t>
            </w:r>
          </w:p>
        </w:tc>
        <w:tc>
          <w:tcPr>
            <w:tcW w:type="dxa" w:w="238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$2.3bn</w:t>
            </w:r>
          </w:p>
        </w:tc>
      </w:tr>
      <w:tr>
        <w:tc>
          <w:tcPr>
            <w:tcW w:type="dxa" w:w="3200"/>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Pre-empted round (proposed)</w:t>
            </w:r>
          </w:p>
        </w:tc>
        <w:tc>
          <w:tcPr>
            <w:tcW w:type="dxa" w:w="180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2026</w:t>
            </w:r>
          </w:p>
        </w:tc>
        <w:tc>
          <w:tcPr>
            <w:tcW w:type="dxa" w:w="270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$50.0bn</w:t>
            </w:r>
          </w:p>
        </w:tc>
        <w:tc>
          <w:tcPr>
            <w:tcW w:type="dxa" w:w="238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$2.0bn</w:t>
            </w:r>
          </w:p>
        </w:tc>
      </w:tr>
      <w:tr>
        <w:tc>
          <w:tcPr>
            <w:tcW w:type="dxa" w:w="3200"/>
            <w:shd w:fill="F0F0F0" w:val="clear"/>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SpaceX acquisition</w:t>
            </w:r>
          </w:p>
        </w:tc>
        <w:tc>
          <w:tcPr>
            <w:tcW w:type="dxa" w:w="180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Jun 2026</w:t>
            </w:r>
          </w:p>
        </w:tc>
        <w:tc>
          <w:tcPr>
            <w:tcW w:type="dxa" w:w="270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$60.0bn</w:t>
            </w:r>
          </w:p>
        </w:tc>
        <w:tc>
          <w:tcPr>
            <w:tcW w:type="dxa" w:w="238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w:t>
            </w:r>
          </w:p>
        </w:tc>
      </w:tr>
    </w:tbl>
    <w:p>
      <w:pPr>
        <w:spacing w:after="100"/>
      </w:pPr>
    </w:p>
    <w:p>
      <w:pPr>
        <w:spacing w:after="140" w:line="276"/>
        <w:jc w:val="both"/>
      </w:pPr>
      <w:r>
        <w:rPr>
          <w:rFonts w:ascii="Garamond" w:cs="Garamond" w:eastAsia="Garamond" w:hAnsi="Garamond"/>
          <w:sz w:val="19"/>
          <w:szCs w:val="19"/>
        </w:rPr>
        <w:t xml:space="preserve">Premium to the last completed financing round is 104.8%. The more decision-relevant figure is the premium to the pre-empted 2026 round — a proposed financing that never closed — which is 20.0%. Roughly two thirds of the total valuation uplift since the Series C occurred in the private market before SpaceX’s bid; the incremental premium SpaceX is paying above the last credible private mark is 20.0%, not 104.8%.</w:t>
      </w:r>
    </w:p>
    <w:p>
      <w:pPr>
        <w:spacing w:after="90" w:before="220"/>
      </w:pPr>
      <w:r>
        <w:rPr>
          <w:rFonts w:ascii="Georgia" w:cs="Georgia" w:eastAsia="Georgia" w:hAnsi="Georgia"/>
          <w:b/>
          <w:bCs/>
          <w:i/>
          <w:iCs/>
          <w:color w:val="1B2A4A"/>
          <w:sz w:val="20"/>
          <w:szCs w:val="20"/>
        </w:rPr>
        <w:t xml:space="preserve">4.2  Implied multiples by ARR scenario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280"/>
      </w:tblGrid>
      <w:tr>
        <w:trPr>
          <w:tblHeader/>
        </w:trPr>
        <w:tc>
          <w:tcPr>
            <w:tcW w:type="dxa" w:w="2400"/>
            <w:shd w:fill="1B2A4A" w:val="clear"/>
            <w:tcMar>
              <w:top w:type="dxa" w:w="60"/>
              <w:left w:type="dxa" w:w="100"/>
              <w:bottom w:type="dxa" w:w="60"/>
              <w:right w:type="dxa" w:w="100"/>
            </w:tcMar>
            <w:vAlign w:val="center"/>
          </w:tcPr>
          <w:p>
            <w:pPr>
              <w:jc w:val="left"/>
            </w:pPr>
            <w:r>
              <w:rPr>
                <w:rFonts w:ascii="Garamond" w:cs="Garamond" w:eastAsia="Garamond" w:hAnsi="Garamond"/>
                <w:b/>
                <w:bCs/>
                <w:color w:val="FFFFFF"/>
                <w:sz w:val="17"/>
                <w:szCs w:val="17"/>
              </w:rPr>
              <w:t xml:space="preserve">Case</w:t>
            </w:r>
          </w:p>
        </w:tc>
        <w:tc>
          <w:tcPr>
            <w:tcW w:type="dxa" w:w="2400"/>
            <w:shd w:fill="1B2A4A" w:val="clear"/>
            <w:tcMar>
              <w:top w:type="dxa" w:w="60"/>
              <w:left w:type="dxa" w:w="100"/>
              <w:bottom w:type="dxa" w:w="60"/>
              <w:right w:type="dxa" w:w="100"/>
            </w:tcMar>
            <w:vAlign w:val="center"/>
          </w:tcPr>
          <w:p>
            <w:pPr>
              <w:jc w:val="center"/>
            </w:pPr>
            <w:r>
              <w:rPr>
                <w:rFonts w:ascii="Garamond" w:cs="Garamond" w:eastAsia="Garamond" w:hAnsi="Garamond"/>
                <w:b/>
                <w:bCs/>
                <w:color w:val="FFFFFF"/>
                <w:sz w:val="17"/>
                <w:szCs w:val="17"/>
              </w:rPr>
              <w:t xml:space="preserve">ARR</w:t>
            </w:r>
          </w:p>
        </w:tc>
        <w:tc>
          <w:tcPr>
            <w:tcW w:type="dxa" w:w="5280"/>
            <w:shd w:fill="1B2A4A" w:val="clear"/>
            <w:tcMar>
              <w:top w:type="dxa" w:w="60"/>
              <w:left w:type="dxa" w:w="100"/>
              <w:bottom w:type="dxa" w:w="60"/>
              <w:right w:type="dxa" w:w="100"/>
            </w:tcMar>
            <w:vAlign w:val="center"/>
          </w:tcPr>
          <w:p>
            <w:pPr>
              <w:jc w:val="center"/>
            </w:pPr>
            <w:r>
              <w:rPr>
                <w:rFonts w:ascii="Garamond" w:cs="Garamond" w:eastAsia="Garamond" w:hAnsi="Garamond"/>
                <w:b/>
                <w:bCs/>
                <w:color w:val="FFFFFF"/>
                <w:sz w:val="17"/>
                <w:szCs w:val="17"/>
              </w:rPr>
              <w:t xml:space="preserve">Implied EV / ARR</w:t>
            </w:r>
          </w:p>
        </w:tc>
      </w:tr>
      <w:tr>
        <w:tc>
          <w:tcPr>
            <w:tcW w:type="dxa" w:w="2400"/>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Low</w:t>
            </w:r>
          </w:p>
        </w:tc>
        <w:tc>
          <w:tcPr>
            <w:tcW w:type="dxa" w:w="240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$1.0bn</w:t>
            </w:r>
          </w:p>
        </w:tc>
        <w:tc>
          <w:tcPr>
            <w:tcW w:type="dxa" w:w="528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60.0x</w:t>
            </w:r>
          </w:p>
        </w:tc>
      </w:tr>
      <w:tr>
        <w:tc>
          <w:tcPr>
            <w:tcW w:type="dxa" w:w="2400"/>
            <w:shd w:fill="F0F0F0" w:val="clear"/>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Base</w:t>
            </w:r>
          </w:p>
        </w:tc>
        <w:tc>
          <w:tcPr>
            <w:tcW w:type="dxa" w:w="240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$2.0bn</w:t>
            </w:r>
          </w:p>
        </w:tc>
        <w:tc>
          <w:tcPr>
            <w:tcW w:type="dxa" w:w="528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30.0x</w:t>
            </w:r>
          </w:p>
        </w:tc>
      </w:tr>
      <w:tr>
        <w:tc>
          <w:tcPr>
            <w:tcW w:type="dxa" w:w="2400"/>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High</w:t>
            </w:r>
          </w:p>
        </w:tc>
        <w:tc>
          <w:tcPr>
            <w:tcW w:type="dxa" w:w="240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$4.0bn</w:t>
            </w:r>
          </w:p>
        </w:tc>
        <w:tc>
          <w:tcPr>
            <w:tcW w:type="dxa" w:w="528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15.0x</w:t>
            </w:r>
          </w:p>
        </w:tc>
      </w:tr>
    </w:tbl>
    <w:p>
      <w:pPr>
        <w:spacing w:after="100"/>
      </w:pPr>
    </w:p>
    <w:p>
      <w:pPr>
        <w:spacing w:after="140" w:line="276"/>
        <w:jc w:val="both"/>
      </w:pPr>
      <w:r>
        <w:rPr>
          <w:rFonts w:ascii="Garamond" w:cs="Garamond" w:eastAsia="Garamond" w:hAnsi="Garamond"/>
          <w:sz w:val="19"/>
          <w:szCs w:val="19"/>
        </w:rPr>
        <w:t xml:space="preserve">To support the $60.0bn price at a 25.0x multiple — roughly double the public comparable set — Cursor would need approximately $2.4bn of ARR, in line with the base case. The deal is priced for base-case execution at a materially premium multiple, with limited room for the low case to be realized without a substantial valuation gap opening.</w:t>
      </w:r>
    </w:p>
    <w:p>
      <w:pPr>
        <w:spacing w:after="90" w:before="220"/>
      </w:pPr>
      <w:r>
        <w:rPr>
          <w:rFonts w:ascii="Georgia" w:cs="Georgia" w:eastAsia="Georgia" w:hAnsi="Georgia"/>
          <w:b/>
          <w:bCs/>
          <w:i/>
          <w:iCs/>
          <w:color w:val="1B2A4A"/>
          <w:sz w:val="20"/>
          <w:szCs w:val="20"/>
        </w:rPr>
        <w:t xml:space="preserve">4.3  Public trading comparables</w:t>
      </w:r>
    </w:p>
    <w:p>
      <w:pPr>
        <w:spacing w:after="140" w:line="276"/>
        <w:jc w:val="both"/>
      </w:pPr>
      <w:r>
        <w:rPr>
          <w:rFonts w:ascii="Garamond" w:cs="Garamond" w:eastAsia="Garamond" w:hAnsi="Garamond"/>
          <w:sz w:val="19"/>
          <w:szCs w:val="19"/>
        </w:rPr>
        <w:t xml:space="preserve">Seven developer-tools and infrastructure software comparables were reviewed: GitLab, Atlassian, Datadog, Cloudflare, MongoDB, Snowflake and Elastic.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3300"/>
        <w:gridCol w:w="3180"/>
      </w:tblGrid>
      <w:tr>
        <w:trPr>
          <w:tblHeader/>
        </w:trPr>
        <w:tc>
          <w:tcPr>
            <w:tcW w:type="dxa" w:w="3600"/>
            <w:shd w:fill="1B2A4A" w:val="clear"/>
            <w:tcMar>
              <w:top w:type="dxa" w:w="60"/>
              <w:left w:type="dxa" w:w="100"/>
              <w:bottom w:type="dxa" w:w="60"/>
              <w:right w:type="dxa" w:w="100"/>
            </w:tcMar>
            <w:vAlign w:val="center"/>
          </w:tcPr>
          <w:p>
            <w:pPr>
              <w:jc w:val="left"/>
            </w:pPr>
            <w:r>
              <w:rPr>
                <w:rFonts w:ascii="Garamond" w:cs="Garamond" w:eastAsia="Garamond" w:hAnsi="Garamond"/>
                <w:b/>
                <w:bCs/>
                <w:color w:val="FFFFFF"/>
                <w:sz w:val="17"/>
                <w:szCs w:val="17"/>
              </w:rPr>
              <w:t xml:space="preserve">Metric</w:t>
            </w:r>
          </w:p>
        </w:tc>
        <w:tc>
          <w:tcPr>
            <w:tcW w:type="dxa" w:w="3300"/>
            <w:shd w:fill="1B2A4A" w:val="clear"/>
            <w:tcMar>
              <w:top w:type="dxa" w:w="60"/>
              <w:left w:type="dxa" w:w="100"/>
              <w:bottom w:type="dxa" w:w="60"/>
              <w:right w:type="dxa" w:w="100"/>
            </w:tcMar>
            <w:vAlign w:val="center"/>
          </w:tcPr>
          <w:p>
            <w:pPr>
              <w:jc w:val="center"/>
            </w:pPr>
            <w:r>
              <w:rPr>
                <w:rFonts w:ascii="Garamond" w:cs="Garamond" w:eastAsia="Garamond" w:hAnsi="Garamond"/>
                <w:b/>
                <w:bCs/>
                <w:color w:val="FFFFFF"/>
                <w:sz w:val="17"/>
                <w:szCs w:val="17"/>
              </w:rPr>
              <w:t xml:space="preserve">Median</w:t>
            </w:r>
          </w:p>
        </w:tc>
        <w:tc>
          <w:tcPr>
            <w:tcW w:type="dxa" w:w="3180"/>
            <w:shd w:fill="1B2A4A" w:val="clear"/>
            <w:tcMar>
              <w:top w:type="dxa" w:w="60"/>
              <w:left w:type="dxa" w:w="100"/>
              <w:bottom w:type="dxa" w:w="60"/>
              <w:right w:type="dxa" w:w="100"/>
            </w:tcMar>
            <w:vAlign w:val="center"/>
          </w:tcPr>
          <w:p>
            <w:pPr>
              <w:jc w:val="center"/>
            </w:pPr>
            <w:r>
              <w:rPr>
                <w:rFonts w:ascii="Garamond" w:cs="Garamond" w:eastAsia="Garamond" w:hAnsi="Garamond"/>
                <w:b/>
                <w:bCs/>
                <w:color w:val="FFFFFF"/>
                <w:sz w:val="17"/>
                <w:szCs w:val="17"/>
              </w:rPr>
              <w:t xml:space="preserve">Selected</w:t>
            </w:r>
          </w:p>
        </w:tc>
      </w:tr>
      <w:tr>
        <w:tc>
          <w:tcPr>
            <w:tcW w:type="dxa" w:w="3600"/>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Revenue growth (NTM)</w:t>
            </w:r>
          </w:p>
        </w:tc>
        <w:tc>
          <w:tcPr>
            <w:tcW w:type="dxa" w:w="330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24.9%</w:t>
            </w:r>
          </w:p>
        </w:tc>
        <w:tc>
          <w:tcPr>
            <w:tcW w:type="dxa" w:w="318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26.0%</w:t>
            </w:r>
          </w:p>
        </w:tc>
      </w:tr>
      <w:tr>
        <w:tc>
          <w:tcPr>
            <w:tcW w:type="dxa" w:w="3600"/>
            <w:shd w:fill="F0F0F0" w:val="clear"/>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EV / Revenue (NTM)</w:t>
            </w:r>
          </w:p>
        </w:tc>
        <w:tc>
          <w:tcPr>
            <w:tcW w:type="dxa" w:w="330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9.9x</w:t>
            </w:r>
          </w:p>
        </w:tc>
        <w:tc>
          <w:tcPr>
            <w:tcW w:type="dxa" w:w="318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12.0x</w:t>
            </w:r>
          </w:p>
        </w:tc>
      </w:tr>
      <w:tr>
        <w:tc>
          <w:tcPr>
            <w:tcW w:type="dxa" w:w="3600"/>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EBITDA margin</w:t>
            </w:r>
          </w:p>
        </w:tc>
        <w:tc>
          <w:tcPr>
            <w:tcW w:type="dxa" w:w="330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(1.8%)</w:t>
            </w:r>
          </w:p>
        </w:tc>
        <w:tc>
          <w:tcPr>
            <w:tcW w:type="dxa" w:w="318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(3.8%)</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300"/>
        <w:gridCol w:w="3580"/>
      </w:tblGrid>
      <w:tr>
        <w:trPr>
          <w:tblHeader/>
        </w:trPr>
        <w:tc>
          <w:tcPr>
            <w:tcW w:type="dxa" w:w="3200"/>
            <w:shd w:fill="1B2A4A" w:val="clear"/>
            <w:tcMar>
              <w:top w:type="dxa" w:w="60"/>
              <w:left w:type="dxa" w:w="100"/>
              <w:bottom w:type="dxa" w:w="60"/>
              <w:right w:type="dxa" w:w="100"/>
            </w:tcMar>
            <w:vAlign w:val="center"/>
          </w:tcPr>
          <w:p>
            <w:pPr>
              <w:jc w:val="left"/>
            </w:pPr>
            <w:r>
              <w:rPr>
                <w:rFonts w:ascii="Garamond" w:cs="Garamond" w:eastAsia="Garamond" w:hAnsi="Garamond"/>
                <w:b/>
                <w:bCs/>
                <w:color w:val="FFFFFF"/>
                <w:sz w:val="17"/>
                <w:szCs w:val="17"/>
              </w:rPr>
              <w:t xml:space="preserve">ARR case</w:t>
            </w:r>
          </w:p>
        </w:tc>
        <w:tc>
          <w:tcPr>
            <w:tcW w:type="dxa" w:w="3300"/>
            <w:shd w:fill="1B2A4A" w:val="clear"/>
            <w:tcMar>
              <w:top w:type="dxa" w:w="60"/>
              <w:left w:type="dxa" w:w="100"/>
              <w:bottom w:type="dxa" w:w="60"/>
              <w:right w:type="dxa" w:w="100"/>
            </w:tcMar>
            <w:vAlign w:val="center"/>
          </w:tcPr>
          <w:p>
            <w:pPr>
              <w:jc w:val="center"/>
            </w:pPr>
            <w:r>
              <w:rPr>
                <w:rFonts w:ascii="Garamond" w:cs="Garamond" w:eastAsia="Garamond" w:hAnsi="Garamond"/>
                <w:b/>
                <w:bCs/>
                <w:color w:val="FFFFFF"/>
                <w:sz w:val="17"/>
                <w:szCs w:val="17"/>
              </w:rPr>
              <w:t xml:space="preserve">Implied EV at 12.0x</w:t>
            </w:r>
          </w:p>
        </w:tc>
        <w:tc>
          <w:tcPr>
            <w:tcW w:type="dxa" w:w="3580"/>
            <w:shd w:fill="1B2A4A" w:val="clear"/>
            <w:tcMar>
              <w:top w:type="dxa" w:w="60"/>
              <w:left w:type="dxa" w:w="100"/>
              <w:bottom w:type="dxa" w:w="60"/>
              <w:right w:type="dxa" w:w="100"/>
            </w:tcMar>
            <w:vAlign w:val="center"/>
          </w:tcPr>
          <w:p>
            <w:pPr>
              <w:jc w:val="center"/>
            </w:pPr>
            <w:r>
              <w:rPr>
                <w:rFonts w:ascii="Garamond" w:cs="Garamond" w:eastAsia="Garamond" w:hAnsi="Garamond"/>
                <w:b/>
                <w:bCs/>
                <w:color w:val="FFFFFF"/>
                <w:sz w:val="17"/>
                <w:szCs w:val="17"/>
              </w:rPr>
              <w:t xml:space="preserve">vs. deal value</w:t>
            </w:r>
          </w:p>
        </w:tc>
      </w:tr>
      <w:tr>
        <w:tc>
          <w:tcPr>
            <w:tcW w:type="dxa" w:w="3200"/>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Low ($1.0bn)</w:t>
            </w:r>
          </w:p>
        </w:tc>
        <w:tc>
          <w:tcPr>
            <w:tcW w:type="dxa" w:w="330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$12.0bn</w:t>
            </w:r>
          </w:p>
        </w:tc>
        <w:tc>
          <w:tcPr>
            <w:tcW w:type="dxa" w:w="358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(80.1%)</w:t>
            </w:r>
          </w:p>
        </w:tc>
      </w:tr>
      <w:tr>
        <w:tc>
          <w:tcPr>
            <w:tcW w:type="dxa" w:w="3200"/>
            <w:shd w:fill="F0F0F0" w:val="clear"/>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Base ($2.0bn)</w:t>
            </w:r>
          </w:p>
        </w:tc>
        <w:tc>
          <w:tcPr>
            <w:tcW w:type="dxa" w:w="330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$23.9bn</w:t>
            </w:r>
          </w:p>
        </w:tc>
        <w:tc>
          <w:tcPr>
            <w:tcW w:type="dxa" w:w="358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(60.1%)</w:t>
            </w:r>
          </w:p>
        </w:tc>
      </w:tr>
      <w:tr>
        <w:tc>
          <w:tcPr>
            <w:tcW w:type="dxa" w:w="3200"/>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High ($4.0bn)</w:t>
            </w:r>
          </w:p>
        </w:tc>
        <w:tc>
          <w:tcPr>
            <w:tcW w:type="dxa" w:w="330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$47.8bn</w:t>
            </w:r>
          </w:p>
        </w:tc>
        <w:tc>
          <w:tcPr>
            <w:tcW w:type="dxa" w:w="358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(20.3%)</w:t>
            </w:r>
          </w:p>
        </w:tc>
      </w:tr>
    </w:tbl>
    <w:p>
      <w:pPr>
        <w:spacing w:after="100"/>
      </w:pPr>
    </w:p>
    <w:p>
      <w:pPr>
        <w:spacing w:after="140" w:line="276"/>
        <w:jc w:val="both"/>
      </w:pPr>
      <w:r>
        <w:rPr>
          <w:rFonts w:ascii="Garamond" w:cs="Garamond" w:eastAsia="Garamond" w:hAnsi="Garamond"/>
          <w:sz w:val="19"/>
          <w:szCs w:val="19"/>
        </w:rPr>
        <w:t xml:space="preserve">At every ARR scenario, the deal price sits materially above what public developer-tools comparables would support. Even in the high case, the premium to comparables is 20.3%.</w:t>
      </w:r>
    </w:p>
    <w:p>
      <w:pPr>
        <w:spacing w:after="90" w:before="220"/>
      </w:pPr>
      <w:r>
        <w:rPr>
          <w:rFonts w:ascii="Georgia" w:cs="Georgia" w:eastAsia="Georgia" w:hAnsi="Georgia"/>
          <w:b/>
          <w:bCs/>
          <w:i/>
          <w:iCs/>
          <w:color w:val="1B2A4A"/>
          <w:sz w:val="20"/>
          <w:szCs w:val="20"/>
        </w:rPr>
        <w:t xml:space="preserve">4.4  Probability-weighted fair value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2400"/>
        <w:gridCol w:w="1680"/>
      </w:tblGrid>
      <w:tr>
        <w:trPr>
          <w:tblHeader/>
        </w:trPr>
        <w:tc>
          <w:tcPr>
            <w:tcW w:type="dxa" w:w="2600"/>
            <w:shd w:fill="1B2A4A" w:val="clear"/>
            <w:tcMar>
              <w:top w:type="dxa" w:w="60"/>
              <w:left w:type="dxa" w:w="100"/>
              <w:bottom w:type="dxa" w:w="60"/>
              <w:right w:type="dxa" w:w="100"/>
            </w:tcMar>
            <w:vAlign w:val="center"/>
          </w:tcPr>
          <w:p>
            <w:pPr>
              <w:jc w:val="left"/>
            </w:pPr>
            <w:r>
              <w:rPr>
                <w:rFonts w:ascii="Garamond" w:cs="Garamond" w:eastAsia="Garamond" w:hAnsi="Garamond"/>
                <w:b/>
                <w:bCs/>
                <w:color w:val="FFFFFF"/>
                <w:sz w:val="17"/>
                <w:szCs w:val="17"/>
              </w:rPr>
              <w:t xml:space="preserve">Case</w:t>
            </w:r>
          </w:p>
        </w:tc>
        <w:tc>
          <w:tcPr>
            <w:tcW w:type="dxa" w:w="1700"/>
            <w:shd w:fill="1B2A4A" w:val="clear"/>
            <w:tcMar>
              <w:top w:type="dxa" w:w="60"/>
              <w:left w:type="dxa" w:w="100"/>
              <w:bottom w:type="dxa" w:w="60"/>
              <w:right w:type="dxa" w:w="100"/>
            </w:tcMar>
            <w:vAlign w:val="center"/>
          </w:tcPr>
          <w:p>
            <w:pPr>
              <w:jc w:val="center"/>
            </w:pPr>
            <w:r>
              <w:rPr>
                <w:rFonts w:ascii="Garamond" w:cs="Garamond" w:eastAsia="Garamond" w:hAnsi="Garamond"/>
                <w:b/>
                <w:bCs/>
                <w:color w:val="FFFFFF"/>
                <w:sz w:val="17"/>
                <w:szCs w:val="17"/>
              </w:rPr>
              <w:t xml:space="preserve">ARR</w:t>
            </w:r>
          </w:p>
        </w:tc>
        <w:tc>
          <w:tcPr>
            <w:tcW w:type="dxa" w:w="1700"/>
            <w:shd w:fill="1B2A4A" w:val="clear"/>
            <w:tcMar>
              <w:top w:type="dxa" w:w="60"/>
              <w:left w:type="dxa" w:w="100"/>
              <w:bottom w:type="dxa" w:w="60"/>
              <w:right w:type="dxa" w:w="100"/>
            </w:tcMar>
            <w:vAlign w:val="center"/>
          </w:tcPr>
          <w:p>
            <w:pPr>
              <w:jc w:val="center"/>
            </w:pPr>
            <w:r>
              <w:rPr>
                <w:rFonts w:ascii="Garamond" w:cs="Garamond" w:eastAsia="Garamond" w:hAnsi="Garamond"/>
                <w:b/>
                <w:bCs/>
                <w:color w:val="FFFFFF"/>
                <w:sz w:val="17"/>
                <w:szCs w:val="17"/>
              </w:rPr>
              <w:t xml:space="preserve">Multiple</w:t>
            </w:r>
          </w:p>
        </w:tc>
        <w:tc>
          <w:tcPr>
            <w:tcW w:type="dxa" w:w="2400"/>
            <w:shd w:fill="1B2A4A" w:val="clear"/>
            <w:tcMar>
              <w:top w:type="dxa" w:w="60"/>
              <w:left w:type="dxa" w:w="100"/>
              <w:bottom w:type="dxa" w:w="60"/>
              <w:right w:type="dxa" w:w="100"/>
            </w:tcMar>
            <w:vAlign w:val="center"/>
          </w:tcPr>
          <w:p>
            <w:pPr>
              <w:jc w:val="center"/>
            </w:pPr>
            <w:r>
              <w:rPr>
                <w:rFonts w:ascii="Garamond" w:cs="Garamond" w:eastAsia="Garamond" w:hAnsi="Garamond"/>
                <w:b/>
                <w:bCs/>
                <w:color w:val="FFFFFF"/>
                <w:sz w:val="17"/>
                <w:szCs w:val="17"/>
              </w:rPr>
              <w:t xml:space="preserve">Implied value</w:t>
            </w:r>
          </w:p>
        </w:tc>
        <w:tc>
          <w:tcPr>
            <w:tcW w:type="dxa" w:w="1680"/>
            <w:shd w:fill="1B2A4A" w:val="clear"/>
            <w:tcMar>
              <w:top w:type="dxa" w:w="60"/>
              <w:left w:type="dxa" w:w="100"/>
              <w:bottom w:type="dxa" w:w="60"/>
              <w:right w:type="dxa" w:w="100"/>
            </w:tcMar>
            <w:vAlign w:val="center"/>
          </w:tcPr>
          <w:p>
            <w:pPr>
              <w:jc w:val="center"/>
            </w:pPr>
            <w:r>
              <w:rPr>
                <w:rFonts w:ascii="Garamond" w:cs="Garamond" w:eastAsia="Garamond" w:hAnsi="Garamond"/>
                <w:b/>
                <w:bCs/>
                <w:color w:val="FFFFFF"/>
                <w:sz w:val="17"/>
                <w:szCs w:val="17"/>
              </w:rPr>
              <w:t xml:space="preserve">Weight</w:t>
            </w:r>
          </w:p>
        </w:tc>
      </w:tr>
      <w:tr>
        <w:tc>
          <w:tcPr>
            <w:tcW w:type="dxa" w:w="2600"/>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Downside</w:t>
            </w:r>
          </w:p>
        </w:tc>
        <w:tc>
          <w:tcPr>
            <w:tcW w:type="dxa" w:w="170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$1.0bn</w:t>
            </w:r>
          </w:p>
        </w:tc>
        <w:tc>
          <w:tcPr>
            <w:tcW w:type="dxa" w:w="170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20.0x</w:t>
            </w:r>
          </w:p>
        </w:tc>
        <w:tc>
          <w:tcPr>
            <w:tcW w:type="dxa" w:w="240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$20.0bn</w:t>
            </w:r>
          </w:p>
        </w:tc>
        <w:tc>
          <w:tcPr>
            <w:tcW w:type="dxa" w:w="168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20%</w:t>
            </w:r>
          </w:p>
        </w:tc>
      </w:tr>
      <w:tr>
        <w:tc>
          <w:tcPr>
            <w:tcW w:type="dxa" w:w="2600"/>
            <w:shd w:fill="F0F0F0" w:val="clear"/>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Base</w:t>
            </w:r>
          </w:p>
        </w:tc>
        <w:tc>
          <w:tcPr>
            <w:tcW w:type="dxa" w:w="170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$2.0bn</w:t>
            </w:r>
          </w:p>
        </w:tc>
        <w:tc>
          <w:tcPr>
            <w:tcW w:type="dxa" w:w="170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25.0x</w:t>
            </w:r>
          </w:p>
        </w:tc>
        <w:tc>
          <w:tcPr>
            <w:tcW w:type="dxa" w:w="240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$50.0bn</w:t>
            </w:r>
          </w:p>
        </w:tc>
        <w:tc>
          <w:tcPr>
            <w:tcW w:type="dxa" w:w="168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50%</w:t>
            </w:r>
          </w:p>
        </w:tc>
      </w:tr>
      <w:tr>
        <w:tc>
          <w:tcPr>
            <w:tcW w:type="dxa" w:w="2600"/>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Upside</w:t>
            </w:r>
          </w:p>
        </w:tc>
        <w:tc>
          <w:tcPr>
            <w:tcW w:type="dxa" w:w="170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$4.0bn</w:t>
            </w:r>
          </w:p>
        </w:tc>
        <w:tc>
          <w:tcPr>
            <w:tcW w:type="dxa" w:w="170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20.0x</w:t>
            </w:r>
          </w:p>
        </w:tc>
        <w:tc>
          <w:tcPr>
            <w:tcW w:type="dxa" w:w="240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$80.0bn</w:t>
            </w:r>
          </w:p>
        </w:tc>
        <w:tc>
          <w:tcPr>
            <w:tcW w:type="dxa" w:w="168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30%</w:t>
            </w:r>
          </w:p>
        </w:tc>
      </w:tr>
      <w:tr>
        <w:tc>
          <w:tcPr>
            <w:tcW w:type="dxa" w:w="2600"/>
            <w:shd w:fill="F0F0F0" w:val="clear"/>
            <w:tcMar>
              <w:top w:type="dxa" w:w="60"/>
              <w:left w:type="dxa" w:w="100"/>
              <w:bottom w:type="dxa" w:w="60"/>
              <w:right w:type="dxa" w:w="100"/>
            </w:tcMar>
            <w:vAlign w:val="center"/>
          </w:tcPr>
          <w:p>
            <w:pPr>
              <w:jc w:val="left"/>
            </w:pPr>
            <w:r>
              <w:rPr>
                <w:rFonts w:ascii="Garamond" w:cs="Garamond" w:eastAsia="Garamond" w:hAnsi="Garamond"/>
                <w:b/>
                <w:bCs/>
                <w:color w:val="000000"/>
                <w:sz w:val="18"/>
                <w:szCs w:val="18"/>
              </w:rPr>
              <w:t xml:space="preserve">Weighted fair value</w:t>
            </w:r>
          </w:p>
        </w:tc>
        <w:tc>
          <w:tcPr>
            <w:tcW w:type="dxa" w:w="1700"/>
            <w:shd w:fill="F0F0F0" w:val="clear"/>
            <w:tcMar>
              <w:top w:type="dxa" w:w="60"/>
              <w:left w:type="dxa" w:w="100"/>
              <w:bottom w:type="dxa" w:w="60"/>
              <w:right w:type="dxa" w:w="100"/>
            </w:tcMar>
            <w:vAlign w:val="center"/>
          </w:tcPr>
          <w:p>
            <w:pPr>
              <w:jc w:val="center"/>
            </w:pPr>
            <w:r>
              <w:rPr>
                <w:rFonts w:ascii="Garamond" w:cs="Garamond" w:eastAsia="Garamond" w:hAnsi="Garamond"/>
                <w:b/>
                <w:bCs/>
                <w:color w:val="000000"/>
                <w:sz w:val="18"/>
                <w:szCs w:val="18"/>
              </w:rPr>
              <w:t xml:space="preserve"/>
            </w:r>
          </w:p>
        </w:tc>
        <w:tc>
          <w:tcPr>
            <w:tcW w:type="dxa" w:w="1700"/>
            <w:shd w:fill="F0F0F0" w:val="clear"/>
            <w:tcMar>
              <w:top w:type="dxa" w:w="60"/>
              <w:left w:type="dxa" w:w="100"/>
              <w:bottom w:type="dxa" w:w="60"/>
              <w:right w:type="dxa" w:w="100"/>
            </w:tcMar>
            <w:vAlign w:val="center"/>
          </w:tcPr>
          <w:p>
            <w:pPr>
              <w:jc w:val="center"/>
            </w:pPr>
            <w:r>
              <w:rPr>
                <w:rFonts w:ascii="Garamond" w:cs="Garamond" w:eastAsia="Garamond" w:hAnsi="Garamond"/>
                <w:b/>
                <w:bCs/>
                <w:color w:val="000000"/>
                <w:sz w:val="18"/>
                <w:szCs w:val="18"/>
              </w:rPr>
              <w:t xml:space="preserve"/>
            </w:r>
          </w:p>
        </w:tc>
        <w:tc>
          <w:tcPr>
            <w:tcW w:type="dxa" w:w="2400"/>
            <w:shd w:fill="F0F0F0" w:val="clear"/>
            <w:tcMar>
              <w:top w:type="dxa" w:w="60"/>
              <w:left w:type="dxa" w:w="100"/>
              <w:bottom w:type="dxa" w:w="60"/>
              <w:right w:type="dxa" w:w="100"/>
            </w:tcMar>
            <w:vAlign w:val="center"/>
          </w:tcPr>
          <w:p>
            <w:pPr>
              <w:jc w:val="center"/>
            </w:pPr>
            <w:r>
              <w:rPr>
                <w:rFonts w:ascii="Garamond" w:cs="Garamond" w:eastAsia="Garamond" w:hAnsi="Garamond"/>
                <w:b/>
                <w:bCs/>
                <w:color w:val="000000"/>
                <w:sz w:val="18"/>
                <w:szCs w:val="18"/>
              </w:rPr>
              <w:t xml:space="preserve">$53.0bn</w:t>
            </w:r>
          </w:p>
        </w:tc>
        <w:tc>
          <w:tcPr>
            <w:tcW w:type="dxa" w:w="1680"/>
            <w:shd w:fill="F0F0F0" w:val="clear"/>
            <w:tcMar>
              <w:top w:type="dxa" w:w="60"/>
              <w:left w:type="dxa" w:w="100"/>
              <w:bottom w:type="dxa" w:w="60"/>
              <w:right w:type="dxa" w:w="100"/>
            </w:tcMar>
            <w:vAlign w:val="center"/>
          </w:tcPr>
          <w:p>
            <w:pPr>
              <w:jc w:val="center"/>
            </w:pPr>
            <w:r>
              <w:rPr>
                <w:rFonts w:ascii="Garamond" w:cs="Garamond" w:eastAsia="Garamond" w:hAnsi="Garamond"/>
                <w:b/>
                <w:bCs/>
                <w:color w:val="000000"/>
                <w:sz w:val="18"/>
                <w:szCs w:val="18"/>
              </w:rPr>
              <w:t xml:space="preserve"/>
            </w:r>
          </w:p>
        </w:tc>
      </w:tr>
    </w:tbl>
    <w:p>
      <w:pPr>
        <w:spacing w:after="100"/>
      </w:pPr>
    </w:p>
    <w:p>
      <w:pPr>
        <w:spacing w:after="140" w:line="276"/>
        <w:jc w:val="both"/>
      </w:pPr>
      <w:r>
        <w:rPr>
          <w:rFonts w:ascii="Garamond" w:cs="Garamond" w:eastAsia="Garamond" w:hAnsi="Garamond"/>
          <w:sz w:val="19"/>
          <w:szCs w:val="19"/>
        </w:rPr>
        <w:t xml:space="preserve">The probability-weighted fair value of $53.0bn sits 11.7% below the agreed $60.0bn price. The gap is a reasonable premium to pay for strategic control and talent acquisition, in our assessment, but the Board should understand explicitly that the price is not supported by a probability-weighted view of Cursor’s standalone financial trajectory.</w:t>
      </w:r>
    </w:p>
    <w:p>
      <w:pPr>
        <w:pStyle w:val="Heading1"/>
        <w:pBdr>
          <w:bottom w:val="single" w:color="1B2A4A" w:sz="4" w:space="2"/>
        </w:pBdr>
        <w:spacing w:after="140" w:before="320"/>
      </w:pPr>
      <w:r>
        <w:rPr>
          <w:rFonts w:ascii="Georgia" w:cs="Georgia" w:eastAsia="Georgia" w:hAnsi="Georgia"/>
          <w:b/>
          <w:bCs/>
          <w:color w:val="1B2A4A"/>
          <w:sz w:val="22"/>
          <w:szCs w:val="22"/>
        </w:rPr>
        <w:t xml:space="preserve">5. STRUCTURE AND DEAL PROTECTION</w:t>
      </w:r>
    </w:p>
    <w:p>
      <w:pPr>
        <w:spacing w:after="90" w:before="220"/>
      </w:pPr>
      <w:r>
        <w:rPr>
          <w:rFonts w:ascii="Georgia" w:cs="Georgia" w:eastAsia="Georgia" w:hAnsi="Georgia"/>
          <w:b/>
          <w:bCs/>
          <w:i/>
          <w:iCs/>
          <w:color w:val="1B2A4A"/>
          <w:sz w:val="20"/>
          <w:szCs w:val="20"/>
        </w:rPr>
        <w:t xml:space="preserve">5.1  The exchange ratio structure allocates pre-closing price risk entirely to SpaceX shareholders</w:t>
      </w:r>
    </w:p>
    <w:p>
      <w:pPr>
        <w:spacing w:after="140" w:line="276"/>
        <w:jc w:val="both"/>
      </w:pPr>
      <w:r>
        <w:rPr>
          <w:rFonts w:ascii="Garamond" w:cs="Garamond" w:eastAsia="Garamond" w:hAnsi="Garamond"/>
          <w:sz w:val="19"/>
          <w:szCs w:val="19"/>
        </w:rPr>
        <w:t xml:space="preserve">The consideration is a floating-value exchange ratio: Anysphere shareholders receive a fixed $60.0bn of value, with the SPCX share count set by the 7-trading-day VWAP immediately before closing. No collar is disclosed.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1B2A4A" w:val="clear"/>
            <w:tcMar>
              <w:top w:type="dxa" w:w="60"/>
              <w:left w:type="dxa" w:w="100"/>
              <w:bottom w:type="dxa" w:w="60"/>
              <w:right w:type="dxa" w:w="100"/>
            </w:tcMar>
            <w:vAlign w:val="center"/>
          </w:tcPr>
          <w:p>
            <w:pPr>
              <w:jc w:val="left"/>
            </w:pPr>
            <w:r>
              <w:rPr>
                <w:rFonts w:ascii="Garamond" w:cs="Garamond" w:eastAsia="Garamond" w:hAnsi="Garamond"/>
                <w:b/>
                <w:bCs/>
                <w:color w:val="FFFFFF"/>
                <w:sz w:val="17"/>
                <w:szCs w:val="17"/>
              </w:rPr>
              <w:t xml:space="preserve">SPCX VWAP at close</w:t>
            </w:r>
          </w:p>
        </w:tc>
        <w:tc>
          <w:tcPr>
            <w:tcW w:type="dxa" w:w="5040"/>
            <w:shd w:fill="1B2A4A" w:val="clear"/>
            <w:tcMar>
              <w:top w:type="dxa" w:w="60"/>
              <w:left w:type="dxa" w:w="100"/>
              <w:bottom w:type="dxa" w:w="60"/>
              <w:right w:type="dxa" w:w="100"/>
            </w:tcMar>
            <w:vAlign w:val="center"/>
          </w:tcPr>
          <w:p>
            <w:pPr>
              <w:jc w:val="center"/>
            </w:pPr>
            <w:r>
              <w:rPr>
                <w:rFonts w:ascii="Garamond" w:cs="Garamond" w:eastAsia="Garamond" w:hAnsi="Garamond"/>
                <w:b/>
                <w:bCs/>
                <w:color w:val="FFFFFF"/>
                <w:sz w:val="17"/>
                <w:szCs w:val="17"/>
              </w:rPr>
              <w:t xml:space="preserve">Shares issued</w:t>
            </w:r>
          </w:p>
        </w:tc>
      </w:tr>
      <w:tr>
        <w:tc>
          <w:tcPr>
            <w:tcW w:type="dxa" w:w="5040"/>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$150</w:t>
            </w:r>
          </w:p>
        </w:tc>
        <w:tc>
          <w:tcPr>
            <w:tcW w:type="dxa" w:w="504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400.0mm</w:t>
            </w:r>
          </w:p>
        </w:tc>
      </w:tr>
      <w:tr>
        <w:tc>
          <w:tcPr>
            <w:tcW w:type="dxa" w:w="5040"/>
            <w:shd w:fill="F0F0F0" w:val="clear"/>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$175</w:t>
            </w:r>
          </w:p>
        </w:tc>
        <w:tc>
          <w:tcPr>
            <w:tcW w:type="dxa" w:w="504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342.9mm</w:t>
            </w:r>
          </w:p>
        </w:tc>
      </w:tr>
      <w:tr>
        <w:tc>
          <w:tcPr>
            <w:tcW w:type="dxa" w:w="5040"/>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$200</w:t>
            </w:r>
          </w:p>
        </w:tc>
        <w:tc>
          <w:tcPr>
            <w:tcW w:type="dxa" w:w="504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300.0mm</w:t>
            </w:r>
          </w:p>
        </w:tc>
      </w:tr>
      <w:tr>
        <w:tc>
          <w:tcPr>
            <w:tcW w:type="dxa" w:w="5040"/>
            <w:shd w:fill="F0F0F0" w:val="clear"/>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$225</w:t>
            </w:r>
          </w:p>
        </w:tc>
        <w:tc>
          <w:tcPr>
            <w:tcW w:type="dxa" w:w="504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266.7mm</w:t>
            </w:r>
          </w:p>
        </w:tc>
      </w:tr>
    </w:tbl>
    <w:p>
      <w:pPr>
        <w:spacing w:after="100"/>
      </w:pPr>
    </w:p>
    <w:p>
      <w:pPr>
        <w:spacing w:after="140" w:line="276"/>
        <w:jc w:val="both"/>
      </w:pPr>
      <w:r>
        <w:rPr>
          <w:rFonts w:ascii="Garamond" w:cs="Garamond" w:eastAsia="Garamond" w:hAnsi="Garamond"/>
          <w:sz w:val="19"/>
          <w:szCs w:val="19"/>
        </w:rPr>
        <w:t xml:space="preserve">If SPCX trades down before close, the share count issued rises to preserve the seller’s fixed dollar value, increasing dilution to existing shareholders precisely when SpaceX stock is under pressure. If SPCX rallies, dilution falls. The structure protects the seller’s downside; it does not protect the buyer’s. We recommend the Board ask Corporate Development whether a collar was negotiated and rejected, and if so, why.</w:t>
      </w:r>
    </w:p>
    <w:p>
      <w:pPr>
        <w:spacing w:after="90" w:before="220"/>
      </w:pPr>
      <w:r>
        <w:rPr>
          <w:rFonts w:ascii="Georgia" w:cs="Georgia" w:eastAsia="Georgia" w:hAnsi="Georgia"/>
          <w:b/>
          <w:bCs/>
          <w:i/>
          <w:iCs/>
          <w:color w:val="1B2A4A"/>
          <w:sz w:val="20"/>
          <w:szCs w:val="20"/>
        </w:rPr>
        <w:t xml:space="preserve">5.2  Walk-away economics are large relative to typical break fee practice</w:t>
      </w:r>
    </w:p>
    <w:p>
      <w:pPr>
        <w:spacing w:after="140" w:line="276"/>
        <w:jc w:val="both"/>
      </w:pPr>
      <w:r>
        <w:rPr>
          <w:rFonts w:ascii="Garamond" w:cs="Garamond" w:eastAsia="Garamond" w:hAnsi="Garamond"/>
          <w:sz w:val="19"/>
          <w:szCs w:val="19"/>
        </w:rPr>
        <w:t xml:space="preserve">The total walk-away package of $10.0bn represents 16.7% of deal value, well above the 2–4% break fee typical of large strategic transactions — though $8.5bn of the total is a compute commitment rather than a cash penalty, which somewhat mitigates the comparison. An April 2026 option gave SpaceX the right to acquire at the $60.0bn strike against this walk-away cost, implying an effective option value of approximately $50.0bn, or 83.3% of deal value — signaling a high degree of conviction already priced into the structure before the Board’s review.</w:t>
      </w:r>
    </w:p>
    <w:p>
      <w:pPr>
        <w:spacing w:after="90" w:before="220"/>
      </w:pPr>
      <w:r>
        <w:rPr>
          <w:rFonts w:ascii="Georgia" w:cs="Georgia" w:eastAsia="Georgia" w:hAnsi="Georgia"/>
          <w:b/>
          <w:bCs/>
          <w:i/>
          <w:iCs/>
          <w:color w:val="1B2A4A"/>
          <w:sz w:val="20"/>
          <w:szCs w:val="20"/>
        </w:rPr>
        <w:t xml:space="preserve">5.3  Dilution and market reaction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900"/>
        <w:gridCol w:w="4180"/>
      </w:tblGrid>
      <w:tr>
        <w:trPr>
          <w:tblHeader/>
        </w:trPr>
        <w:tc>
          <w:tcPr>
            <w:tcW w:type="dxa" w:w="5900"/>
            <w:shd w:fill="1B2A4A" w:val="clear"/>
            <w:tcMar>
              <w:top w:type="dxa" w:w="60"/>
              <w:left w:type="dxa" w:w="100"/>
              <w:bottom w:type="dxa" w:w="60"/>
              <w:right w:type="dxa" w:w="100"/>
            </w:tcMar>
            <w:vAlign w:val="center"/>
          </w:tcPr>
          <w:p>
            <w:pPr>
              <w:jc w:val="left"/>
            </w:pPr>
            <w:r>
              <w:rPr>
                <w:rFonts w:ascii="Garamond" w:cs="Garamond" w:eastAsia="Garamond" w:hAnsi="Garamond"/>
                <w:b/>
                <w:bCs/>
                <w:color w:val="FFFFFF"/>
                <w:sz w:val="17"/>
                <w:szCs w:val="17"/>
              </w:rPr>
              <w:t xml:space="preserve">Metric</w:t>
            </w:r>
          </w:p>
        </w:tc>
        <w:tc>
          <w:tcPr>
            <w:tcW w:type="dxa" w:w="4180"/>
            <w:shd w:fill="1B2A4A" w:val="clear"/>
            <w:tcMar>
              <w:top w:type="dxa" w:w="60"/>
              <w:left w:type="dxa" w:w="100"/>
              <w:bottom w:type="dxa" w:w="60"/>
              <w:right w:type="dxa" w:w="100"/>
            </w:tcMar>
            <w:vAlign w:val="center"/>
          </w:tcPr>
          <w:p>
            <w:pPr>
              <w:jc w:val="center"/>
            </w:pPr>
            <w:r>
              <w:rPr>
                <w:rFonts w:ascii="Garamond" w:cs="Garamond" w:eastAsia="Garamond" w:hAnsi="Garamond"/>
                <w:b/>
                <w:bCs/>
                <w:color w:val="FFFFFF"/>
                <w:sz w:val="17"/>
                <w:szCs w:val="17"/>
              </w:rPr>
              <w:t xml:space="preserve">Value</w:t>
            </w:r>
          </w:p>
        </w:tc>
      </w:tr>
      <w:tr>
        <w:tc>
          <w:tcPr>
            <w:tcW w:type="dxa" w:w="5900"/>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SPCX equity value at announcement</w:t>
            </w:r>
          </w:p>
        </w:tc>
        <w:tc>
          <w:tcPr>
            <w:tcW w:type="dxa" w:w="418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$2,536.0bn</w:t>
            </w:r>
          </w:p>
        </w:tc>
      </w:tr>
      <w:tr>
        <w:tc>
          <w:tcPr>
            <w:tcW w:type="dxa" w:w="5900"/>
            <w:shd w:fill="F0F0F0" w:val="clear"/>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Implied shares issued</w:t>
            </w:r>
          </w:p>
        </w:tc>
        <w:tc>
          <w:tcPr>
            <w:tcW w:type="dxa" w:w="418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297.3mm</w:t>
            </w:r>
          </w:p>
        </w:tc>
      </w:tr>
      <w:tr>
        <w:tc>
          <w:tcPr>
            <w:tcW w:type="dxa" w:w="5900"/>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Ownership dilution to existing shareholders</w:t>
            </w:r>
          </w:p>
        </w:tc>
        <w:tc>
          <w:tcPr>
            <w:tcW w:type="dxa" w:w="418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2.37%</w:t>
            </w:r>
          </w:p>
        </w:tc>
      </w:tr>
      <w:tr>
        <w:tc>
          <w:tcPr>
            <w:tcW w:type="dxa" w:w="5900"/>
            <w:shd w:fill="F0F0F0" w:val="clear"/>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SPCX close, day before announcement</w:t>
            </w:r>
          </w:p>
        </w:tc>
        <w:tc>
          <w:tcPr>
            <w:tcW w:type="dxa" w:w="418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$192.50</w:t>
            </w:r>
          </w:p>
        </w:tc>
      </w:tr>
      <w:tr>
        <w:tc>
          <w:tcPr>
            <w:tcW w:type="dxa" w:w="5900"/>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SPCX close, announcement day</w:t>
            </w:r>
          </w:p>
        </w:tc>
        <w:tc>
          <w:tcPr>
            <w:tcW w:type="dxa" w:w="418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$201.80</w:t>
            </w:r>
          </w:p>
        </w:tc>
      </w:tr>
      <w:tr>
        <w:tc>
          <w:tcPr>
            <w:tcW w:type="dxa" w:w="5900"/>
            <w:shd w:fill="F0F0F0" w:val="clear"/>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Announcement-day move</w:t>
            </w:r>
          </w:p>
        </w:tc>
        <w:tc>
          <w:tcPr>
            <w:tcW w:type="dxa" w:w="418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+4.83%</w:t>
            </w:r>
          </w:p>
        </w:tc>
      </w:tr>
      <w:tr>
        <w:tc>
          <w:tcPr>
            <w:tcW w:type="dxa" w:w="5900"/>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Announcement-day market cap change</w:t>
            </w:r>
          </w:p>
        </w:tc>
        <w:tc>
          <w:tcPr>
            <w:tcW w:type="dxa" w:w="418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+$122.5bn</w:t>
            </w:r>
          </w:p>
        </w:tc>
      </w:tr>
    </w:tbl>
    <w:p>
      <w:pPr>
        <w:spacing w:after="100"/>
      </w:pPr>
    </w:p>
    <w:p>
      <w:pPr>
        <w:spacing w:after="140" w:line="276"/>
        <w:jc w:val="both"/>
      </w:pPr>
      <w:r>
        <w:rPr>
          <w:rFonts w:ascii="Garamond" w:cs="Garamond" w:eastAsia="Garamond" w:hAnsi="Garamond"/>
          <w:sz w:val="19"/>
          <w:szCs w:val="19"/>
        </w:rPr>
        <w:t xml:space="preserve">The market cap increase on announcement ($122.5bn) exceeded the $60.0bn purchase price by $62.5bn. This reflects the market’s initial expectations at announcement and should not be read as a quantified or realized synergy estimate — no synergy build has been performed as part of this review.</w:t>
      </w:r>
    </w:p>
    <w:p>
      <w:pPr>
        <w:pStyle w:val="Heading1"/>
        <w:pBdr>
          <w:bottom w:val="single" w:color="1B2A4A" w:sz="4" w:space="2"/>
        </w:pBdr>
        <w:spacing w:after="140" w:before="320"/>
      </w:pPr>
      <w:r>
        <w:rPr>
          <w:rFonts w:ascii="Georgia" w:cs="Georgia" w:eastAsia="Georgia" w:hAnsi="Georgia"/>
          <w:b/>
          <w:bCs/>
          <w:color w:val="1B2A4A"/>
          <w:sz w:val="22"/>
          <w:szCs w:val="22"/>
        </w:rPr>
        <w:t xml:space="preserve">6. KEY RISKS</w:t>
      </w:r>
    </w:p>
    <w:p>
      <w:pPr>
        <w:pStyle w:val="ListParagraph"/>
        <w:numPr>
          <w:ilvl w:val="0"/>
          <w:numId w:val="2"/>
        </w:numPr>
        <w:spacing w:after="90" w:line="270"/>
      </w:pPr>
      <w:r>
        <w:rPr>
          <w:rFonts w:ascii="Garamond" w:cs="Garamond" w:eastAsia="Garamond" w:hAnsi="Garamond"/>
          <w:sz w:val="19"/>
          <w:szCs w:val="19"/>
        </w:rPr>
        <w:t xml:space="preserve">Retention risk. No earnout or disclosed retention package exists for Cursor’s founders or engineering team. This is, in our assessment, the single largest post-close execution risk and should be resolved contractually before closing, not left to post-close negotiation.</w:t>
      </w:r>
    </w:p>
    <w:p>
      <w:pPr>
        <w:pStyle w:val="ListParagraph"/>
        <w:numPr>
          <w:ilvl w:val="0"/>
          <w:numId w:val="2"/>
        </w:numPr>
        <w:spacing w:after="90" w:line="270"/>
      </w:pPr>
      <w:r>
        <w:rPr>
          <w:rFonts w:ascii="Garamond" w:cs="Garamond" w:eastAsia="Garamond" w:hAnsi="Garamond"/>
          <w:sz w:val="19"/>
          <w:szCs w:val="19"/>
        </w:rPr>
        <w:t xml:space="preserve">Model-neutrality risk. Cursor’s enterprise value depends partly on its perceived independence from any single model provider. An xAI-preferred integration roadmap risks enterprise customer churn if the market perceives Cursor as captive.</w:t>
      </w:r>
    </w:p>
    <w:p>
      <w:pPr>
        <w:pStyle w:val="ListParagraph"/>
        <w:numPr>
          <w:ilvl w:val="0"/>
          <w:numId w:val="2"/>
        </w:numPr>
        <w:spacing w:after="90" w:line="270"/>
      </w:pPr>
      <w:r>
        <w:rPr>
          <w:rFonts w:ascii="Garamond" w:cs="Garamond" w:eastAsia="Garamond" w:hAnsi="Garamond"/>
          <w:sz w:val="19"/>
          <w:szCs w:val="19"/>
        </w:rPr>
        <w:t xml:space="preserve">Uncollared dilution exposure. The floating exchange ratio with no collar means a decline in SPCX stock before close directly increases the share count issued and the dilution borne by existing shareholders.</w:t>
      </w:r>
    </w:p>
    <w:p>
      <w:pPr>
        <w:pStyle w:val="ListParagraph"/>
        <w:numPr>
          <w:ilvl w:val="0"/>
          <w:numId w:val="2"/>
        </w:numPr>
        <w:spacing w:after="90" w:line="270"/>
      </w:pPr>
      <w:r>
        <w:rPr>
          <w:rFonts w:ascii="Garamond" w:cs="Garamond" w:eastAsia="Garamond" w:hAnsi="Garamond"/>
          <w:sz w:val="19"/>
          <w:szCs w:val="19"/>
        </w:rPr>
        <w:t xml:space="preserve">Valuation support. At every ARR scenario tested, the price exceeds what public developer-tools comparables would imply, by a wide margin in the low and base cases.</w:t>
      </w:r>
    </w:p>
    <w:p>
      <w:pPr>
        <w:spacing w:after="60"/>
      </w:pPr>
    </w:p>
    <w:p>
      <w:pPr>
        <w:spacing w:after="140" w:line="276"/>
        <w:jc w:val="both"/>
      </w:pPr>
      <w:r>
        <w:rPr>
          <w:rFonts w:ascii="Garamond" w:cs="Garamond" w:eastAsia="Garamond" w:hAnsi="Garamond"/>
          <w:sz w:val="19"/>
          <w:szCs w:val="19"/>
        </w:rPr>
        <w:t xml:space="preserve">None of these risks, in our view, should stop the transaction from closing. They should inform the terms of any residual negotiation available before close and the integration plan the Board reviews post-close.</w:t>
      </w:r>
    </w:p>
    <w:p>
      <w:pPr>
        <w:pStyle w:val="Heading1"/>
        <w:pBdr>
          <w:bottom w:val="single" w:color="1B2A4A" w:sz="4" w:space="2"/>
        </w:pBdr>
        <w:spacing w:after="140" w:before="320"/>
      </w:pPr>
      <w:r>
        <w:rPr>
          <w:rFonts w:ascii="Georgia" w:cs="Georgia" w:eastAsia="Georgia" w:hAnsi="Georgia"/>
          <w:b/>
          <w:bCs/>
          <w:color w:val="1B2A4A"/>
          <w:sz w:val="22"/>
          <w:szCs w:val="22"/>
        </w:rPr>
        <w:t xml:space="preserve">7. RECOMMENDATION AND REQUESTED ACTION</w:t>
      </w:r>
    </w:p>
    <w:p>
      <w:pPr>
        <w:spacing w:after="140" w:line="276"/>
        <w:jc w:val="both"/>
      </w:pPr>
      <w:r>
        <w:rPr>
          <w:rFonts w:ascii="Garamond" w:cs="Garamond" w:eastAsia="Garamond" w:hAnsi="Garamond"/>
          <w:sz w:val="19"/>
          <w:szCs w:val="19"/>
        </w:rPr>
        <w:t xml:space="preserve">Corporate Development recommends the Board support closing the transaction as structured, and requests that the Board direct management to: (i) pursue a binding retention package for Cursor’s founders and key engineering staff ahead of close; (ii) confirm SpaceX’s intended post-close model-neutrality policy for Cursor and assess the enterprise churn risk of any change; and (iii) obtain from Corporate Development a written record of whether a collar was negotiated on the exchange ratio and, if not, why.</w:t>
      </w:r>
    </w:p>
    <w:p>
      <w:pPr>
        <w:spacing w:after="140" w:line="276"/>
        <w:jc w:val="both"/>
      </w:pPr>
      <w:r>
        <w:rPr>
          <w:rFonts w:ascii="Garamond" w:cs="Garamond" w:eastAsia="Garamond" w:hAnsi="Garamond"/>
          <w:sz w:val="19"/>
          <w:szCs w:val="19"/>
        </w:rPr>
        <w:t xml:space="preserve">The strategic rationale for closing the coding-product gap is sound and, in our view, outweighs the valuation premium to comparables. The structure and retention gaps identified above are the appropriate focus of the Board’s remaining diligence, not the strategic decision to proceed.</w:t>
      </w:r>
    </w:p>
    <w:p>
      <w:pPr>
        <w:spacing w:after="300"/>
      </w:pPr>
    </w:p>
    <w:p>
      <w:pPr>
        <w:pBdr>
          <w:top w:val="single" w:color="BFBFBF" w:sz="4" w:space="4"/>
        </w:pBdr>
        <w:spacing w:before="200"/>
      </w:pPr>
      <w:r>
        <w:rPr>
          <w:rFonts w:ascii="Garamond" w:cs="Garamond" w:eastAsia="Garamond" w:hAnsi="Garamond"/>
          <w:i/>
          <w:iCs/>
          <w:color w:val="595959"/>
          <w:sz w:val="15"/>
          <w:szCs w:val="15"/>
        </w:rPr>
        <w:t xml:space="preserve">This memorandum is prepared for portfolio and educational purposes only. Figures are illustrative, derived from a hypothetical transaction model, and do not constitute investment advice, an offer, or a solicitation with respect to any security.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10080"/>
      </w:tabs>
    </w:pPr>
    <w:r>
      <w:rPr>
        <w:rFonts w:ascii="Garamond" w:cs="Garamond" w:eastAsia="Garamond" w:hAnsi="Garamond"/>
        <w:color w:val="595959"/>
        <w:sz w:val="14"/>
        <w:szCs w:val="14"/>
      </w:rPr>
      <w:t xml:space="preserve">Deal Intelligence Lab — Draft for portfolio purposes only</w:t>
    </w:r>
    <w:r>
      <w:rPr>
        <w:rFonts w:ascii="Garamond" w:cs="Garamond" w:eastAsia="Garamond" w:hAnsi="Garamond"/>
        <w:color w:val="595959"/>
        <w:sz w:val="14"/>
        <w:szCs w:val="14"/>
      </w:rPr>
      <w:t xml:space="preserve">Page </w:t>
    </w:r>
    <w:r>
      <w:rPr>
        <w:rFonts w:ascii="Garamond" w:cs="Garamond" w:eastAsia="Garamond" w:hAnsi="Garamond"/>
        <w:color w:val="595959"/>
        <w:sz w:val="14"/>
        <w:szCs w:val="14"/>
      </w:rPr>
      <w:fldChar w:fldCharType="begin"/>
      <w:instrText xml:space="preserve">PAGE</w:instrText>
      <w:fldChar w:fldCharType="separate"/>
      <w:fldChar w:fldCharType="end"/>
    </w:r>
    <w:r>
      <w:rPr>
        <w:rFonts w:ascii="Garamond" w:cs="Garamond" w:eastAsia="Garamond" w:hAnsi="Garamond"/>
        <w:color w:val="595959"/>
        <w:sz w:val="14"/>
        <w:szCs w:val="14"/>
      </w:rPr>
      <w:t xml:space="preserve"> of </w:t>
    </w:r>
    <w:r>
      <w:rPr>
        <w:rFonts w:ascii="Garamond" w:cs="Garamond" w:eastAsia="Garamond" w:hAnsi="Garamond"/>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10080"/>
      </w:tabs>
    </w:pPr>
    <w:r>
      <w:rPr>
        <w:rFonts w:ascii="Garamond" w:cs="Garamond" w:eastAsia="Garamond" w:hAnsi="Garamond"/>
        <w:color w:val="595959"/>
        <w:sz w:val="14"/>
        <w:szCs w:val="14"/>
      </w:rPr>
      <w:t xml:space="preserve">STRICTLY PRIVATE AND CONFIDENTIAL</w:t>
    </w:r>
    <w:r>
      <w:rPr>
        <w:rFonts w:ascii="Garamond" w:cs="Garamond" w:eastAsia="Garamond" w:hAnsi="Garamond"/>
        <w:color w:val="595959"/>
        <w:sz w:val="14"/>
        <w:szCs w:val="14"/>
      </w:rPr>
      <w:t xml:space="preserve">	Board Memorandum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2026-07-25T23:14:25.522Z</dcterms:created>
  <dcterms:modified xsi:type="dcterms:W3CDTF">2026-07-25T23:14:25.523Z</dcterms:modified>
</cp:coreProperties>
</file>

<file path=docProps/custom.xml><?xml version="1.0" encoding="utf-8"?>
<Properties xmlns="http://schemas.openxmlformats.org/officeDocument/2006/custom-properties" xmlns:vt="http://schemas.openxmlformats.org/officeDocument/2006/docPropsVTypes"/>
</file>