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color w:val="1B2A4A"/>
          <w:sz w:val="30"/>
          <w:szCs w:val="30"/>
        </w:rPr>
        <w:t xml:space="preserve">VALUATION TEARDOWN NOTE</w:t>
      </w:r>
    </w:p>
    <w:p>
      <w:pPr>
        <w:spacing w:after="200"/>
      </w:pPr>
      <w:r>
        <w:rPr>
          <w:rFonts w:ascii="Georgia" w:cs="Georgia" w:eastAsia="Georgia" w:hAnsi="Georgia"/>
          <w:i/>
          <w:iCs/>
          <w:color w:val="0A0A0A"/>
          <w:sz w:val="22"/>
          <w:szCs w:val="22"/>
        </w:rPr>
        <w:t xml:space="preserve">IPO Pricing and Aftermarket Valuation Reconciliation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76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Prepared by</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Equity Capital Markets — Portfolio Analysis</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Date</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 July 2026</w:t>
            </w:r>
          </w:p>
        </w:tc>
      </w:tr>
      <w:tr>
        <w:tc>
          <w:tcPr>
            <w:tcW w:type="dxa" w:w="2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Coverage</w:t>
            </w:r>
          </w:p>
        </w:tc>
        <w:tc>
          <w:tcPr>
            <w:tcW w:type="dxa" w:w="7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IPO pricing through Day 11 of trading</w:t>
            </w:r>
          </w:p>
        </w:tc>
      </w:tr>
      <w:tr>
        <w:tc>
          <w:tcPr>
            <w:tcW w:type="dxa" w:w="2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Purpose</w:t>
            </w:r>
          </w:p>
        </w:tc>
        <w:tc>
          <w:tcPr>
            <w:tcW w:type="dxa" w:w="7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Reconcile IPO and aftermarket pricing against fundamentals-based valuation</w:t>
            </w:r>
          </w:p>
        </w:tc>
      </w:tr>
    </w:tbl>
    <w:p>
      <w:pPr>
        <w:spacing w:after="260"/>
      </w:pPr>
    </w:p>
    <w:p>
      <w:pPr>
        <w:pStyle w:val="Heading1"/>
        <w:pBdr>
          <w:bottom w:val="single" w:color="1B2A4A" w:sz="4" w:space="2"/>
        </w:pBdr>
        <w:spacing w:after="140" w:before="320"/>
      </w:pPr>
      <w:r>
        <w:rPr>
          <w:rFonts w:ascii="Georgia" w:cs="Georgia" w:eastAsia="Georgia" w:hAnsi="Georgia"/>
          <w:b/>
          <w:bCs/>
          <w:color w:val="1B2A4A"/>
          <w:sz w:val="22"/>
          <w:szCs w:val="22"/>
        </w:rPr>
        <w:t xml:space="preserve">1. SUMMARY</w:t>
      </w:r>
    </w:p>
    <w:p>
      <w:pPr>
        <w:spacing w:after="140" w:line="276"/>
        <w:jc w:val="both"/>
      </w:pPr>
      <w:r>
        <w:rPr>
          <w:rFonts w:ascii="Garamond" w:cs="Garamond" w:eastAsia="Garamond" w:hAnsi="Garamond"/>
          <w:sz w:val="19"/>
          <w:szCs w:val="19"/>
        </w:rPr>
        <w:t xml:space="preserve">SpaceX priced its IPO at $135.00 per share on 11 June 2026, raising $75.0bn in a 100% primary offering against a 4.2% free float. The stock closed Day 1 at $160.95, a 19.2% first-day return, and peaked at $201.80 on Day 3 before retracing to $153.23 by Day 11.</w:t>
      </w:r>
    </w:p>
    <w:p>
      <w:pPr>
        <w:spacing w:after="140" w:line="276"/>
        <w:jc w:val="both"/>
      </w:pPr>
      <w:r>
        <w:rPr>
          <w:rFonts w:ascii="Garamond" w:cs="Garamond" w:eastAsia="Garamond" w:hAnsi="Garamond"/>
          <w:b/>
          <w:bCs/>
          <w:sz w:val="19"/>
          <w:szCs w:val="19"/>
        </w:rPr>
        <w:t xml:space="preserve">Every fundamentals-based valuation method applied in this note lands materially below the offer price. </w:t>
      </w:r>
    </w:p>
    <w:p>
      <w:pPr>
        <w:spacing w:after="140" w:line="276"/>
        <w:jc w:val="both"/>
      </w:pPr>
      <w:r>
        <w:rPr>
          <w:rFonts w:ascii="Garamond" w:cs="Garamond" w:eastAsia="Garamond" w:hAnsi="Garamond"/>
          <w:sz w:val="19"/>
          <w:szCs w:val="19"/>
        </w:rPr>
        <w:t xml:space="preserve">A segment sum-of-the-parts build supports $141bn to $237bn; a discounted cash flow analysis supports $59bn to $95bn. The IPO priced at 91.8x FY2025 revenue and traded to 110.1x by Day 1 close. This note sizes that gap rather than asserting a fair value — the gap most plausibly reflects market-assigned value for Starlink terminal scale, Starship optionality, government and defense programs, and AI infrastructure exposure, none of which the disclosed FY2025 segment financials capture.</w:t>
      </w:r>
    </w:p>
    <w:p>
      <w:pPr>
        <w:pStyle w:val="Heading1"/>
        <w:pBdr>
          <w:bottom w:val="single" w:color="1B2A4A" w:sz="4" w:space="2"/>
        </w:pBdr>
        <w:spacing w:after="140" w:before="320"/>
      </w:pPr>
      <w:r>
        <w:rPr>
          <w:rFonts w:ascii="Georgia" w:cs="Georgia" w:eastAsia="Georgia" w:hAnsi="Georgia"/>
          <w:b/>
          <w:bCs/>
          <w:color w:val="1B2A4A"/>
          <w:sz w:val="22"/>
          <w:szCs w:val="22"/>
        </w:rPr>
        <w:t xml:space="preserve">2. OFFERING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Term</w:t>
            </w:r>
          </w:p>
        </w:tc>
        <w:tc>
          <w:tcPr>
            <w:tcW w:type="dxa" w:w="66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Detail</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Offer price</w:t>
            </w:r>
          </w:p>
        </w:tc>
        <w:tc>
          <w:tcPr>
            <w:tcW w:type="dxa" w:w="6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$135.00</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Shares offered</w:t>
            </w:r>
          </w:p>
        </w:tc>
        <w:tc>
          <w:tcPr>
            <w:tcW w:type="dxa" w:w="6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555.6mm</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Gross proceeds</w:t>
            </w:r>
          </w:p>
        </w:tc>
        <w:tc>
          <w:tcPr>
            <w:tcW w:type="dxa" w:w="6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$75,000mm</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Greenshoe</w:t>
            </w:r>
          </w:p>
        </w:tc>
        <w:tc>
          <w:tcPr>
            <w:tcW w:type="dxa" w:w="6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83.3mm shares</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Total incl. greenshoe</w:t>
            </w:r>
          </w:p>
        </w:tc>
        <w:tc>
          <w:tcPr>
            <w:tcW w:type="dxa" w:w="6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$86,250mm</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Primary / secondary split</w:t>
            </w:r>
          </w:p>
        </w:tc>
        <w:tc>
          <w:tcPr>
            <w:tcW w:type="dxa" w:w="6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100% / 0%</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Free float</w:t>
            </w:r>
          </w:p>
        </w:tc>
        <w:tc>
          <w:tcPr>
            <w:tcW w:type="dxa" w:w="6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4.2%</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Share class structure</w:t>
            </w:r>
          </w:p>
        </w:tc>
        <w:tc>
          <w:tcPr>
            <w:tcW w:type="dxa" w:w="6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Class A (1 vote) / Class B (10 votes)</w:t>
            </w:r>
          </w:p>
        </w:tc>
      </w:tr>
      <w:tr>
        <w:tc>
          <w:tcPr>
            <w:tcW w:type="dxa" w:w="34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Founder voting control</w:t>
            </w:r>
          </w:p>
        </w:tc>
        <w:tc>
          <w:tcPr>
            <w:tcW w:type="dxa" w:w="66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82.3%</w:t>
            </w:r>
          </w:p>
        </w:tc>
      </w:tr>
      <w:tr>
        <w:tc>
          <w:tcPr>
            <w:tcW w:type="dxa" w:w="34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Lock-up</w:t>
            </w:r>
          </w:p>
        </w:tc>
        <w:tc>
          <w:tcPr>
            <w:tcW w:type="dxa" w:w="66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366 days</w:t>
            </w:r>
          </w:p>
        </w:tc>
      </w:tr>
    </w:tbl>
    <w:p>
      <w:pPr>
        <w:spacing w:after="100"/>
      </w:pPr>
    </w:p>
    <w:p>
      <w:pPr>
        <w:spacing w:after="140" w:line="276"/>
        <w:jc w:val="both"/>
      </w:pPr>
      <w:r>
        <w:rPr>
          <w:rFonts w:ascii="Garamond" w:cs="Garamond" w:eastAsia="Garamond" w:hAnsi="Garamond"/>
          <w:sz w:val="19"/>
          <w:szCs w:val="19"/>
        </w:rPr>
        <w:t xml:space="preserve">A 100% primary offering with a 4.2% float is an unusually tight structure — the company raises the full proceeds, no existing holder sells, and the tradable base is small relative to total shares outstanding. Both features amplify aftermarket volatility relative to a typical large-cap IPO.</w:t>
      </w:r>
    </w:p>
    <w:p>
      <w:pPr>
        <w:pStyle w:val="Heading1"/>
        <w:pBdr>
          <w:bottom w:val="single" w:color="1B2A4A" w:sz="4" w:space="2"/>
        </w:pBdr>
        <w:spacing w:after="140" w:before="320"/>
      </w:pPr>
      <w:r>
        <w:rPr>
          <w:rFonts w:ascii="Georgia" w:cs="Georgia" w:eastAsia="Georgia" w:hAnsi="Georgia"/>
          <w:b/>
          <w:bCs/>
          <w:color w:val="1B2A4A"/>
          <w:sz w:val="22"/>
          <w:szCs w:val="22"/>
        </w:rPr>
        <w:t xml:space="preserve">3. FINANCIAL PROFILE (FY2025)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0"/>
        <w:gridCol w:w="4180"/>
      </w:tblGrid>
      <w:tr>
        <w:trPr>
          <w:tblHeader/>
        </w:trPr>
        <w:tc>
          <w:tcPr>
            <w:tcW w:type="dxa" w:w="59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Metric</w:t>
            </w:r>
          </w:p>
        </w:tc>
        <w:tc>
          <w:tcPr>
            <w:tcW w:type="dxa" w:w="4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$mm</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18,674</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 growth</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33.2%</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Adjusted EBITDA</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6,584</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Loss from operations</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(2,589)</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Capex</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20,737</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Cash and equivalents</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15,852</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Debt</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29,111</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8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Segment</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Revenue ($mm)</w:t>
            </w:r>
          </w:p>
        </w:tc>
        <w:tc>
          <w:tcPr>
            <w:tcW w:type="dxa" w:w="3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Adj. EBITDA ($mm)</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Connectivity (Starlink)</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11,387</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7,168</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Space / Launch</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4,086</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n/d</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AI / xAI</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3,201</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(1,237)</w:t>
            </w:r>
          </w:p>
        </w:tc>
      </w:tr>
    </w:tbl>
    <w:p>
      <w:pPr>
        <w:spacing w:after="100"/>
      </w:pPr>
    </w:p>
    <w:p>
      <w:pPr>
        <w:spacing w:after="140" w:line="276"/>
        <w:jc w:val="both"/>
      </w:pPr>
      <w:r>
        <w:rPr>
          <w:rFonts w:ascii="Garamond" w:cs="Garamond" w:eastAsia="Garamond" w:hAnsi="Garamond"/>
          <w:sz w:val="19"/>
          <w:szCs w:val="19"/>
        </w:rPr>
        <w:t xml:space="preserve">Capex of $20,737mm exceeds total revenue — the single defining feature of the financial profile, and the reason the DCF in Section 4 remains negative on a free-cash-flow basis through 2028E.</w:t>
      </w:r>
    </w:p>
    <w:p>
      <w:pPr>
        <w:pStyle w:val="Heading1"/>
        <w:pBdr>
          <w:bottom w:val="single" w:color="1B2A4A" w:sz="4" w:space="2"/>
        </w:pBdr>
        <w:spacing w:after="140" w:before="320"/>
      </w:pPr>
      <w:r>
        <w:rPr>
          <w:rFonts w:ascii="Georgia" w:cs="Georgia" w:eastAsia="Georgia" w:hAnsi="Georgia"/>
          <w:b/>
          <w:bCs/>
          <w:color w:val="1B2A4A"/>
          <w:sz w:val="22"/>
          <w:szCs w:val="22"/>
        </w:rPr>
        <w:t xml:space="preserve">4. VALUATION</w:t>
      </w:r>
    </w:p>
    <w:p>
      <w:pPr>
        <w:spacing w:after="90" w:before="220"/>
      </w:pPr>
      <w:r>
        <w:rPr>
          <w:rFonts w:ascii="Georgia" w:cs="Georgia" w:eastAsia="Georgia" w:hAnsi="Georgia"/>
          <w:b/>
          <w:bCs/>
          <w:i/>
          <w:iCs/>
          <w:color w:val="1B2A4A"/>
          <w:sz w:val="20"/>
          <w:szCs w:val="20"/>
        </w:rPr>
        <w:t xml:space="preserve">4.1  Segment sum-of-the-parts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1727"/>
        <w:gridCol w:w="1727"/>
        <w:gridCol w:w="1726"/>
      </w:tblGrid>
      <w:tr>
        <w:trPr>
          <w:tblHeader/>
        </w:trPr>
        <w:tc>
          <w:tcPr>
            <w:tcW w:type="dxa" w:w="27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Segment</w:t>
            </w:r>
          </w:p>
        </w:tc>
        <w:tc>
          <w:tcPr>
            <w:tcW w:type="dxa" w:w="22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Revenue ($mm)</w:t>
            </w:r>
          </w:p>
        </w:tc>
        <w:tc>
          <w:tcPr>
            <w:tcW w:type="dxa" w:w="1727"/>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Low</w:t>
            </w:r>
          </w:p>
        </w:tc>
        <w:tc>
          <w:tcPr>
            <w:tcW w:type="dxa" w:w="1727"/>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Base</w:t>
            </w:r>
          </w:p>
        </w:tc>
        <w:tc>
          <w:tcPr>
            <w:tcW w:type="dxa" w:w="1726"/>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High</w:t>
            </w:r>
          </w:p>
        </w:tc>
      </w:tr>
      <w:tr>
        <w:tc>
          <w:tcPr>
            <w:tcW w:type="dxa" w:w="27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Connectivity</w:t>
            </w:r>
          </w:p>
        </w:tc>
        <w:tc>
          <w:tcPr>
            <w:tcW w:type="dxa" w:w="22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11,387</w:t>
            </w:r>
          </w:p>
        </w:tc>
        <w:tc>
          <w:tcPr>
            <w:tcW w:type="dxa" w:w="1727"/>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3.98x</w:t>
            </w:r>
          </w:p>
        </w:tc>
        <w:tc>
          <w:tcPr>
            <w:tcW w:type="dxa" w:w="1727"/>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6.0x</w:t>
            </w:r>
          </w:p>
        </w:tc>
        <w:tc>
          <w:tcPr>
            <w:tcW w:type="dxa" w:w="1726"/>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8.0x</w:t>
            </w:r>
          </w:p>
        </w:tc>
      </w:tr>
      <w:tr>
        <w:tc>
          <w:tcPr>
            <w:tcW w:type="dxa" w:w="27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Space / Launch</w:t>
            </w:r>
          </w:p>
        </w:tc>
        <w:tc>
          <w:tcPr>
            <w:tcW w:type="dxa" w:w="22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4,086</w:t>
            </w:r>
          </w:p>
        </w:tc>
        <w:tc>
          <w:tcPr>
            <w:tcW w:type="dxa" w:w="1727"/>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6.0x</w:t>
            </w:r>
          </w:p>
        </w:tc>
        <w:tc>
          <w:tcPr>
            <w:tcW w:type="dxa" w:w="1727"/>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11.3x</w:t>
            </w:r>
          </w:p>
        </w:tc>
        <w:tc>
          <w:tcPr>
            <w:tcW w:type="dxa" w:w="1726"/>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15.0x</w:t>
            </w:r>
          </w:p>
        </w:tc>
      </w:tr>
      <w:tr>
        <w:tc>
          <w:tcPr>
            <w:tcW w:type="dxa" w:w="27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AI / xAI</w:t>
            </w:r>
          </w:p>
        </w:tc>
        <w:tc>
          <w:tcPr>
            <w:tcW w:type="dxa" w:w="22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3,201</w:t>
            </w:r>
          </w:p>
        </w:tc>
        <w:tc>
          <w:tcPr>
            <w:tcW w:type="dxa" w:w="1727"/>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3.0x</w:t>
            </w:r>
          </w:p>
        </w:tc>
        <w:tc>
          <w:tcPr>
            <w:tcW w:type="dxa" w:w="1727"/>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5.0x</w:t>
            </w:r>
          </w:p>
        </w:tc>
        <w:tc>
          <w:tcPr>
            <w:tcW w:type="dxa" w:w="1726"/>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7.0x</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21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Low</w:t>
            </w:r>
          </w:p>
        </w:tc>
        <w:tc>
          <w:tcPr>
            <w:tcW w:type="dxa" w:w="21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Base</w:t>
            </w:r>
          </w:p>
        </w:tc>
        <w:tc>
          <w:tcPr>
            <w:tcW w:type="dxa" w:w="216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High</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Segment enterprise value ($mm)</w:t>
            </w:r>
          </w:p>
        </w:tc>
        <w:tc>
          <w:tcPr>
            <w:tcW w:type="dxa" w:w="21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79,439</w:t>
            </w:r>
          </w:p>
        </w:tc>
        <w:tc>
          <w:tcPr>
            <w:tcW w:type="dxa" w:w="21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130,499</w:t>
            </w:r>
          </w:p>
        </w:tc>
        <w:tc>
          <w:tcPr>
            <w:tcW w:type="dxa" w:w="216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174,793</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Less: net debt ($mm)</w:t>
            </w:r>
          </w:p>
        </w:tc>
        <w:tc>
          <w:tcPr>
            <w:tcW w:type="dxa" w:w="21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(61,741)</w:t>
            </w:r>
          </w:p>
        </w:tc>
        <w:tc>
          <w:tcPr>
            <w:tcW w:type="dxa" w:w="21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(61,741)</w:t>
            </w:r>
          </w:p>
        </w:tc>
        <w:tc>
          <w:tcPr>
            <w:tcW w:type="dxa" w:w="216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(61,741)</w:t>
            </w:r>
          </w:p>
        </w:tc>
      </w:tr>
      <w:tr>
        <w:tc>
          <w:tcPr>
            <w:tcW w:type="dxa" w:w="3600"/>
            <w:shd w:fill="E6E6E6"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Implied equity value ($mm)</w:t>
            </w:r>
          </w:p>
        </w:tc>
        <w:tc>
          <w:tcPr>
            <w:tcW w:type="dxa" w:w="216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141,180</w:t>
            </w:r>
          </w:p>
        </w:tc>
        <w:tc>
          <w:tcPr>
            <w:tcW w:type="dxa" w:w="216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192,240</w:t>
            </w:r>
          </w:p>
        </w:tc>
        <w:tc>
          <w:tcPr>
            <w:tcW w:type="dxa" w:w="216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236,534</w:t>
            </w:r>
          </w:p>
        </w:tc>
      </w:tr>
    </w:tbl>
    <w:p>
      <w:pPr>
        <w:spacing w:after="90" w:before="220"/>
      </w:pPr>
      <w:r>
        <w:rPr>
          <w:rFonts w:ascii="Georgia" w:cs="Georgia" w:eastAsia="Georgia" w:hAnsi="Georgia"/>
          <w:b/>
          <w:bCs/>
          <w:i/>
          <w:iCs/>
          <w:color w:val="1B2A4A"/>
          <w:sz w:val="20"/>
          <w:szCs w:val="20"/>
        </w:rPr>
        <w:t xml:space="preserve">4.2  Discounted cash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Assumption</w:t>
            </w:r>
          </w:p>
        </w:tc>
        <w:tc>
          <w:tcPr>
            <w:tcW w:type="dxa" w:w="58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Value</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Discount rate</w:t>
            </w:r>
          </w:p>
        </w:tc>
        <w:tc>
          <w:tcPr>
            <w:tcW w:type="dxa" w:w="5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12.0%</w:t>
            </w:r>
          </w:p>
        </w:tc>
      </w:tr>
      <w:tr>
        <w:tc>
          <w:tcPr>
            <w:tcW w:type="dxa" w:w="4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Terminal growth</w:t>
            </w:r>
          </w:p>
        </w:tc>
        <w:tc>
          <w:tcPr>
            <w:tcW w:type="dxa" w:w="5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4.0%</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Revenue growth</w:t>
            </w:r>
          </w:p>
        </w:tc>
        <w:tc>
          <w:tcPr>
            <w:tcW w:type="dxa" w:w="5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35% tapering to 15%</w:t>
            </w:r>
          </w:p>
        </w:tc>
      </w:tr>
      <w:tr>
        <w:tc>
          <w:tcPr>
            <w:tcW w:type="dxa" w:w="4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EBITDA margin</w:t>
            </w:r>
          </w:p>
        </w:tc>
        <w:tc>
          <w:tcPr>
            <w:tcW w:type="dxa" w:w="5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35% expanding to 45%</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Capex / revenue</w:t>
            </w:r>
          </w:p>
        </w:tc>
        <w:tc>
          <w:tcPr>
            <w:tcW w:type="dxa" w:w="5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111% tapering to 22.5%</w:t>
            </w:r>
          </w:p>
        </w:tc>
      </w:tr>
    </w:tbl>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900"/>
        <w:gridCol w:w="4180"/>
      </w:tblGrid>
      <w:tr>
        <w:trPr>
          <w:tblHeader/>
        </w:trPr>
        <w:tc>
          <w:tcPr>
            <w:tcW w:type="dxa" w:w="59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
            </w:r>
          </w:p>
        </w:tc>
        <w:tc>
          <w:tcPr>
            <w:tcW w:type="dxa" w:w="4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$mm</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PV of forecast free cash flow</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(25,345)</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PV of terminal value</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33,543</w:t>
            </w:r>
          </w:p>
        </w:tc>
      </w:tr>
      <w:tr>
        <w:tc>
          <w:tcPr>
            <w:tcW w:type="dxa" w:w="59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Implied enterprise value</w:t>
            </w:r>
          </w:p>
        </w:tc>
        <w:tc>
          <w:tcPr>
            <w:tcW w:type="dxa" w:w="4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8,198</w:t>
            </w:r>
          </w:p>
        </w:tc>
      </w:tr>
      <w:tr>
        <w:tc>
          <w:tcPr>
            <w:tcW w:type="dxa" w:w="59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Less: net debt</w:t>
            </w:r>
          </w:p>
        </w:tc>
        <w:tc>
          <w:tcPr>
            <w:tcW w:type="dxa" w:w="4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(61,741)</w:t>
            </w:r>
          </w:p>
        </w:tc>
      </w:tr>
      <w:tr>
        <w:tc>
          <w:tcPr>
            <w:tcW w:type="dxa" w:w="5900"/>
            <w:shd w:fill="E6E6E6" w:val="clear"/>
            <w:tcMar>
              <w:top w:type="dxa" w:w="60"/>
              <w:left w:type="dxa" w:w="100"/>
              <w:bottom w:type="dxa" w:w="60"/>
              <w:right w:type="dxa" w:w="100"/>
            </w:tcMar>
            <w:vAlign w:val="center"/>
          </w:tcPr>
          <w:p>
            <w:pPr>
              <w:jc w:val="left"/>
            </w:pPr>
            <w:r>
              <w:rPr>
                <w:rFonts w:ascii="Garamond" w:cs="Garamond" w:eastAsia="Garamond" w:hAnsi="Garamond"/>
                <w:b/>
                <w:bCs/>
                <w:color w:val="000000"/>
                <w:sz w:val="18"/>
                <w:szCs w:val="18"/>
              </w:rPr>
              <w:t xml:space="preserve">Implied equity value</w:t>
            </w:r>
          </w:p>
        </w:tc>
        <w:tc>
          <w:tcPr>
            <w:tcW w:type="dxa" w:w="4180"/>
            <w:shd w:fill="E6E6E6" w:val="clear"/>
            <w:tcMar>
              <w:top w:type="dxa" w:w="60"/>
              <w:left w:type="dxa" w:w="100"/>
              <w:bottom w:type="dxa" w:w="60"/>
              <w:right w:type="dxa" w:w="100"/>
            </w:tcMar>
            <w:vAlign w:val="center"/>
          </w:tcPr>
          <w:p>
            <w:pPr>
              <w:jc w:val="center"/>
            </w:pPr>
            <w:r>
              <w:rPr>
                <w:rFonts w:ascii="Garamond" w:cs="Garamond" w:eastAsia="Garamond" w:hAnsi="Garamond"/>
                <w:b/>
                <w:bCs/>
                <w:color w:val="000000"/>
                <w:sz w:val="18"/>
                <w:szCs w:val="18"/>
              </w:rPr>
              <w:t xml:space="preserve">69,939</w:t>
            </w:r>
          </w:p>
        </w:tc>
      </w:tr>
    </w:tbl>
    <w:p>
      <w:pPr>
        <w:spacing w:after="100"/>
      </w:pPr>
    </w:p>
    <w:p>
      <w:pPr>
        <w:spacing w:after="140" w:line="276"/>
        <w:jc w:val="both"/>
      </w:pPr>
      <w:r>
        <w:rPr>
          <w:rFonts w:ascii="Garamond" w:cs="Garamond" w:eastAsia="Garamond" w:hAnsi="Garamond"/>
          <w:sz w:val="19"/>
          <w:szCs w:val="19"/>
        </w:rPr>
        <w:t xml:space="preserve">Free cash flow turns positive in 2029E as capex intensity normalizes toward the terminal assumption. Sensitizing the discount rate across 10–14% and terminal growth across 3–5% produces a range of $59.0bn to $95.2bn. Because forecast-period free cash flow is negative in aggregate, terminal value represents more than 100% of enterprise value — the DCF result is highly sensitive to the terminal assumptions chosen.</w:t>
      </w:r>
    </w:p>
    <w:p>
      <w:pPr>
        <w:spacing w:after="90" w:before="220"/>
      </w:pPr>
      <w:r>
        <w:rPr>
          <w:rFonts w:ascii="Georgia" w:cs="Georgia" w:eastAsia="Georgia" w:hAnsi="Georgia"/>
          <w:b/>
          <w:bCs/>
          <w:i/>
          <w:iCs/>
          <w:color w:val="1B2A4A"/>
          <w:sz w:val="20"/>
          <w:szCs w:val="20"/>
        </w:rPr>
        <w:t xml:space="preserve">4.3  Public trading comparables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880"/>
      </w:tblGrid>
      <w:tr>
        <w:trPr>
          <w:tblHeader/>
        </w:trPr>
        <w:tc>
          <w:tcPr>
            <w:tcW w:type="dxa" w:w="4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Segment</w:t>
            </w:r>
          </w:p>
        </w:tc>
        <w:tc>
          <w:tcPr>
            <w:tcW w:type="dxa" w:w="30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Median EV / Revenue</w:t>
            </w:r>
          </w:p>
        </w:tc>
        <w:tc>
          <w:tcPr>
            <w:tcW w:type="dxa" w:w="28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Median EV / EBITDA</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Connectivity</w:t>
            </w:r>
          </w:p>
        </w:tc>
        <w:tc>
          <w:tcPr>
            <w:tcW w:type="dxa" w:w="30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3.98x</w:t>
            </w:r>
          </w:p>
        </w:tc>
        <w:tc>
          <w:tcPr>
            <w:tcW w:type="dxa" w:w="2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10.5x</w:t>
            </w:r>
          </w:p>
        </w:tc>
      </w:tr>
      <w:tr>
        <w:tc>
          <w:tcPr>
            <w:tcW w:type="dxa" w:w="4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Launch / space infrastructure</w:t>
            </w:r>
          </w:p>
        </w:tc>
        <w:tc>
          <w:tcPr>
            <w:tcW w:type="dxa" w:w="30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11.29x</w:t>
            </w:r>
          </w:p>
        </w:tc>
        <w:tc>
          <w:tcPr>
            <w:tcW w:type="dxa" w:w="28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n/m</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Aerospace and defense</w:t>
            </w:r>
          </w:p>
        </w:tc>
        <w:tc>
          <w:tcPr>
            <w:tcW w:type="dxa" w:w="30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2.92x</w:t>
            </w:r>
          </w:p>
        </w:tc>
        <w:tc>
          <w:tcPr>
            <w:tcW w:type="dxa" w:w="28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19.2x</w:t>
            </w:r>
          </w:p>
        </w:tc>
      </w:tr>
    </w:tbl>
    <w:p>
      <w:pPr>
        <w:spacing w:after="100"/>
      </w:pPr>
    </w:p>
    <w:p>
      <w:pPr>
        <w:spacing w:after="140" w:line="276"/>
        <w:jc w:val="both"/>
      </w:pPr>
      <w:r>
        <w:rPr>
          <w:rFonts w:ascii="Garamond" w:cs="Garamond" w:eastAsia="Garamond" w:hAnsi="Garamond"/>
          <w:sz w:val="19"/>
          <w:szCs w:val="19"/>
        </w:rPr>
        <w:t xml:space="preserve">AST SpaceMobile was excluded from the connectivity median as an outlier. Launch-segment EV/EBITDA is not meaningful, as most public launch comparables carry negative EBITDA.</w:t>
      </w:r>
    </w:p>
    <w:p>
      <w:pPr>
        <w:pStyle w:val="Heading1"/>
        <w:pBdr>
          <w:bottom w:val="single" w:color="1B2A4A" w:sz="4" w:space="2"/>
        </w:pBdr>
        <w:spacing w:after="140" w:before="320"/>
      </w:pPr>
      <w:r>
        <w:rPr>
          <w:rFonts w:ascii="Georgia" w:cs="Georgia" w:eastAsia="Georgia" w:hAnsi="Georgia"/>
          <w:b/>
          <w:bCs/>
          <w:color w:val="1B2A4A"/>
          <w:sz w:val="22"/>
          <w:szCs w:val="22"/>
        </w:rPr>
        <w:t xml:space="preserve">5. PRICING AND AFTERMARKET PERFORMANCE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8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Metric</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IPO</w:t>
            </w:r>
          </w:p>
        </w:tc>
        <w:tc>
          <w:tcPr>
            <w:tcW w:type="dxa" w:w="3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Day 1</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Price</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$135.00</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$160.95</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Equity value ($mm)</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1,776,492</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2,117,973</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Enterprise value ($mm)</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1,714,751</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2,056,232</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EV / Revenue</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91.8x</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110.1x</w:t>
            </w:r>
          </w:p>
        </w:tc>
      </w:tr>
    </w:tbl>
    <w:p>
      <w:pPr>
        <w:spacing w:after="100"/>
      </w:pPr>
    </w:p>
    <w:p>
      <w:pPr>
        <w:spacing w:after="140" w:line="276"/>
        <w:jc w:val="both"/>
      </w:pPr>
      <w:r>
        <w:rPr>
          <w:rFonts w:ascii="Garamond" w:cs="Garamond" w:eastAsia="Garamond" w:hAnsi="Garamond"/>
          <w:sz w:val="19"/>
          <w:szCs w:val="19"/>
        </w:rPr>
        <w:t xml:space="preserve">Day-1 return was 19.2%. Money left on the table — shares offered multiplied by the difference between Day-1 close and offer price — totals $14,417mm.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3300"/>
        <w:gridCol w:w="3180"/>
      </w:tblGrid>
      <w:tr>
        <w:trPr>
          <w:tblHeader/>
        </w:trPr>
        <w:tc>
          <w:tcPr>
            <w:tcW w:type="dxa" w:w="36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Session</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Close</w:t>
            </w:r>
          </w:p>
        </w:tc>
        <w:tc>
          <w:tcPr>
            <w:tcW w:type="dxa" w:w="31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vs. IPO price</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 1</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$160.95</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 3 (peak)</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$201.80</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+49.5%</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 5</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$185.00</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+37.0%</w:t>
            </w:r>
          </w:p>
        </w:tc>
      </w:tr>
      <w:tr>
        <w:tc>
          <w:tcPr>
            <w:tcW w:type="dxa" w:w="36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 7</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$154.60</w:t>
            </w:r>
          </w:p>
        </w:tc>
        <w:tc>
          <w:tcPr>
            <w:tcW w:type="dxa" w:w="31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+14.5%</w:t>
            </w:r>
          </w:p>
        </w:tc>
      </w:tr>
      <w:tr>
        <w:tc>
          <w:tcPr>
            <w:tcW w:type="dxa" w:w="36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 11</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$153.23</w:t>
            </w:r>
          </w:p>
        </w:tc>
        <w:tc>
          <w:tcPr>
            <w:tcW w:type="dxa" w:w="31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+13.5%</w:t>
            </w:r>
          </w:p>
        </w:tc>
      </w:tr>
    </w:tbl>
    <w:p>
      <w:pPr>
        <w:spacing w:after="100"/>
      </w:pPr>
    </w:p>
    <w:p>
      <w:pPr>
        <w:spacing w:after="140" w:line="276"/>
        <w:jc w:val="both"/>
      </w:pPr>
      <w:r>
        <w:rPr>
          <w:rFonts w:ascii="Garamond" w:cs="Garamond" w:eastAsia="Garamond" w:hAnsi="Garamond"/>
          <w:sz w:val="19"/>
          <w:szCs w:val="19"/>
        </w:rPr>
        <w:t xml:space="preserve">The stock held above the offer price through all eleven sessions of available trading, peaking at +49.5% on Day 3 before retracing. This pattern is consistent with genuine demand at pricing, followed by the market recalibrating around the capex intensity and segment mix disclosed in the prospectus.</w:t>
      </w:r>
    </w:p>
    <w:p>
      <w:pPr>
        <w:pStyle w:val="Heading1"/>
        <w:pBdr>
          <w:bottom w:val="single" w:color="1B2A4A" w:sz="4" w:space="2"/>
        </w:pBdr>
        <w:spacing w:after="140" w:before="320"/>
      </w:pPr>
      <w:r>
        <w:rPr>
          <w:rFonts w:ascii="Georgia" w:cs="Georgia" w:eastAsia="Georgia" w:hAnsi="Georgia"/>
          <w:b/>
          <w:bCs/>
          <w:color w:val="1B2A4A"/>
          <w:sz w:val="22"/>
          <w:szCs w:val="22"/>
        </w:rPr>
        <w:t xml:space="preserve">6. RECONCILIATION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3300"/>
        <w:gridCol w:w="2580"/>
      </w:tblGrid>
      <w:tr>
        <w:trPr>
          <w:tblHeader/>
        </w:trPr>
        <w:tc>
          <w:tcPr>
            <w:tcW w:type="dxa" w:w="4200"/>
            <w:shd w:fill="1B2A4A" w:val="clear"/>
            <w:tcMar>
              <w:top w:type="dxa" w:w="60"/>
              <w:left w:type="dxa" w:w="100"/>
              <w:bottom w:type="dxa" w:w="60"/>
              <w:right w:type="dxa" w:w="100"/>
            </w:tcMar>
            <w:vAlign w:val="center"/>
          </w:tcPr>
          <w:p>
            <w:pPr>
              <w:jc w:val="left"/>
            </w:pPr>
            <w:r>
              <w:rPr>
                <w:rFonts w:ascii="Garamond" w:cs="Garamond" w:eastAsia="Garamond" w:hAnsi="Garamond"/>
                <w:b/>
                <w:bCs/>
                <w:color w:val="FFFFFF"/>
                <w:sz w:val="17"/>
                <w:szCs w:val="17"/>
              </w:rPr>
              <w:t xml:space="preserve">Method</w:t>
            </w:r>
          </w:p>
        </w:tc>
        <w:tc>
          <w:tcPr>
            <w:tcW w:type="dxa" w:w="330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Implied equity value ($mm)</w:t>
            </w:r>
          </w:p>
        </w:tc>
        <w:tc>
          <w:tcPr>
            <w:tcW w:type="dxa" w:w="2580"/>
            <w:shd w:fill="1B2A4A" w:val="clear"/>
            <w:tcMar>
              <w:top w:type="dxa" w:w="60"/>
              <w:left w:type="dxa" w:w="100"/>
              <w:bottom w:type="dxa" w:w="60"/>
              <w:right w:type="dxa" w:w="100"/>
            </w:tcMar>
            <w:vAlign w:val="center"/>
          </w:tcPr>
          <w:p>
            <w:pPr>
              <w:jc w:val="center"/>
            </w:pPr>
            <w:r>
              <w:rPr>
                <w:rFonts w:ascii="Garamond" w:cs="Garamond" w:eastAsia="Garamond" w:hAnsi="Garamond"/>
                <w:b/>
                <w:bCs/>
                <w:color w:val="FFFFFF"/>
                <w:sz w:val="17"/>
                <w:szCs w:val="17"/>
              </w:rPr>
              <w:t xml:space="preserve">vs. IPO price</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DCF (base case)</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69,939</w:t>
            </w:r>
          </w:p>
        </w:tc>
        <w:tc>
          <w:tcPr>
            <w:tcW w:type="dxa" w:w="25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(96.1%)</w:t>
            </w:r>
          </w:p>
        </w:tc>
      </w:tr>
      <w:tr>
        <w:tc>
          <w:tcPr>
            <w:tcW w:type="dxa" w:w="4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Segment SOTP (base case)</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192,240</w:t>
            </w:r>
          </w:p>
        </w:tc>
        <w:tc>
          <w:tcPr>
            <w:tcW w:type="dxa" w:w="25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(89.2%)</w:t>
            </w:r>
          </w:p>
        </w:tc>
      </w:tr>
      <w:tr>
        <w:tc>
          <w:tcPr>
            <w:tcW w:type="dxa" w:w="4200"/>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IPO pricing</w:t>
            </w:r>
          </w:p>
        </w:tc>
        <w:tc>
          <w:tcPr>
            <w:tcW w:type="dxa" w:w="330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1,776,492</w:t>
            </w:r>
          </w:p>
        </w:tc>
        <w:tc>
          <w:tcPr>
            <w:tcW w:type="dxa" w:w="2580"/>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w:t>
            </w:r>
          </w:p>
        </w:tc>
      </w:tr>
      <w:tr>
        <w:tc>
          <w:tcPr>
            <w:tcW w:type="dxa" w:w="4200"/>
            <w:shd w:fill="F0F0F0" w:val="clear"/>
            <w:tcMar>
              <w:top w:type="dxa" w:w="60"/>
              <w:left w:type="dxa" w:w="100"/>
              <w:bottom w:type="dxa" w:w="60"/>
              <w:right w:type="dxa" w:w="100"/>
            </w:tcMar>
            <w:vAlign w:val="center"/>
          </w:tcPr>
          <w:p>
            <w:pPr>
              <w:jc w:val="left"/>
            </w:pPr>
            <w:r>
              <w:rPr>
                <w:rFonts w:ascii="Garamond" w:cs="Garamond" w:eastAsia="Garamond" w:hAnsi="Garamond"/>
                <w:b w:val="false"/>
                <w:bCs w:val="false"/>
                <w:color w:val="000000"/>
                <w:sz w:val="18"/>
                <w:szCs w:val="18"/>
              </w:rPr>
              <w:t xml:space="preserve">Day-1 trading</w:t>
            </w:r>
          </w:p>
        </w:tc>
        <w:tc>
          <w:tcPr>
            <w:tcW w:type="dxa" w:w="330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2,117,973</w:t>
            </w:r>
          </w:p>
        </w:tc>
        <w:tc>
          <w:tcPr>
            <w:tcW w:type="dxa" w:w="2580"/>
            <w:shd w:fill="F0F0F0" w:val="clear"/>
            <w:tcMar>
              <w:top w:type="dxa" w:w="60"/>
              <w:left w:type="dxa" w:w="100"/>
              <w:bottom w:type="dxa" w:w="60"/>
              <w:right w:type="dxa" w:w="100"/>
            </w:tcMar>
            <w:vAlign w:val="center"/>
          </w:tcPr>
          <w:p>
            <w:pPr>
              <w:jc w:val="center"/>
            </w:pPr>
            <w:r>
              <w:rPr>
                <w:rFonts w:ascii="Garamond" w:cs="Garamond" w:eastAsia="Garamond" w:hAnsi="Garamond"/>
                <w:b w:val="false"/>
                <w:bCs w:val="false"/>
                <w:color w:val="000000"/>
                <w:sz w:val="18"/>
                <w:szCs w:val="18"/>
              </w:rPr>
              <w:t xml:space="preserve">+19.2%</w:t>
            </w:r>
          </w:p>
        </w:tc>
      </w:tr>
    </w:tbl>
    <w:p>
      <w:pPr>
        <w:spacing w:after="140"/>
      </w:pPr>
    </w:p>
    <w:p>
      <w:pPr>
        <w:spacing w:after="140" w:line="276"/>
        <w:jc w:val="both"/>
      </w:pPr>
      <w:r>
        <w:rPr>
          <w:rFonts w:ascii="Garamond" w:cs="Garamond" w:eastAsia="Garamond" w:hAnsi="Garamond"/>
          <w:sz w:val="19"/>
          <w:szCs w:val="19"/>
        </w:rPr>
        <w:t xml:space="preserve">Every fundamentals-based method sits far below the offer price. The SOTP, anchored to disclosed FY2025 segment revenue, supports a range of $141bn to $237bn. The DCF, constrained by capex exceeding revenue, supports $59bn to $95bn. The IPO priced at 91.8x revenue and traded to 110.1x on Day 1.</w:t>
      </w:r>
    </w:p>
    <w:p>
      <w:pPr>
        <w:spacing w:after="140" w:line="276"/>
        <w:jc w:val="both"/>
      </w:pPr>
      <w:r>
        <w:rPr>
          <w:rFonts w:ascii="Garamond" w:cs="Garamond" w:eastAsia="Garamond" w:hAnsi="Garamond"/>
          <w:sz w:val="19"/>
          <w:szCs w:val="19"/>
        </w:rPr>
        <w:t xml:space="preserve">This gap is not explained by current-period financials. It most plausibly reflects value the market assigns to Starlink terminal scale at maturity, Starship cost-curve optionality, government and defense program growth, and AI infrastructure exposure — none of which the disclosed segment data isolates or quantifies. This note is best read as sizing the gap between price and disclosed fundamentals, not as an assertion of fair value.</w:t>
      </w:r>
    </w:p>
    <w:p>
      <w:pPr>
        <w:pStyle w:val="Heading1"/>
        <w:pBdr>
          <w:bottom w:val="single" w:color="1B2A4A" w:sz="4" w:space="2"/>
        </w:pBdr>
        <w:spacing w:after="140" w:before="320"/>
      </w:pPr>
      <w:r>
        <w:rPr>
          <w:rFonts w:ascii="Georgia" w:cs="Georgia" w:eastAsia="Georgia" w:hAnsi="Georgia"/>
          <w:b/>
          <w:bCs/>
          <w:color w:val="1B2A4A"/>
          <w:sz w:val="22"/>
          <w:szCs w:val="22"/>
        </w:rPr>
        <w:t xml:space="preserve">7. CAVEATS</w:t>
      </w:r>
    </w:p>
    <w:p>
      <w:pPr>
        <w:pStyle w:val="ListParagraph"/>
        <w:numPr>
          <w:ilvl w:val="0"/>
          <w:numId w:val="2"/>
        </w:numPr>
        <w:spacing w:after="90" w:line="270"/>
      </w:pPr>
      <w:r>
        <w:rPr>
          <w:rFonts w:ascii="Garamond" w:cs="Garamond" w:eastAsia="Garamond" w:hAnsi="Garamond"/>
          <w:sz w:val="19"/>
          <w:szCs w:val="19"/>
        </w:rPr>
        <w:t xml:space="preserve">The diluted share count underlying the $1,776,492mm equity value at IPO pricing (13,159.2mm shares) should be verified against the final 424B4 before these figures are relied upon; it is the single input with the largest effect on every multiple in this note.</w:t>
      </w:r>
    </w:p>
    <w:p>
      <w:pPr>
        <w:pStyle w:val="ListParagraph"/>
        <w:numPr>
          <w:ilvl w:val="0"/>
          <w:numId w:val="2"/>
        </w:numPr>
        <w:spacing w:after="90" w:line="270"/>
      </w:pPr>
      <w:r>
        <w:rPr>
          <w:rFonts w:ascii="Garamond" w:cs="Garamond" w:eastAsia="Garamond" w:hAnsi="Garamond"/>
          <w:sz w:val="19"/>
          <w:szCs w:val="19"/>
        </w:rPr>
        <w:t xml:space="preserve">Space and Launch segment EBITDA is not disclosed. All three segments are valued on revenue multiples, which understates Connectivity, the only segment with a disclosed EBITDA margin (63%).</w:t>
      </w:r>
    </w:p>
    <w:p>
      <w:pPr>
        <w:pStyle w:val="ListParagraph"/>
        <w:numPr>
          <w:ilvl w:val="0"/>
          <w:numId w:val="2"/>
        </w:numPr>
        <w:spacing w:after="90" w:line="270"/>
      </w:pPr>
      <w:r>
        <w:rPr>
          <w:rFonts w:ascii="Garamond" w:cs="Garamond" w:eastAsia="Garamond" w:hAnsi="Garamond"/>
          <w:sz w:val="19"/>
          <w:szCs w:val="19"/>
        </w:rPr>
        <w:t xml:space="preserve">The DCF applies a simplified tax charge on EBITDA rather than a full tax build, and does not model stock-based compensation, working capital seasonality, or segment-level capex allocation.</w:t>
      </w:r>
    </w:p>
    <w:p>
      <w:pPr>
        <w:pStyle w:val="ListParagraph"/>
        <w:numPr>
          <w:ilvl w:val="0"/>
          <w:numId w:val="2"/>
        </w:numPr>
        <w:spacing w:after="90" w:line="270"/>
      </w:pPr>
      <w:r>
        <w:rPr>
          <w:rFonts w:ascii="Garamond" w:cs="Garamond" w:eastAsia="Garamond" w:hAnsi="Garamond"/>
          <w:sz w:val="19"/>
          <w:szCs w:val="19"/>
        </w:rPr>
        <w:t xml:space="preserve">Comparable companies span connectivity, launch, and aerospace and defense with materially different growth and margin profiles; no single comparable set is a clean read on SpaceX as a combined entity.</w:t>
      </w:r>
    </w:p>
    <w:p>
      <w:pPr>
        <w:pStyle w:val="ListParagraph"/>
        <w:numPr>
          <w:ilvl w:val="0"/>
          <w:numId w:val="2"/>
        </w:numPr>
        <w:spacing w:after="90" w:line="270"/>
      </w:pPr>
      <w:r>
        <w:rPr>
          <w:rFonts w:ascii="Garamond" w:cs="Garamond" w:eastAsia="Garamond" w:hAnsi="Garamond"/>
          <w:sz w:val="19"/>
          <w:szCs w:val="19"/>
        </w:rPr>
        <w:t xml:space="preserve">Aftermarket data covers eleven trading sessions only, well inside the lock-up period and any index-inclusion window.</w:t>
      </w:r>
    </w:p>
    <w:p>
      <w:pPr>
        <w:spacing w:after="300"/>
      </w:pPr>
    </w:p>
    <w:p>
      <w:pPr>
        <w:pBdr>
          <w:top w:val="single" w:color="BFBFBF" w:sz="4" w:space="4"/>
        </w:pBdr>
        <w:spacing w:before="200"/>
      </w:pPr>
      <w:r>
        <w:rPr>
          <w:rFonts w:ascii="Garamond" w:cs="Garamond" w:eastAsia="Garamond" w:hAnsi="Garamond"/>
          <w:i/>
          <w:iCs/>
          <w:color w:val="595959"/>
          <w:sz w:val="15"/>
          <w:szCs w:val="15"/>
        </w:rPr>
        <w:t xml:space="preserve">This note is prepared for portfolio and educational purposes only. Figures are illustrative, derived from a hypothetical valuation model, and do not constitute investment advice, an offer, or a solicitation with respect to any security.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10080"/>
      </w:tabs>
    </w:pPr>
    <w:r>
      <w:rPr>
        <w:rFonts w:ascii="Garamond" w:cs="Garamond" w:eastAsia="Garamond" w:hAnsi="Garamond"/>
        <w:color w:val="595959"/>
        <w:sz w:val="14"/>
        <w:szCs w:val="14"/>
      </w:rPr>
      <w:t xml:space="preserve">Deal Intelligence Lab — Draft for portfolio purposes only</w:t>
    </w:r>
    <w:r>
      <w:rPr>
        <w:rFonts w:ascii="Garamond" w:cs="Garamond" w:eastAsia="Garamond" w:hAnsi="Garamond"/>
        <w:color w:val="595959"/>
        <w:sz w:val="14"/>
        <w:szCs w:val="14"/>
      </w:rPr>
      <w:t xml:space="preserve">Page </w:t>
    </w:r>
    <w:r>
      <w:rPr>
        <w:rFonts w:ascii="Garamond" w:cs="Garamond" w:eastAsia="Garamond" w:hAnsi="Garamond"/>
        <w:color w:val="595959"/>
        <w:sz w:val="14"/>
        <w:szCs w:val="14"/>
      </w:rPr>
      <w:fldChar w:fldCharType="begin"/>
      <w:instrText xml:space="preserve">PAGE</w:instrText>
      <w:fldChar w:fldCharType="separate"/>
      <w:fldChar w:fldCharType="end"/>
    </w:r>
    <w:r>
      <w:rPr>
        <w:rFonts w:ascii="Garamond" w:cs="Garamond" w:eastAsia="Garamond" w:hAnsi="Garamond"/>
        <w:color w:val="595959"/>
        <w:sz w:val="14"/>
        <w:szCs w:val="14"/>
      </w:rPr>
      <w:t xml:space="preserve"> of </w:t>
    </w:r>
    <w:r>
      <w:rPr>
        <w:rFonts w:ascii="Garamond" w:cs="Garamond" w:eastAsia="Garamond" w:hAnsi="Garamond"/>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10080"/>
      </w:tabs>
    </w:pPr>
    <w:r>
      <w:rPr>
        <w:rFonts w:ascii="Garamond" w:cs="Garamond" w:eastAsia="Garamond" w:hAnsi="Garamond"/>
        <w:color w:val="595959"/>
        <w:sz w:val="14"/>
        <w:szCs w:val="14"/>
      </w:rPr>
      <w:t xml:space="preserve">STRICTLY PRIVATE AND CONFIDENTIAL</w:t>
    </w:r>
    <w:r>
      <w:rPr>
        <w:rFonts w:ascii="Garamond" w:cs="Garamond" w:eastAsia="Garamond" w:hAnsi="Garamond"/>
        <w:color w:val="595959"/>
        <w:sz w:val="14"/>
        <w:szCs w:val="14"/>
      </w:rPr>
      <w:t xml:space="preserve">	Valuation Teardown Note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2026-07-25T23:15:05.907Z</dcterms:created>
  <dcterms:modified xsi:type="dcterms:W3CDTF">2026-07-25T23:15:05.907Z</dcterms:modified>
</cp:coreProperties>
</file>

<file path=docProps/custom.xml><?xml version="1.0" encoding="utf-8"?>
<Properties xmlns="http://schemas.openxmlformats.org/officeDocument/2006/custom-properties" xmlns:vt="http://schemas.openxmlformats.org/officeDocument/2006/docPropsVTypes"/>
</file>